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98" w:rsidRPr="00786EEB" w:rsidRDefault="00293098" w:rsidP="000C3A01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0C3A01">
        <w:rPr>
          <w:rFonts w:ascii="Arial" w:hAnsi="Arial" w:cs="Arial"/>
          <w:b/>
          <w:sz w:val="28"/>
          <w:szCs w:val="28"/>
          <w:lang w:val="es-ES_tradnl"/>
        </w:rPr>
        <w:t>1292</w:t>
      </w:r>
      <w:r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293098" w:rsidRDefault="00293098" w:rsidP="00293098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293098" w:rsidRPr="00762B34" w:rsidRDefault="0029309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293098" w:rsidRPr="00762B34" w:rsidRDefault="00293098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93098" w:rsidRPr="00762B34" w:rsidRDefault="0029309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293098" w:rsidRPr="00762B34" w:rsidRDefault="00293098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93098" w:rsidRPr="00762B34" w:rsidRDefault="0029309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26 DE ABRIL </w:t>
      </w:r>
      <w:r>
        <w:rPr>
          <w:rFonts w:ascii="Helvetica" w:hAnsi="Helvetica"/>
          <w:b/>
          <w:lang w:val="es-ES_tradnl"/>
        </w:rPr>
        <w:t>DE 2017</w:t>
      </w:r>
    </w:p>
    <w:p w:rsidR="00293098" w:rsidRPr="00762B34" w:rsidRDefault="0029309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C3A01" w:rsidRDefault="00293098" w:rsidP="000C3A01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0C3A01">
        <w:rPr>
          <w:rFonts w:ascii="Arial" w:hAnsi="Arial" w:cs="Arial"/>
          <w:b/>
        </w:rPr>
        <w:t>(E. E. Nº</w:t>
      </w:r>
      <w:r w:rsidR="000C3A01" w:rsidRPr="000C3A01">
        <w:rPr>
          <w:rFonts w:ascii="Arial" w:hAnsi="Arial" w:cs="Arial"/>
          <w:b/>
        </w:rPr>
        <w:t>2015-17-1-0007712</w:t>
      </w:r>
      <w:r w:rsidRPr="000C3A01">
        <w:rPr>
          <w:rFonts w:ascii="Arial" w:hAnsi="Arial" w:cs="Arial"/>
          <w:b/>
        </w:rPr>
        <w:t xml:space="preserve">, </w:t>
      </w:r>
      <w:proofErr w:type="spellStart"/>
      <w:r w:rsidRPr="000C3A01">
        <w:rPr>
          <w:rFonts w:ascii="Arial" w:hAnsi="Arial" w:cs="Arial"/>
          <w:b/>
        </w:rPr>
        <w:t>Ent</w:t>
      </w:r>
      <w:proofErr w:type="spellEnd"/>
      <w:r w:rsidRPr="000C3A01">
        <w:rPr>
          <w:rFonts w:ascii="Arial" w:hAnsi="Arial" w:cs="Arial"/>
          <w:b/>
        </w:rPr>
        <w:t>. N°</w:t>
      </w:r>
      <w:r w:rsidR="000C3A01" w:rsidRPr="000C3A01">
        <w:rPr>
          <w:rFonts w:ascii="Arial" w:hAnsi="Arial" w:cs="Arial"/>
          <w:b/>
        </w:rPr>
        <w:t>1593/17</w:t>
      </w:r>
      <w:r w:rsidR="000C3A01">
        <w:rPr>
          <w:rFonts w:ascii="Arial" w:hAnsi="Arial" w:cs="Arial"/>
          <w:b/>
        </w:rPr>
        <w:t>)</w:t>
      </w:r>
    </w:p>
    <w:p w:rsidR="00C8511B" w:rsidRDefault="00C8511B" w:rsidP="000C3A01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</w:t>
      </w:r>
      <w:r w:rsidR="002B36D6">
        <w:rPr>
          <w:rFonts w:ascii="Arial" w:hAnsi="Arial" w:cs="Arial"/>
        </w:rPr>
        <w:t xml:space="preserve">                   </w:t>
      </w:r>
    </w:p>
    <w:p w:rsidR="00C8511B" w:rsidRDefault="00C8511B" w:rsidP="000C3A0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las nuevas actuaciones remitidas por la Administración de las Obras Sanitarias del Estado, relacionadas con la </w:t>
      </w:r>
      <w:r w:rsidR="00323DF3">
        <w:rPr>
          <w:rFonts w:ascii="Arial" w:hAnsi="Arial" w:cs="Arial"/>
        </w:rPr>
        <w:t xml:space="preserve">reiteración </w:t>
      </w:r>
      <w:r w:rsidR="007A783D">
        <w:rPr>
          <w:rFonts w:ascii="Arial" w:hAnsi="Arial" w:cs="Arial"/>
        </w:rPr>
        <w:t xml:space="preserve">del gasto </w:t>
      </w:r>
      <w:r w:rsidR="00323DF3">
        <w:rPr>
          <w:rFonts w:ascii="Arial" w:hAnsi="Arial" w:cs="Arial"/>
        </w:rPr>
        <w:t xml:space="preserve">de la </w:t>
      </w:r>
      <w:r w:rsidR="00871AE3">
        <w:rPr>
          <w:rFonts w:ascii="Arial" w:hAnsi="Arial" w:cs="Arial"/>
        </w:rPr>
        <w:t xml:space="preserve">ampliación del 100% </w:t>
      </w:r>
      <w:r>
        <w:rPr>
          <w:rFonts w:ascii="Arial" w:hAnsi="Arial" w:cs="Arial"/>
        </w:rPr>
        <w:t>de la Licitación Pública N° 15.</w:t>
      </w:r>
      <w:r w:rsidR="003E65D1">
        <w:rPr>
          <w:rFonts w:ascii="Arial" w:hAnsi="Arial" w:cs="Arial"/>
        </w:rPr>
        <w:t>021</w:t>
      </w:r>
      <w:r>
        <w:rPr>
          <w:rFonts w:ascii="Arial" w:hAnsi="Arial" w:cs="Arial"/>
        </w:rPr>
        <w:t xml:space="preserve">, para </w:t>
      </w:r>
      <w:r w:rsidR="003E65D1">
        <w:rPr>
          <w:rFonts w:ascii="Arial" w:hAnsi="Arial" w:cs="Arial"/>
        </w:rPr>
        <w:t>la adquisición de soda cáustica líquida para la usina de aguas corrientes;</w:t>
      </w:r>
    </w:p>
    <w:p w:rsidR="00C8511B" w:rsidRDefault="00C8511B" w:rsidP="000C3A0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RESULTANDO: 1)</w:t>
      </w:r>
      <w:r>
        <w:rPr>
          <w:rFonts w:ascii="Arial" w:hAnsi="Arial" w:cs="Arial"/>
        </w:rPr>
        <w:t xml:space="preserve"> que por Resolución Nº </w:t>
      </w:r>
      <w:r w:rsidR="003E65D1">
        <w:rPr>
          <w:rFonts w:ascii="Arial" w:hAnsi="Arial" w:cs="Arial"/>
        </w:rPr>
        <w:t>729</w:t>
      </w:r>
      <w:r>
        <w:rPr>
          <w:rFonts w:ascii="Arial" w:hAnsi="Arial" w:cs="Arial"/>
        </w:rPr>
        <w:t xml:space="preserve">/15 de fecha </w:t>
      </w:r>
      <w:r w:rsidR="003E65D1">
        <w:rPr>
          <w:rFonts w:ascii="Arial" w:hAnsi="Arial" w:cs="Arial"/>
        </w:rPr>
        <w:t>08</w:t>
      </w:r>
      <w:r>
        <w:rPr>
          <w:rFonts w:ascii="Arial" w:hAnsi="Arial" w:cs="Arial"/>
        </w:rPr>
        <w:t>.</w:t>
      </w:r>
      <w:r w:rsidR="003E65D1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.15 fue adjudicada la licitación de referencia a </w:t>
      </w:r>
      <w:r w:rsidR="003E65D1">
        <w:rPr>
          <w:rFonts w:ascii="Arial" w:hAnsi="Arial" w:cs="Arial"/>
        </w:rPr>
        <w:t>Efice</w:t>
      </w:r>
      <w:r>
        <w:rPr>
          <w:rFonts w:ascii="Arial" w:hAnsi="Arial" w:cs="Arial"/>
        </w:rPr>
        <w:t xml:space="preserve"> S.A, </w:t>
      </w:r>
      <w:r w:rsidR="003E65D1">
        <w:rPr>
          <w:rFonts w:ascii="Arial" w:hAnsi="Arial" w:cs="Arial"/>
        </w:rPr>
        <w:t>autorizándose un crédito por la</w:t>
      </w:r>
      <w:r>
        <w:rPr>
          <w:rFonts w:ascii="Arial" w:hAnsi="Arial" w:cs="Arial"/>
        </w:rPr>
        <w:t xml:space="preserve"> suma de U$S </w:t>
      </w:r>
      <w:r w:rsidR="003E65D1">
        <w:rPr>
          <w:rFonts w:ascii="Arial" w:hAnsi="Arial" w:cs="Arial"/>
        </w:rPr>
        <w:t>1:867.500, más impuestos</w:t>
      </w:r>
      <w:r>
        <w:rPr>
          <w:rFonts w:ascii="Arial" w:hAnsi="Arial" w:cs="Arial"/>
        </w:rPr>
        <w:t>;</w:t>
      </w:r>
    </w:p>
    <w:p w:rsidR="009D0FEB" w:rsidRDefault="00C8511B" w:rsidP="000C3A01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</w:t>
      </w:r>
      <w:r w:rsidR="007A783D">
        <w:rPr>
          <w:rFonts w:ascii="Arial" w:hAnsi="Arial" w:cs="Arial"/>
        </w:rPr>
        <w:t xml:space="preserve">en </w:t>
      </w:r>
      <w:r w:rsidR="00756351">
        <w:rPr>
          <w:rFonts w:ascii="Arial" w:hAnsi="Arial" w:cs="Arial"/>
        </w:rPr>
        <w:t xml:space="preserve">Sesión de fecha 02.12.15 </w:t>
      </w:r>
      <w:r w:rsidR="005A7B24">
        <w:rPr>
          <w:rFonts w:ascii="Arial" w:hAnsi="Arial" w:cs="Arial"/>
        </w:rPr>
        <w:t xml:space="preserve">este Tribunal observó el gasto </w:t>
      </w:r>
      <w:r>
        <w:rPr>
          <w:rFonts w:ascii="Arial" w:hAnsi="Arial" w:cs="Arial"/>
        </w:rPr>
        <w:t xml:space="preserve">en </w:t>
      </w:r>
      <w:r w:rsidR="007A783D">
        <w:rPr>
          <w:rFonts w:ascii="Arial" w:hAnsi="Arial" w:cs="Arial"/>
        </w:rPr>
        <w:t xml:space="preserve">razón </w:t>
      </w:r>
      <w:r w:rsidR="009E44CB" w:rsidRPr="00756351">
        <w:rPr>
          <w:rFonts w:ascii="Arial" w:hAnsi="Arial" w:cs="Arial"/>
        </w:rPr>
        <w:t>de que</w:t>
      </w:r>
      <w:r w:rsidR="009D0FEB">
        <w:rPr>
          <w:rFonts w:ascii="Arial" w:hAnsi="Arial" w:cs="Arial"/>
        </w:rPr>
        <w:t>:</w:t>
      </w:r>
    </w:p>
    <w:p w:rsidR="009D0FEB" w:rsidRPr="009D0FEB" w:rsidRDefault="009D0FEB" w:rsidP="000C3A01">
      <w:pPr>
        <w:spacing w:line="360" w:lineRule="auto"/>
        <w:jc w:val="both"/>
        <w:rPr>
          <w:rFonts w:ascii="Arial" w:hAnsi="Arial" w:cs="Arial"/>
        </w:rPr>
      </w:pPr>
      <w:r w:rsidRPr="009D0FEB">
        <w:rPr>
          <w:rFonts w:ascii="Arial" w:hAnsi="Arial" w:cs="Arial"/>
          <w:b/>
        </w:rPr>
        <w:t>2.1)</w:t>
      </w:r>
      <w:r w:rsidRPr="009D0FEB">
        <w:rPr>
          <w:rFonts w:ascii="Arial" w:hAnsi="Arial" w:cs="Arial"/>
        </w:rPr>
        <w:t xml:space="preserve">  el  numeral  6.3  Capítulo  III  del  Pliego  de</w:t>
      </w:r>
      <w:r>
        <w:rPr>
          <w:rFonts w:ascii="Arial" w:hAnsi="Arial" w:cs="Arial"/>
        </w:rPr>
        <w:t xml:space="preserve"> </w:t>
      </w:r>
      <w:r w:rsidRPr="009D0FEB">
        <w:rPr>
          <w:rFonts w:ascii="Arial" w:hAnsi="Arial" w:cs="Arial"/>
        </w:rPr>
        <w:t>Condiciones Particulares que rigió el  llamado establece que será documento</w:t>
      </w:r>
      <w:r>
        <w:rPr>
          <w:rFonts w:ascii="Arial" w:hAnsi="Arial" w:cs="Arial"/>
        </w:rPr>
        <w:t xml:space="preserve"> </w:t>
      </w:r>
      <w:r w:rsidRPr="009D0FEB">
        <w:rPr>
          <w:rFonts w:ascii="Arial" w:hAnsi="Arial" w:cs="Arial"/>
        </w:rPr>
        <w:t>integrante de la oferta el comprobante que acredite haber adquirido el mismo,</w:t>
      </w:r>
      <w:r w:rsidR="00AD2419">
        <w:rPr>
          <w:rFonts w:ascii="Arial" w:hAnsi="Arial" w:cs="Arial"/>
        </w:rPr>
        <w:t xml:space="preserve"> </w:t>
      </w:r>
      <w:r w:rsidRPr="009D0FEB">
        <w:rPr>
          <w:rFonts w:ascii="Arial" w:hAnsi="Arial" w:cs="Arial"/>
        </w:rPr>
        <w:t>lo que no s</w:t>
      </w:r>
      <w:r w:rsidR="000C3A01">
        <w:rPr>
          <w:rFonts w:ascii="Arial" w:hAnsi="Arial" w:cs="Arial"/>
        </w:rPr>
        <w:t>e ajusta a lo dispuesto por el a</w:t>
      </w:r>
      <w:r w:rsidRPr="009D0FEB">
        <w:rPr>
          <w:rFonts w:ascii="Arial" w:hAnsi="Arial" w:cs="Arial"/>
        </w:rPr>
        <w:t>rtículo 48 del TOCAF por cuanto la</w:t>
      </w:r>
      <w:r w:rsidR="00AD2419">
        <w:rPr>
          <w:rFonts w:ascii="Arial" w:hAnsi="Arial" w:cs="Arial"/>
        </w:rPr>
        <w:t xml:space="preserve"> </w:t>
      </w:r>
      <w:r w:rsidRPr="009D0FEB">
        <w:rPr>
          <w:rFonts w:ascii="Arial" w:hAnsi="Arial" w:cs="Arial"/>
        </w:rPr>
        <w:t>adquisición  del  Pliego  constituye  un  requisito  que  no  está  directamente</w:t>
      </w:r>
      <w:r w:rsidR="00AD2419">
        <w:rPr>
          <w:rFonts w:ascii="Arial" w:hAnsi="Arial" w:cs="Arial"/>
        </w:rPr>
        <w:t xml:space="preserve"> </w:t>
      </w:r>
      <w:r w:rsidRPr="009D0FEB">
        <w:rPr>
          <w:rFonts w:ascii="Arial" w:hAnsi="Arial" w:cs="Arial"/>
        </w:rPr>
        <w:t>vinculado a la consideración del objeto de la contratación y la evaluación de la</w:t>
      </w:r>
      <w:r w:rsidR="00AD2419">
        <w:rPr>
          <w:rFonts w:ascii="Arial" w:hAnsi="Arial" w:cs="Arial"/>
        </w:rPr>
        <w:t xml:space="preserve"> </w:t>
      </w:r>
      <w:r w:rsidRPr="009D0FEB">
        <w:rPr>
          <w:rFonts w:ascii="Arial" w:hAnsi="Arial" w:cs="Arial"/>
        </w:rPr>
        <w:t>oferta,  sino  que  únicamente  corresponde  exigirlo  al  oferente  que  resulte</w:t>
      </w:r>
      <w:r w:rsidR="00AD2419">
        <w:rPr>
          <w:rFonts w:ascii="Arial" w:hAnsi="Arial" w:cs="Arial"/>
        </w:rPr>
        <w:t xml:space="preserve"> </w:t>
      </w:r>
      <w:r w:rsidRPr="009D0FEB">
        <w:rPr>
          <w:rFonts w:ascii="Arial" w:hAnsi="Arial" w:cs="Arial"/>
        </w:rPr>
        <w:t>adjudicatario;</w:t>
      </w:r>
    </w:p>
    <w:p w:rsidR="00AD2419" w:rsidRDefault="00AD2419" w:rsidP="000C3A01">
      <w:pPr>
        <w:spacing w:line="360" w:lineRule="auto"/>
        <w:jc w:val="both"/>
        <w:rPr>
          <w:rFonts w:ascii="Arial" w:hAnsi="Arial" w:cs="Arial"/>
        </w:rPr>
      </w:pPr>
      <w:r w:rsidRPr="00AD2419">
        <w:rPr>
          <w:rFonts w:ascii="Arial" w:hAnsi="Arial" w:cs="Arial"/>
          <w:b/>
        </w:rPr>
        <w:t>2.</w:t>
      </w:r>
      <w:r w:rsidR="009D0FEB" w:rsidRPr="00AD2419">
        <w:rPr>
          <w:rFonts w:ascii="Arial" w:hAnsi="Arial" w:cs="Arial"/>
          <w:b/>
        </w:rPr>
        <w:t>2)</w:t>
      </w:r>
      <w:r w:rsidR="009D0FEB" w:rsidRPr="009D0FEB">
        <w:rPr>
          <w:rFonts w:ascii="Arial" w:hAnsi="Arial" w:cs="Arial"/>
        </w:rPr>
        <w:t xml:space="preserve"> hubo un apartamiento sustancial de las bases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 xml:space="preserve">del llamado ya que se incumplió con lo dispuesto por el </w:t>
      </w:r>
      <w:r w:rsidR="000C3A01">
        <w:rPr>
          <w:rFonts w:ascii="Arial" w:hAnsi="Arial" w:cs="Arial"/>
        </w:rPr>
        <w:t>N</w:t>
      </w:r>
      <w:r w:rsidR="009D0FEB" w:rsidRPr="009D0FEB">
        <w:rPr>
          <w:rFonts w:ascii="Arial" w:hAnsi="Arial" w:cs="Arial"/>
        </w:rPr>
        <w:t>umeral 9.1 Capítulo II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del  Pliego de Condiciones Particulares que requiere que las ofertas cumplan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estrictamente con los requisitos allí establecidos. Los certificados requeridos en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los numerales 5.3 y 5.8 debieron ser presentados junto con la oferta, lo que no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se cumplió, contraviniéndose el Capítulo III por cuanto el numeral 6.1 establece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que las propuestas deberán ceñirse a las condi</w:t>
      </w:r>
      <w:r>
        <w:rPr>
          <w:rFonts w:ascii="Arial" w:hAnsi="Arial" w:cs="Arial"/>
        </w:rPr>
        <w:t xml:space="preserve">ciones y formas establecidas en </w:t>
      </w:r>
      <w:r w:rsidR="009D0FEB" w:rsidRPr="009D0FEB">
        <w:rPr>
          <w:rFonts w:ascii="Arial" w:hAnsi="Arial" w:cs="Arial"/>
        </w:rPr>
        <w:t>el  Pliego  de  Condiciones  Particulares,  pudiéndose  agregar  cualqui</w:t>
      </w:r>
      <w:bookmarkStart w:id="0" w:name="_GoBack"/>
      <w:bookmarkEnd w:id="0"/>
      <w:r w:rsidR="009D0FEB" w:rsidRPr="009D0FEB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lastRenderedPageBreak/>
        <w:t>información complementaria pero sin omitir las exigencias requeridas, así como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también  el  6.3  c)  que  exige  como  documento  integrante  de  la  oferta  la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presentación de los certificados requeridos en el Capítulo II. En consecuencia,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la propuesta de Efice S.A. debió ser rechazada;</w:t>
      </w:r>
    </w:p>
    <w:p w:rsidR="009D0FEB" w:rsidRPr="009D0FEB" w:rsidRDefault="00AD2419" w:rsidP="000C3A01">
      <w:pPr>
        <w:spacing w:line="360" w:lineRule="auto"/>
        <w:jc w:val="both"/>
        <w:rPr>
          <w:rFonts w:ascii="Arial" w:hAnsi="Arial" w:cs="Arial"/>
        </w:rPr>
      </w:pPr>
      <w:r w:rsidRPr="00AD2419">
        <w:rPr>
          <w:rFonts w:ascii="Arial" w:hAnsi="Arial" w:cs="Arial"/>
          <w:b/>
        </w:rPr>
        <w:t>2.</w:t>
      </w:r>
      <w:r w:rsidR="009D0FEB" w:rsidRPr="00AD2419">
        <w:rPr>
          <w:rFonts w:ascii="Arial" w:hAnsi="Arial" w:cs="Arial"/>
          <w:b/>
        </w:rPr>
        <w:t>3)</w:t>
      </w:r>
      <w:r w:rsidR="009D0FEB" w:rsidRPr="009D0FEB">
        <w:rPr>
          <w:rFonts w:ascii="Arial" w:hAnsi="Arial" w:cs="Arial"/>
        </w:rPr>
        <w:t xml:space="preserve"> no debió otorgarse el  plazo de dos días hábiles a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efectos de que Efice S.A. presentara el certificado requerido en el numeral 5.8Capítulo  II  del  Pliego  de  Condiciones  Particulares,  pues  se  infringe  lo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 xml:space="preserve">estipulado en el </w:t>
      </w:r>
      <w:r w:rsidR="000C3A01">
        <w:rPr>
          <w:rFonts w:ascii="Arial" w:hAnsi="Arial" w:cs="Arial"/>
        </w:rPr>
        <w:t>A</w:t>
      </w:r>
      <w:r w:rsidR="009D0FEB" w:rsidRPr="009D0FEB">
        <w:rPr>
          <w:rFonts w:ascii="Arial" w:hAnsi="Arial" w:cs="Arial"/>
        </w:rPr>
        <w:t>rtículo 65 inciso 7° del TOCAF, ya que su objeto responde a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salvar  defectos,  carencias  formales  o  errores  evidentes  o  de  escasa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importancia y la presentación del referido certificado de análisis es un requisito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que debió cumplirse junto con la presentación de la oferta;</w:t>
      </w:r>
    </w:p>
    <w:p w:rsidR="00AD2419" w:rsidRDefault="00AD2419" w:rsidP="000C3A01">
      <w:pPr>
        <w:spacing w:line="360" w:lineRule="auto"/>
        <w:jc w:val="both"/>
        <w:rPr>
          <w:rFonts w:ascii="Arial" w:hAnsi="Arial" w:cs="Arial"/>
        </w:rPr>
      </w:pPr>
      <w:r w:rsidRPr="00AD2419">
        <w:rPr>
          <w:rFonts w:ascii="Arial" w:hAnsi="Arial" w:cs="Arial"/>
          <w:b/>
        </w:rPr>
        <w:t>2.</w:t>
      </w:r>
      <w:r w:rsidR="0062132B">
        <w:rPr>
          <w:rFonts w:ascii="Arial" w:hAnsi="Arial" w:cs="Arial"/>
          <w:b/>
        </w:rPr>
        <w:t>4)</w:t>
      </w:r>
      <w:r w:rsidR="009D0FEB" w:rsidRPr="009D0FEB">
        <w:rPr>
          <w:rFonts w:ascii="Arial" w:hAnsi="Arial" w:cs="Arial"/>
        </w:rPr>
        <w:t xml:space="preserve"> la  presentación  de  la  </w:t>
      </w:r>
      <w:r w:rsidRPr="009D0FEB">
        <w:rPr>
          <w:rFonts w:ascii="Arial" w:hAnsi="Arial" w:cs="Arial"/>
        </w:rPr>
        <w:t xml:space="preserve">referida </w:t>
      </w:r>
      <w:r w:rsidR="009D0FEB" w:rsidRPr="009D0FEB">
        <w:rPr>
          <w:rFonts w:ascii="Arial" w:hAnsi="Arial" w:cs="Arial"/>
        </w:rPr>
        <w:t>nota  con fecha 03.06.15, fue realizada fuera del plazo de dos días</w:t>
      </w:r>
      <w:r w:rsidR="009A302B"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 xml:space="preserve">hábiles otorgado; </w:t>
      </w:r>
    </w:p>
    <w:p w:rsidR="009D0FEB" w:rsidRPr="009D0FEB" w:rsidRDefault="00AD2419" w:rsidP="000C3A0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 w:rsidR="009D0FEB" w:rsidRPr="00AD2419">
        <w:rPr>
          <w:rFonts w:ascii="Arial" w:hAnsi="Arial" w:cs="Arial"/>
          <w:b/>
        </w:rPr>
        <w:t>5)</w:t>
      </w:r>
      <w:r w:rsidR="00B30455"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 xml:space="preserve">no surge de </w:t>
      </w:r>
      <w:r>
        <w:rPr>
          <w:rFonts w:ascii="Arial" w:hAnsi="Arial" w:cs="Arial"/>
        </w:rPr>
        <w:t xml:space="preserve">las actuaciones que Efice S.A. </w:t>
      </w:r>
      <w:r w:rsidR="009D0FEB" w:rsidRPr="009D0FEB">
        <w:rPr>
          <w:rFonts w:ascii="Arial" w:hAnsi="Arial" w:cs="Arial"/>
        </w:rPr>
        <w:t>presentara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junto con su propuesta la información correspondiente a sus antecedentes tal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como lo preceptúa el numeral 6.3 c) Capítulo III del Pliego de Condiciones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Particulares;</w:t>
      </w:r>
    </w:p>
    <w:p w:rsidR="00756351" w:rsidRPr="009D0FEB" w:rsidRDefault="00AD2419" w:rsidP="000C3A01">
      <w:pPr>
        <w:spacing w:line="360" w:lineRule="auto"/>
        <w:jc w:val="both"/>
        <w:rPr>
          <w:rFonts w:ascii="Arial" w:hAnsi="Arial" w:cs="Arial"/>
          <w:lang w:val="es-UY"/>
        </w:rPr>
      </w:pPr>
      <w:r w:rsidRPr="00AD2419">
        <w:rPr>
          <w:rFonts w:ascii="Arial" w:hAnsi="Arial" w:cs="Arial"/>
          <w:b/>
        </w:rPr>
        <w:t>2.</w:t>
      </w:r>
      <w:r w:rsidR="009D0FEB" w:rsidRPr="00AD2419">
        <w:rPr>
          <w:rFonts w:ascii="Arial" w:hAnsi="Arial" w:cs="Arial"/>
          <w:b/>
        </w:rPr>
        <w:t>6)</w:t>
      </w:r>
      <w:r w:rsidR="009D0FEB" w:rsidRPr="009D0F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consecuencia, </w:t>
      </w:r>
      <w:r w:rsidR="009D0FEB" w:rsidRPr="009D0FEB">
        <w:rPr>
          <w:rFonts w:ascii="Arial" w:hAnsi="Arial" w:cs="Arial"/>
        </w:rPr>
        <w:t>se ha vulnerado el principio de concurrencia (artículo 149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literal  B  del  TOCAF)  por  cuanto  otros  eventuales  oferentes  que  pudieron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haberse presentado al llamado, no lo hicieron por no cumplir con los requisitos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exigidos  en  el  Pliego  de  Condiciones  Particulares  y  sin  embargo pudieron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haberlo  hecho  de  saber  que  tales  extremos  dejarían  de  ser  exigidos  con</w:t>
      </w:r>
      <w:r>
        <w:rPr>
          <w:rFonts w:ascii="Arial" w:hAnsi="Arial" w:cs="Arial"/>
        </w:rPr>
        <w:t xml:space="preserve"> </w:t>
      </w:r>
      <w:r w:rsidR="009D0FEB" w:rsidRPr="009D0FEB">
        <w:rPr>
          <w:rFonts w:ascii="Arial" w:hAnsi="Arial" w:cs="Arial"/>
        </w:rPr>
        <w:t>posterioridad a la presentación de las ofertas;</w:t>
      </w:r>
    </w:p>
    <w:p w:rsidR="00B705B4" w:rsidRDefault="00756351" w:rsidP="000C3A01">
      <w:pPr>
        <w:spacing w:line="360" w:lineRule="auto"/>
        <w:ind w:firstLine="2835"/>
        <w:jc w:val="both"/>
        <w:rPr>
          <w:rFonts w:ascii="Arial" w:hAnsi="Arial" w:cs="Arial"/>
        </w:rPr>
      </w:pPr>
      <w:r w:rsidRPr="00756351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que por </w:t>
      </w:r>
      <w:r w:rsidR="00C8511B">
        <w:rPr>
          <w:rFonts w:ascii="Arial" w:hAnsi="Arial" w:cs="Arial"/>
        </w:rPr>
        <w:t>Resolución Nº 6</w:t>
      </w:r>
      <w:r w:rsidR="001F418C">
        <w:rPr>
          <w:rFonts w:ascii="Arial" w:hAnsi="Arial" w:cs="Arial"/>
        </w:rPr>
        <w:t>4/16 de fecha 03.02.16</w:t>
      </w:r>
      <w:r w:rsidR="007A783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el Directorio reiteró el gasto</w:t>
      </w:r>
      <w:r w:rsidR="003E27FD">
        <w:rPr>
          <w:rFonts w:ascii="Arial" w:hAnsi="Arial" w:cs="Arial"/>
        </w:rPr>
        <w:t xml:space="preserve">, </w:t>
      </w:r>
      <w:r w:rsidR="007A783D">
        <w:rPr>
          <w:rFonts w:ascii="Arial" w:hAnsi="Arial" w:cs="Arial"/>
        </w:rPr>
        <w:t xml:space="preserve">observación que fue </w:t>
      </w:r>
      <w:r w:rsidR="003E27FD">
        <w:rPr>
          <w:rFonts w:ascii="Arial" w:hAnsi="Arial" w:cs="Arial"/>
        </w:rPr>
        <w:t xml:space="preserve"> mantenid</w:t>
      </w:r>
      <w:r w:rsidR="007A783D">
        <w:rPr>
          <w:rFonts w:ascii="Arial" w:hAnsi="Arial" w:cs="Arial"/>
        </w:rPr>
        <w:t>a</w:t>
      </w:r>
      <w:r w:rsidR="003E27FD">
        <w:rPr>
          <w:rFonts w:ascii="Arial" w:hAnsi="Arial" w:cs="Arial"/>
        </w:rPr>
        <w:t xml:space="preserve"> por este </w:t>
      </w:r>
      <w:r w:rsidR="000C3A01">
        <w:rPr>
          <w:rFonts w:ascii="Arial" w:hAnsi="Arial" w:cs="Arial"/>
        </w:rPr>
        <w:t xml:space="preserve"> Tribunal</w:t>
      </w:r>
      <w:r w:rsidR="007A783D">
        <w:rPr>
          <w:rFonts w:ascii="Arial" w:hAnsi="Arial" w:cs="Arial"/>
        </w:rPr>
        <w:t>,</w:t>
      </w:r>
      <w:r w:rsidR="000C3A01">
        <w:rPr>
          <w:rFonts w:ascii="Arial" w:hAnsi="Arial" w:cs="Arial"/>
        </w:rPr>
        <w:t xml:space="preserve"> </w:t>
      </w:r>
      <w:r w:rsidR="003E27FD">
        <w:rPr>
          <w:rFonts w:ascii="Arial" w:hAnsi="Arial" w:cs="Arial"/>
        </w:rPr>
        <w:t xml:space="preserve">en </w:t>
      </w:r>
      <w:r w:rsidR="00AA4A71">
        <w:rPr>
          <w:rFonts w:ascii="Arial" w:hAnsi="Arial" w:cs="Arial"/>
        </w:rPr>
        <w:t>Resolución</w:t>
      </w:r>
      <w:r w:rsidR="003E27FD">
        <w:rPr>
          <w:rFonts w:ascii="Arial" w:hAnsi="Arial" w:cs="Arial"/>
        </w:rPr>
        <w:t xml:space="preserve"> Nº938/16 de fecha 30.3.16;</w:t>
      </w:r>
    </w:p>
    <w:p w:rsidR="003E27FD" w:rsidRDefault="003E27FD" w:rsidP="000C3A01">
      <w:pPr>
        <w:spacing w:line="360" w:lineRule="auto"/>
        <w:ind w:firstLine="2835"/>
        <w:jc w:val="both"/>
        <w:rPr>
          <w:rFonts w:ascii="Arial" w:hAnsi="Arial" w:cs="Arial"/>
        </w:rPr>
      </w:pPr>
      <w:r w:rsidRPr="005769FC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</w:t>
      </w:r>
      <w:r w:rsidR="00323DF3">
        <w:rPr>
          <w:rFonts w:ascii="Arial" w:hAnsi="Arial" w:cs="Arial"/>
        </w:rPr>
        <w:t xml:space="preserve"> posteriormente, </w:t>
      </w:r>
      <w:r>
        <w:rPr>
          <w:rFonts w:ascii="Arial" w:hAnsi="Arial" w:cs="Arial"/>
        </w:rPr>
        <w:t xml:space="preserve">por </w:t>
      </w:r>
      <w:r w:rsidR="00AA4A71">
        <w:rPr>
          <w:rFonts w:ascii="Arial" w:hAnsi="Arial" w:cs="Arial"/>
        </w:rPr>
        <w:t>Resolución</w:t>
      </w:r>
      <w:r w:rsidR="00605AAA">
        <w:rPr>
          <w:rFonts w:ascii="Arial" w:hAnsi="Arial" w:cs="Arial"/>
        </w:rPr>
        <w:t xml:space="preserve"> </w:t>
      </w:r>
      <w:r w:rsidR="000C3A01">
        <w:rPr>
          <w:rFonts w:ascii="Arial" w:hAnsi="Arial" w:cs="Arial"/>
        </w:rPr>
        <w:t xml:space="preserve">                  </w:t>
      </w:r>
      <w:r w:rsidR="00AA42E9">
        <w:rPr>
          <w:rFonts w:ascii="Arial" w:hAnsi="Arial" w:cs="Arial"/>
        </w:rPr>
        <w:t>N</w:t>
      </w:r>
      <w:r w:rsidR="00605AAA">
        <w:rPr>
          <w:rFonts w:ascii="Arial" w:hAnsi="Arial" w:cs="Arial"/>
        </w:rPr>
        <w:t xml:space="preserve">º R/D 1660/16 </w:t>
      </w:r>
      <w:r>
        <w:rPr>
          <w:rFonts w:ascii="Arial" w:hAnsi="Arial" w:cs="Arial"/>
        </w:rPr>
        <w:t xml:space="preserve">de fecha </w:t>
      </w:r>
      <w:r w:rsidR="00605AAA">
        <w:rPr>
          <w:rFonts w:ascii="Arial" w:hAnsi="Arial" w:cs="Arial"/>
        </w:rPr>
        <w:t xml:space="preserve">23.11.16 el Directorio dispuso ampliar  en un 100% la licitación de referencia adjudicada a la firma EFICE SA, por </w:t>
      </w:r>
      <w:r w:rsidR="00AA42E9">
        <w:rPr>
          <w:rFonts w:ascii="Arial" w:hAnsi="Arial" w:cs="Arial"/>
        </w:rPr>
        <w:t xml:space="preserve">un monto total de </w:t>
      </w:r>
      <w:r w:rsidR="000C3A01">
        <w:rPr>
          <w:rFonts w:ascii="Arial" w:hAnsi="Arial" w:cs="Arial"/>
        </w:rPr>
        <w:t xml:space="preserve">  </w:t>
      </w:r>
      <w:r w:rsidR="00AA42E9">
        <w:rPr>
          <w:rFonts w:ascii="Arial" w:hAnsi="Arial" w:cs="Arial"/>
        </w:rPr>
        <w:t>$ U$S 2.278.350</w:t>
      </w:r>
      <w:r w:rsidR="007A783D">
        <w:rPr>
          <w:rFonts w:ascii="Arial" w:hAnsi="Arial" w:cs="Arial"/>
        </w:rPr>
        <w:t>,</w:t>
      </w:r>
      <w:r w:rsidR="00AA42E9">
        <w:rPr>
          <w:rFonts w:ascii="Arial" w:hAnsi="Arial" w:cs="Arial"/>
        </w:rPr>
        <w:t xml:space="preserve"> impuestos incluidos; </w:t>
      </w:r>
    </w:p>
    <w:p w:rsidR="003E27FD" w:rsidRDefault="00AA42E9" w:rsidP="000C3A0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769FC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    </w:t>
      </w:r>
      <w:r w:rsidRPr="005769FC">
        <w:rPr>
          <w:rFonts w:ascii="Arial" w:hAnsi="Arial" w:cs="Arial"/>
          <w:b/>
        </w:rPr>
        <w:t>5)</w:t>
      </w:r>
      <w:r>
        <w:rPr>
          <w:rFonts w:ascii="Arial" w:hAnsi="Arial" w:cs="Arial"/>
        </w:rPr>
        <w:t xml:space="preserve"> </w:t>
      </w:r>
      <w:r w:rsidR="00323DF3">
        <w:rPr>
          <w:rFonts w:ascii="Arial" w:hAnsi="Arial" w:cs="Arial"/>
        </w:rPr>
        <w:t>que este Tribun</w:t>
      </w:r>
      <w:r w:rsidR="000C3A01">
        <w:rPr>
          <w:rFonts w:ascii="Arial" w:hAnsi="Arial" w:cs="Arial"/>
        </w:rPr>
        <w:t>al</w:t>
      </w:r>
      <w:r w:rsidR="007A783D">
        <w:rPr>
          <w:rFonts w:ascii="Arial" w:hAnsi="Arial" w:cs="Arial"/>
        </w:rPr>
        <w:t>,</w:t>
      </w:r>
      <w:r w:rsidR="000C3A01">
        <w:rPr>
          <w:rFonts w:ascii="Arial" w:hAnsi="Arial" w:cs="Arial"/>
        </w:rPr>
        <w:t xml:space="preserve"> </w:t>
      </w:r>
      <w:r w:rsidR="0062132B">
        <w:rPr>
          <w:rFonts w:ascii="Arial" w:hAnsi="Arial" w:cs="Arial"/>
        </w:rPr>
        <w:t>por Resolución N°565/17 de</w:t>
      </w:r>
      <w:r w:rsidR="007A783D">
        <w:rPr>
          <w:rFonts w:ascii="Arial" w:hAnsi="Arial" w:cs="Arial"/>
        </w:rPr>
        <w:t>l</w:t>
      </w:r>
      <w:r w:rsidR="0062132B">
        <w:rPr>
          <w:rFonts w:ascii="Arial" w:hAnsi="Arial" w:cs="Arial"/>
        </w:rPr>
        <w:t xml:space="preserve"> 01.02.17, observó</w:t>
      </w:r>
      <w:r w:rsidR="00323DF3">
        <w:rPr>
          <w:rFonts w:ascii="Arial" w:hAnsi="Arial" w:cs="Arial"/>
        </w:rPr>
        <w:t xml:space="preserve"> el gasto</w:t>
      </w:r>
      <w:r w:rsidR="0062132B">
        <w:rPr>
          <w:rFonts w:ascii="Arial" w:hAnsi="Arial" w:cs="Arial"/>
        </w:rPr>
        <w:t xml:space="preserve">,  en razón de </w:t>
      </w:r>
      <w:r w:rsidR="00323DF3">
        <w:rPr>
          <w:rFonts w:ascii="Arial" w:hAnsi="Arial" w:cs="Arial"/>
        </w:rPr>
        <w:t>que</w:t>
      </w:r>
      <w:r w:rsidR="00323DF3" w:rsidRPr="00323DF3">
        <w:t xml:space="preserve"> </w:t>
      </w:r>
      <w:r w:rsidR="00323DF3">
        <w:rPr>
          <w:rFonts w:ascii="Arial" w:hAnsi="Arial" w:cs="Arial"/>
        </w:rPr>
        <w:t xml:space="preserve">el mismo, </w:t>
      </w:r>
      <w:r w:rsidR="007A783D">
        <w:rPr>
          <w:rFonts w:ascii="Arial" w:hAnsi="Arial" w:cs="Arial"/>
        </w:rPr>
        <w:t xml:space="preserve">deriva </w:t>
      </w:r>
      <w:r w:rsidR="00323DF3" w:rsidRPr="00323DF3">
        <w:rPr>
          <w:rFonts w:ascii="Arial" w:hAnsi="Arial" w:cs="Arial"/>
        </w:rPr>
        <w:t xml:space="preserve"> de un </w:t>
      </w:r>
      <w:r w:rsidR="00323DF3" w:rsidRPr="00323DF3">
        <w:rPr>
          <w:rFonts w:ascii="Arial" w:hAnsi="Arial" w:cs="Arial"/>
        </w:rPr>
        <w:lastRenderedPageBreak/>
        <w:t xml:space="preserve">procedimiento </w:t>
      </w:r>
      <w:r w:rsidR="007A783D">
        <w:rPr>
          <w:rFonts w:ascii="Arial" w:hAnsi="Arial" w:cs="Arial"/>
        </w:rPr>
        <w:t xml:space="preserve">cuyo gasto fue </w:t>
      </w:r>
      <w:r w:rsidR="00323DF3" w:rsidRPr="00323DF3">
        <w:rPr>
          <w:rFonts w:ascii="Arial" w:hAnsi="Arial" w:cs="Arial"/>
        </w:rPr>
        <w:t>observado por este Tribunal por</w:t>
      </w:r>
      <w:r w:rsidR="0062132B">
        <w:rPr>
          <w:rFonts w:ascii="Arial" w:hAnsi="Arial" w:cs="Arial"/>
        </w:rPr>
        <w:t xml:space="preserve"> causas </w:t>
      </w:r>
      <w:r w:rsidR="00323DF3" w:rsidRPr="00323DF3">
        <w:rPr>
          <w:rFonts w:ascii="Arial" w:hAnsi="Arial" w:cs="Arial"/>
        </w:rPr>
        <w:t xml:space="preserve"> no subsanables</w:t>
      </w:r>
      <w:r w:rsidR="00323DF3">
        <w:rPr>
          <w:rFonts w:ascii="Arial" w:hAnsi="Arial" w:cs="Arial"/>
        </w:rPr>
        <w:t>;</w:t>
      </w:r>
    </w:p>
    <w:p w:rsidR="00323DF3" w:rsidRPr="00323DF3" w:rsidRDefault="00323DF3" w:rsidP="000C3A0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Pr="00323DF3">
        <w:rPr>
          <w:rFonts w:ascii="Arial" w:hAnsi="Arial" w:cs="Arial"/>
          <w:b/>
        </w:rPr>
        <w:t>6)</w:t>
      </w:r>
      <w:r>
        <w:rPr>
          <w:rFonts w:ascii="Arial" w:hAnsi="Arial" w:cs="Arial"/>
        </w:rPr>
        <w:t xml:space="preserve"> que por Resolución N° 329/17 de fecha 15.3.17 el Directorio reitera el gasto expresando que: a) en oportunidad del dictado de la R/D N° 64/16 de  3.2.16, por la cual se reiteró el gasto de la Licitación, se expusieron los motivos por los cuale</w:t>
      </w:r>
      <w:r w:rsidR="001B15CB">
        <w:rPr>
          <w:rFonts w:ascii="Arial" w:hAnsi="Arial" w:cs="Arial"/>
        </w:rPr>
        <w:t xml:space="preserve">s se daba respuesta a la observación que se plantea para la ampliación y por lo tanto se remite a ella; b) </w:t>
      </w:r>
      <w:r w:rsidR="0062132B">
        <w:rPr>
          <w:rFonts w:ascii="Arial" w:hAnsi="Arial" w:cs="Arial"/>
        </w:rPr>
        <w:t xml:space="preserve"> se trata de un suministro crí</w:t>
      </w:r>
      <w:r w:rsidR="001B15CB">
        <w:rPr>
          <w:rFonts w:ascii="Arial" w:hAnsi="Arial" w:cs="Arial"/>
        </w:rPr>
        <w:t>tico para la Administración, imprescindible para el proceso de potabilización del agua en la Usina de Aguas Corrientes, siendo el oferente adjudicatario, el único fabricante de plaza;</w:t>
      </w:r>
    </w:p>
    <w:p w:rsidR="005769FC" w:rsidRDefault="00A02756" w:rsidP="000C3A01">
      <w:pPr>
        <w:spacing w:line="360" w:lineRule="auto"/>
        <w:ind w:firstLine="851"/>
        <w:jc w:val="both"/>
      </w:pPr>
      <w:r w:rsidRPr="005769FC">
        <w:rPr>
          <w:rFonts w:ascii="Arial" w:hAnsi="Arial" w:cs="Arial"/>
          <w:b/>
        </w:rPr>
        <w:t xml:space="preserve">CONSIDERANDO: </w:t>
      </w:r>
      <w:r w:rsidR="001B15CB">
        <w:rPr>
          <w:rFonts w:ascii="Arial" w:hAnsi="Arial" w:cs="Arial"/>
        </w:rPr>
        <w:t xml:space="preserve">que en </w:t>
      </w:r>
      <w:r w:rsidR="0062132B">
        <w:rPr>
          <w:rFonts w:ascii="Arial" w:hAnsi="Arial" w:cs="Arial"/>
        </w:rPr>
        <w:t xml:space="preserve"> relación a los argumentos brindados</w:t>
      </w:r>
      <w:r w:rsidR="007A783D">
        <w:rPr>
          <w:rFonts w:ascii="Arial" w:hAnsi="Arial" w:cs="Arial"/>
        </w:rPr>
        <w:t xml:space="preserve"> por la Administración, en la reiteración</w:t>
      </w:r>
      <w:r w:rsidR="0062132B">
        <w:rPr>
          <w:rFonts w:ascii="Arial" w:hAnsi="Arial" w:cs="Arial"/>
        </w:rPr>
        <w:t xml:space="preserve"> </w:t>
      </w:r>
      <w:r w:rsidR="00526AC2">
        <w:rPr>
          <w:rFonts w:ascii="Arial" w:hAnsi="Arial" w:cs="Arial"/>
        </w:rPr>
        <w:t xml:space="preserve"> este Tribunal </w:t>
      </w:r>
      <w:r w:rsidR="0062132B">
        <w:rPr>
          <w:rFonts w:ascii="Arial" w:hAnsi="Arial" w:cs="Arial"/>
        </w:rPr>
        <w:t xml:space="preserve">se pronunció </w:t>
      </w:r>
      <w:r w:rsidR="00526AC2">
        <w:rPr>
          <w:rFonts w:ascii="Arial" w:hAnsi="Arial" w:cs="Arial"/>
        </w:rPr>
        <w:t>oportunamente</w:t>
      </w:r>
      <w:r w:rsidR="0062132B">
        <w:rPr>
          <w:rFonts w:ascii="Arial" w:hAnsi="Arial" w:cs="Arial"/>
        </w:rPr>
        <w:t xml:space="preserve">, </w:t>
      </w:r>
      <w:r w:rsidR="00526AC2">
        <w:rPr>
          <w:rFonts w:ascii="Arial" w:hAnsi="Arial" w:cs="Arial"/>
        </w:rPr>
        <w:t xml:space="preserve"> en Sesión de fecha 30.3.</w:t>
      </w:r>
      <w:r w:rsidR="0062132B">
        <w:rPr>
          <w:rFonts w:ascii="Arial" w:hAnsi="Arial" w:cs="Arial"/>
        </w:rPr>
        <w:t>20</w:t>
      </w:r>
      <w:r w:rsidR="00526AC2">
        <w:rPr>
          <w:rFonts w:ascii="Arial" w:hAnsi="Arial" w:cs="Arial"/>
        </w:rPr>
        <w:t>16,</w:t>
      </w:r>
      <w:r w:rsidR="0062132B">
        <w:rPr>
          <w:rFonts w:ascii="Arial" w:hAnsi="Arial" w:cs="Arial"/>
        </w:rPr>
        <w:t xml:space="preserve"> </w:t>
      </w:r>
      <w:r w:rsidR="007A783D">
        <w:rPr>
          <w:rFonts w:ascii="Arial" w:hAnsi="Arial" w:cs="Arial"/>
        </w:rPr>
        <w:t xml:space="preserve"> manteniéndose </w:t>
      </w:r>
      <w:r w:rsidR="001B15CB">
        <w:rPr>
          <w:rFonts w:ascii="Arial" w:hAnsi="Arial" w:cs="Arial"/>
        </w:rPr>
        <w:t xml:space="preserve"> incambiados los fundamentos que dieron lugar a la presente observación;</w:t>
      </w:r>
    </w:p>
    <w:p w:rsidR="00C8511B" w:rsidRDefault="004E1231" w:rsidP="000C3A01">
      <w:pPr>
        <w:spacing w:line="360" w:lineRule="auto"/>
        <w:ind w:firstLine="851"/>
        <w:jc w:val="both"/>
        <w:rPr>
          <w:rFonts w:ascii="Arial" w:hAnsi="Arial" w:cs="Arial"/>
        </w:rPr>
      </w:pPr>
      <w:r w:rsidRPr="004E1231">
        <w:rPr>
          <w:rFonts w:ascii="Arial" w:hAnsi="Arial" w:cs="Arial"/>
          <w:b/>
        </w:rPr>
        <w:t>A</w:t>
      </w:r>
      <w:r w:rsidR="00C8511B" w:rsidRPr="004E1231">
        <w:rPr>
          <w:rFonts w:ascii="Arial" w:hAnsi="Arial" w:cs="Arial"/>
          <w:b/>
        </w:rPr>
        <w:t>TENTO</w:t>
      </w:r>
      <w:r w:rsidR="00C8511B">
        <w:rPr>
          <w:rFonts w:ascii="Arial" w:hAnsi="Arial" w:cs="Arial"/>
          <w:b/>
        </w:rPr>
        <w:t>:</w:t>
      </w:r>
      <w:r w:rsidR="00C8511B">
        <w:rPr>
          <w:rFonts w:ascii="Arial" w:hAnsi="Arial" w:cs="Arial"/>
        </w:rPr>
        <w:t xml:space="preserve"> a lo exp</w:t>
      </w:r>
      <w:r w:rsidR="000C3A01">
        <w:rPr>
          <w:rFonts w:ascii="Arial" w:hAnsi="Arial" w:cs="Arial"/>
        </w:rPr>
        <w:t>resado y a lo dispuesto por el A</w:t>
      </w:r>
      <w:r w:rsidR="00C8511B">
        <w:rPr>
          <w:rFonts w:ascii="Arial" w:hAnsi="Arial" w:cs="Arial"/>
        </w:rPr>
        <w:t>rt</w:t>
      </w:r>
      <w:r w:rsidR="000C3A01">
        <w:rPr>
          <w:rFonts w:ascii="Arial" w:hAnsi="Arial" w:cs="Arial"/>
        </w:rPr>
        <w:t>ículo</w:t>
      </w:r>
      <w:r w:rsidR="00C8511B">
        <w:rPr>
          <w:rFonts w:ascii="Arial" w:hAnsi="Arial" w:cs="Arial"/>
        </w:rPr>
        <w:t xml:space="preserve"> 211 </w:t>
      </w:r>
      <w:r w:rsidR="000C3A01">
        <w:rPr>
          <w:rFonts w:ascii="Arial" w:hAnsi="Arial" w:cs="Arial"/>
        </w:rPr>
        <w:t>L</w:t>
      </w:r>
      <w:r w:rsidR="00C8511B">
        <w:rPr>
          <w:rFonts w:ascii="Arial" w:hAnsi="Arial" w:cs="Arial"/>
        </w:rPr>
        <w:t>it</w:t>
      </w:r>
      <w:r w:rsidR="000C3A01">
        <w:rPr>
          <w:rFonts w:ascii="Arial" w:hAnsi="Arial" w:cs="Arial"/>
        </w:rPr>
        <w:t>eral</w:t>
      </w:r>
      <w:r w:rsidR="00C8511B">
        <w:rPr>
          <w:rFonts w:ascii="Arial" w:hAnsi="Arial" w:cs="Arial"/>
        </w:rPr>
        <w:t xml:space="preserve"> B) de la Constitución de la República;</w:t>
      </w:r>
    </w:p>
    <w:p w:rsidR="00C8511B" w:rsidRDefault="00C8511B" w:rsidP="000C3A01">
      <w:pPr>
        <w:spacing w:line="360" w:lineRule="auto"/>
        <w:jc w:val="both"/>
        <w:rPr>
          <w:rFonts w:ascii="Arial" w:hAnsi="Arial" w:cs="Arial"/>
        </w:rPr>
      </w:pPr>
    </w:p>
    <w:p w:rsidR="00C8511B" w:rsidRDefault="00C8511B" w:rsidP="000C3A0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1B15CB" w:rsidRPr="001B15CB" w:rsidRDefault="001B15CB" w:rsidP="000C3A01">
      <w:pPr>
        <w:pStyle w:val="Textoindependiente"/>
        <w:numPr>
          <w:ilvl w:val="0"/>
          <w:numId w:val="1"/>
        </w:numPr>
        <w:ind w:left="0"/>
        <w:jc w:val="left"/>
        <w:rPr>
          <w:bCs/>
        </w:rPr>
      </w:pPr>
      <w:r>
        <w:rPr>
          <w:bCs/>
        </w:rPr>
        <w:t xml:space="preserve">Mantener la observación formulada en  Sesión de fecha </w:t>
      </w:r>
      <w:r>
        <w:t>1°.</w:t>
      </w:r>
      <w:r w:rsidR="0062132B">
        <w:t>0</w:t>
      </w:r>
      <w:r>
        <w:t>2.</w:t>
      </w:r>
      <w:r w:rsidR="0062132B">
        <w:t xml:space="preserve">2017; </w:t>
      </w:r>
    </w:p>
    <w:p w:rsidR="001B15CB" w:rsidRPr="0062132B" w:rsidRDefault="00526AC2" w:rsidP="000C3A01">
      <w:pPr>
        <w:pStyle w:val="Textoindependiente"/>
        <w:numPr>
          <w:ilvl w:val="0"/>
          <w:numId w:val="1"/>
        </w:numPr>
        <w:ind w:left="0"/>
        <w:jc w:val="left"/>
        <w:rPr>
          <w:bCs/>
        </w:rPr>
      </w:pPr>
      <w:r>
        <w:t>Comunicar al Poder Ejecutivo</w:t>
      </w:r>
      <w:r w:rsidR="000C3A01">
        <w:t xml:space="preserve">; </w:t>
      </w:r>
    </w:p>
    <w:p w:rsidR="005769FC" w:rsidRPr="000C3A01" w:rsidRDefault="00526AC2" w:rsidP="000C3A01">
      <w:pPr>
        <w:pStyle w:val="Textoindependiente"/>
        <w:numPr>
          <w:ilvl w:val="0"/>
          <w:numId w:val="1"/>
        </w:numPr>
        <w:ind w:left="0"/>
        <w:jc w:val="left"/>
        <w:rPr>
          <w:bCs/>
        </w:rPr>
      </w:pPr>
      <w:r>
        <w:t xml:space="preserve">Comunicar </w:t>
      </w:r>
      <w:r w:rsidR="005769FC">
        <w:t xml:space="preserve">a  la </w:t>
      </w:r>
      <w:r w:rsidR="00AA4A71">
        <w:t>Administración</w:t>
      </w:r>
      <w:r>
        <w:t xml:space="preserve"> act</w:t>
      </w:r>
      <w:r w:rsidR="000C3A01">
        <w:t xml:space="preserve">uante y </w:t>
      </w:r>
      <w:r w:rsidR="0062132B">
        <w:t xml:space="preserve"> a la Contadora Delegada;  </w:t>
      </w:r>
    </w:p>
    <w:p w:rsidR="000C3A01" w:rsidRDefault="000C3A01" w:rsidP="000C3A01">
      <w:pPr>
        <w:pStyle w:val="Textoindependiente"/>
        <w:numPr>
          <w:ilvl w:val="0"/>
          <w:numId w:val="1"/>
        </w:numPr>
        <w:ind w:left="0"/>
        <w:jc w:val="left"/>
        <w:rPr>
          <w:bCs/>
        </w:rPr>
      </w:pPr>
      <w:r>
        <w:t>Dar cuenta a la Asamblea General</w:t>
      </w:r>
      <w:r>
        <w:t>.</w:t>
      </w:r>
    </w:p>
    <w:p w:rsidR="005769FC" w:rsidRPr="000C3A01" w:rsidRDefault="000C3A01" w:rsidP="000C3A01">
      <w:pPr>
        <w:pStyle w:val="Textoindependiente"/>
        <w:jc w:val="left"/>
        <w:rPr>
          <w:bCs/>
        </w:rPr>
      </w:pPr>
      <w:r w:rsidRPr="000C3A01">
        <w:rPr>
          <w:sz w:val="20"/>
          <w:szCs w:val="20"/>
        </w:rPr>
        <w:t>CLC</w:t>
      </w:r>
    </w:p>
    <w:p w:rsidR="005769FC" w:rsidRPr="000C3A01" w:rsidRDefault="005769FC" w:rsidP="000C3A01">
      <w:pPr>
        <w:pStyle w:val="Textoindependiente"/>
        <w:jc w:val="left"/>
        <w:rPr>
          <w:sz w:val="20"/>
          <w:szCs w:val="20"/>
        </w:rPr>
      </w:pPr>
    </w:p>
    <w:p w:rsidR="003A2D5D" w:rsidRDefault="003A2D5D" w:rsidP="000C3A01">
      <w:pPr>
        <w:spacing w:line="360" w:lineRule="auto"/>
      </w:pPr>
    </w:p>
    <w:sectPr w:rsidR="003A2D5D" w:rsidSect="00DC23C3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B4D2F"/>
    <w:multiLevelType w:val="hybridMultilevel"/>
    <w:tmpl w:val="6E1CC8D4"/>
    <w:lvl w:ilvl="0" w:tplc="2B3C123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11B"/>
    <w:rsid w:val="0005507B"/>
    <w:rsid w:val="00080AC3"/>
    <w:rsid w:val="000A6AD2"/>
    <w:rsid w:val="000B4F29"/>
    <w:rsid w:val="000C1A67"/>
    <w:rsid w:val="000C3A01"/>
    <w:rsid w:val="0011465A"/>
    <w:rsid w:val="00130655"/>
    <w:rsid w:val="001B15CB"/>
    <w:rsid w:val="001F418C"/>
    <w:rsid w:val="00293098"/>
    <w:rsid w:val="002B36D6"/>
    <w:rsid w:val="00323DF3"/>
    <w:rsid w:val="003A2D5D"/>
    <w:rsid w:val="003D6129"/>
    <w:rsid w:val="003E0BB6"/>
    <w:rsid w:val="003E27FD"/>
    <w:rsid w:val="003E65D1"/>
    <w:rsid w:val="004228EE"/>
    <w:rsid w:val="004E1231"/>
    <w:rsid w:val="00526AC2"/>
    <w:rsid w:val="005769FC"/>
    <w:rsid w:val="005A7B24"/>
    <w:rsid w:val="00603587"/>
    <w:rsid w:val="00605AAA"/>
    <w:rsid w:val="0062132B"/>
    <w:rsid w:val="006404E5"/>
    <w:rsid w:val="00667084"/>
    <w:rsid w:val="00756351"/>
    <w:rsid w:val="007A783D"/>
    <w:rsid w:val="007E6883"/>
    <w:rsid w:val="007F649C"/>
    <w:rsid w:val="00871AE3"/>
    <w:rsid w:val="009A302B"/>
    <w:rsid w:val="009D0FEB"/>
    <w:rsid w:val="009E44CB"/>
    <w:rsid w:val="009E6402"/>
    <w:rsid w:val="00A02756"/>
    <w:rsid w:val="00A751C3"/>
    <w:rsid w:val="00A96BB2"/>
    <w:rsid w:val="00AA42E9"/>
    <w:rsid w:val="00AA4A71"/>
    <w:rsid w:val="00AD2419"/>
    <w:rsid w:val="00B30455"/>
    <w:rsid w:val="00B705B4"/>
    <w:rsid w:val="00B9503D"/>
    <w:rsid w:val="00BF3CEB"/>
    <w:rsid w:val="00C56951"/>
    <w:rsid w:val="00C8511B"/>
    <w:rsid w:val="00DC23C3"/>
    <w:rsid w:val="00DF770A"/>
    <w:rsid w:val="00E35EB4"/>
    <w:rsid w:val="00E678E0"/>
    <w:rsid w:val="00F03A6B"/>
    <w:rsid w:val="00F7084E"/>
    <w:rsid w:val="00F7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78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8E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769FC"/>
    <w:pPr>
      <w:spacing w:line="360" w:lineRule="auto"/>
      <w:jc w:val="both"/>
    </w:pPr>
    <w:rPr>
      <w:rFonts w:ascii="Arial" w:hAnsi="Arial" w:cs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769FC"/>
    <w:rPr>
      <w:rFonts w:ascii="Arial" w:eastAsia="Times New Roman" w:hAnsi="Arial" w:cs="Arial"/>
      <w:sz w:val="24"/>
      <w:szCs w:val="24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78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8E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769FC"/>
    <w:pPr>
      <w:spacing w:line="360" w:lineRule="auto"/>
      <w:jc w:val="both"/>
    </w:pPr>
    <w:rPr>
      <w:rFonts w:ascii="Arial" w:hAnsi="Arial" w:cs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769FC"/>
    <w:rPr>
      <w:rFonts w:ascii="Arial" w:eastAsia="Times New Roman" w:hAnsi="Arial" w:cs="Arial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E1D94-14D1-4250-8FD8-45A9369D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4</cp:revision>
  <cp:lastPrinted>2017-04-28T18:17:00Z</cp:lastPrinted>
  <dcterms:created xsi:type="dcterms:W3CDTF">2017-04-28T16:15:00Z</dcterms:created>
  <dcterms:modified xsi:type="dcterms:W3CDTF">2017-04-28T18:17:00Z</dcterms:modified>
</cp:coreProperties>
</file>