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19" w:rsidRPr="00786EEB" w:rsidRDefault="00407319" w:rsidP="008F60F6">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3901</w:t>
      </w:r>
      <w:r w:rsidRPr="00786EEB">
        <w:rPr>
          <w:rFonts w:cs="Arial"/>
          <w:b/>
          <w:sz w:val="28"/>
          <w:szCs w:val="28"/>
          <w:lang w:val="es-ES_tradnl"/>
        </w:rPr>
        <w:t>/16</w:t>
      </w:r>
    </w:p>
    <w:p w:rsidR="00407319" w:rsidRDefault="00407319" w:rsidP="008F60F6">
      <w:pPr>
        <w:tabs>
          <w:tab w:val="center" w:pos="4253"/>
        </w:tabs>
        <w:suppressAutoHyphens/>
        <w:jc w:val="right"/>
        <w:rPr>
          <w:rFonts w:cs="Arial"/>
          <w:b/>
          <w:lang w:val="es-ES_tradnl"/>
        </w:rPr>
      </w:pPr>
    </w:p>
    <w:p w:rsidR="00407319" w:rsidRPr="00762B34" w:rsidRDefault="00407319">
      <w:pPr>
        <w:tabs>
          <w:tab w:val="center" w:pos="4253"/>
        </w:tabs>
        <w:suppressAutoHyphens/>
        <w:jc w:val="center"/>
        <w:rPr>
          <w:rFonts w:cs="Arial"/>
          <w:b/>
          <w:lang w:val="es-ES_tradnl"/>
        </w:rPr>
      </w:pPr>
      <w:r w:rsidRPr="00762B34">
        <w:rPr>
          <w:rFonts w:cs="Arial"/>
          <w:b/>
          <w:lang w:val="es-ES_tradnl"/>
        </w:rPr>
        <w:t>RESOLUCION ADOPTADA POR EL</w:t>
      </w:r>
    </w:p>
    <w:p w:rsidR="00407319" w:rsidRPr="00762B34" w:rsidRDefault="00407319">
      <w:pPr>
        <w:tabs>
          <w:tab w:val="left" w:pos="-720"/>
        </w:tabs>
        <w:suppressAutoHyphens/>
        <w:jc w:val="center"/>
        <w:rPr>
          <w:rFonts w:cs="Arial"/>
          <w:b/>
          <w:lang w:val="es-ES_tradnl"/>
        </w:rPr>
      </w:pPr>
    </w:p>
    <w:p w:rsidR="00407319" w:rsidRPr="00762B34" w:rsidRDefault="00407319">
      <w:pPr>
        <w:tabs>
          <w:tab w:val="center" w:pos="4253"/>
        </w:tabs>
        <w:suppressAutoHyphens/>
        <w:jc w:val="center"/>
        <w:rPr>
          <w:rFonts w:cs="Arial"/>
          <w:b/>
          <w:lang w:val="es-ES_tradnl"/>
        </w:rPr>
      </w:pPr>
      <w:r w:rsidRPr="00762B34">
        <w:rPr>
          <w:rFonts w:cs="Arial"/>
          <w:b/>
          <w:lang w:val="es-ES_tradnl"/>
        </w:rPr>
        <w:t>TRIBUNAL DE CUENTAS</w:t>
      </w:r>
    </w:p>
    <w:p w:rsidR="00407319" w:rsidRPr="00762B34" w:rsidRDefault="00407319">
      <w:pPr>
        <w:tabs>
          <w:tab w:val="left" w:pos="-720"/>
        </w:tabs>
        <w:suppressAutoHyphens/>
        <w:jc w:val="center"/>
        <w:rPr>
          <w:rFonts w:cs="Arial"/>
          <w:b/>
          <w:lang w:val="es-ES_tradnl"/>
        </w:rPr>
      </w:pPr>
    </w:p>
    <w:p w:rsidR="00407319" w:rsidRPr="00762B34" w:rsidRDefault="0040731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NOVIEMBRE </w:t>
      </w:r>
      <w:r>
        <w:rPr>
          <w:rFonts w:ascii="Helvetica" w:hAnsi="Helvetica"/>
          <w:b/>
          <w:lang w:val="es-ES_tradnl"/>
        </w:rPr>
        <w:t>DE 2016</w:t>
      </w:r>
    </w:p>
    <w:p w:rsidR="00407319" w:rsidRPr="00762B34" w:rsidRDefault="00407319">
      <w:pPr>
        <w:tabs>
          <w:tab w:val="center" w:pos="4253"/>
        </w:tabs>
        <w:suppressAutoHyphens/>
        <w:jc w:val="center"/>
        <w:rPr>
          <w:rFonts w:cs="Arial"/>
          <w:b/>
          <w:lang w:val="es-ES_tradnl"/>
        </w:rPr>
      </w:pPr>
    </w:p>
    <w:p w:rsidR="00407319" w:rsidRDefault="00407319">
      <w:pPr>
        <w:tabs>
          <w:tab w:val="center" w:pos="4253"/>
        </w:tabs>
        <w:suppressAutoHyphens/>
        <w:jc w:val="center"/>
        <w:rPr>
          <w:rFonts w:cs="Arial"/>
          <w:b/>
          <w:lang w:val="es-AR"/>
        </w:rPr>
      </w:pPr>
      <w:r w:rsidRPr="00407319">
        <w:rPr>
          <w:rFonts w:cs="Arial"/>
          <w:b/>
          <w:lang w:val="es-AR"/>
        </w:rPr>
        <w:t xml:space="preserve">(E. E. Nº </w:t>
      </w:r>
      <w:r>
        <w:rPr>
          <w:rFonts w:cs="Arial"/>
          <w:b/>
          <w:lang w:val="es-AR"/>
        </w:rPr>
        <w:t>2016-17-1-0003658</w:t>
      </w:r>
      <w:r w:rsidRPr="00407319">
        <w:rPr>
          <w:rFonts w:cs="Arial"/>
          <w:b/>
          <w:lang w:val="es-AR"/>
        </w:rPr>
        <w:t xml:space="preserve">, </w:t>
      </w:r>
      <w:proofErr w:type="spellStart"/>
      <w:r w:rsidRPr="00407319">
        <w:rPr>
          <w:rFonts w:cs="Arial"/>
          <w:b/>
          <w:lang w:val="es-AR"/>
        </w:rPr>
        <w:t>Ent</w:t>
      </w:r>
      <w:proofErr w:type="spellEnd"/>
      <w:r w:rsidRPr="00407319">
        <w:rPr>
          <w:rFonts w:cs="Arial"/>
          <w:b/>
          <w:lang w:val="es-AR"/>
        </w:rPr>
        <w:t xml:space="preserve">. N° </w:t>
      </w:r>
      <w:r>
        <w:rPr>
          <w:rFonts w:cs="Arial"/>
          <w:b/>
          <w:lang w:val="es-AR"/>
        </w:rPr>
        <w:t>2797/16</w:t>
      </w:r>
      <w:r w:rsidRPr="00407319">
        <w:rPr>
          <w:rFonts w:cs="Arial"/>
          <w:b/>
          <w:lang w:val="es-AR"/>
        </w:rPr>
        <w:t>)</w:t>
      </w:r>
    </w:p>
    <w:p w:rsidR="008F60F6" w:rsidRPr="00407319" w:rsidRDefault="008F60F6">
      <w:pPr>
        <w:tabs>
          <w:tab w:val="center" w:pos="4253"/>
        </w:tabs>
        <w:suppressAutoHyphens/>
        <w:jc w:val="center"/>
        <w:rPr>
          <w:rFonts w:cs="Arial"/>
          <w:b/>
          <w:lang w:val="es-AR"/>
        </w:rPr>
      </w:pPr>
    </w:p>
    <w:p w:rsidR="00407319" w:rsidRPr="00407319" w:rsidRDefault="00407319">
      <w:pPr>
        <w:tabs>
          <w:tab w:val="center" w:pos="4253"/>
        </w:tabs>
        <w:suppressAutoHyphens/>
        <w:jc w:val="center"/>
        <w:rPr>
          <w:rFonts w:ascii="Helvetica" w:hAnsi="Helvetica"/>
          <w:b/>
          <w:lang w:val="es-AR"/>
        </w:rPr>
      </w:pPr>
    </w:p>
    <w:p w:rsidR="00407319" w:rsidRDefault="00407319" w:rsidP="00407319">
      <w:pPr>
        <w:tabs>
          <w:tab w:val="left" w:pos="708"/>
          <w:tab w:val="center" w:pos="4419"/>
          <w:tab w:val="right" w:pos="8838"/>
        </w:tabs>
        <w:spacing w:line="360" w:lineRule="auto"/>
        <w:ind w:firstLine="851"/>
        <w:jc w:val="both"/>
        <w:rPr>
          <w:rFonts w:cs="Arial"/>
          <w:szCs w:val="20"/>
        </w:rPr>
      </w:pPr>
      <w:r w:rsidRPr="000E45B0">
        <w:rPr>
          <w:rFonts w:cs="Arial"/>
          <w:b/>
          <w:szCs w:val="20"/>
        </w:rPr>
        <w:t>VISTO:</w:t>
      </w:r>
      <w:r w:rsidRPr="000E45B0">
        <w:rPr>
          <w:rFonts w:cs="Arial"/>
          <w:szCs w:val="20"/>
        </w:rPr>
        <w:t xml:space="preserve"> que este Tribunal ha examinado el Estado de</w:t>
      </w:r>
      <w:r>
        <w:rPr>
          <w:rFonts w:cs="Arial"/>
          <w:szCs w:val="20"/>
        </w:rPr>
        <w:t xml:space="preserve"> Ejecución Presupuestal de Primeras Líneas Uruguayas de Navegación Aérea</w:t>
      </w:r>
      <w:r w:rsidRPr="000E45B0">
        <w:rPr>
          <w:rFonts w:cs="Arial"/>
          <w:szCs w:val="20"/>
        </w:rPr>
        <w:t xml:space="preserve"> Ente Autónomo (PLUNA EA)</w:t>
      </w:r>
      <w:r>
        <w:rPr>
          <w:rFonts w:cs="Arial"/>
          <w:szCs w:val="20"/>
        </w:rPr>
        <w:t>,</w:t>
      </w:r>
      <w:r w:rsidRPr="000E45B0">
        <w:rPr>
          <w:rFonts w:cs="Arial"/>
          <w:szCs w:val="20"/>
        </w:rPr>
        <w:t xml:space="preserve"> correspondiente al Ejercicio 2015;</w:t>
      </w:r>
    </w:p>
    <w:p w:rsidR="00407319" w:rsidRDefault="00407319" w:rsidP="00407319">
      <w:pPr>
        <w:tabs>
          <w:tab w:val="left" w:pos="708"/>
          <w:tab w:val="center" w:pos="4419"/>
          <w:tab w:val="right" w:pos="8838"/>
        </w:tabs>
        <w:spacing w:line="360" w:lineRule="auto"/>
        <w:ind w:firstLine="851"/>
        <w:jc w:val="both"/>
        <w:rPr>
          <w:rFonts w:eastAsia="Calibri"/>
          <w:szCs w:val="22"/>
          <w:lang w:val="es-UY" w:eastAsia="en-US"/>
        </w:rPr>
      </w:pPr>
      <w:r w:rsidRPr="000E45B0">
        <w:rPr>
          <w:rFonts w:eastAsia="Calibri" w:cs="Arial"/>
          <w:b/>
          <w:szCs w:val="22"/>
          <w:lang w:val="es-UY" w:eastAsia="en-US"/>
        </w:rPr>
        <w:t>RESULTANDO:</w:t>
      </w:r>
      <w:r w:rsidRPr="000E45B0">
        <w:rPr>
          <w:rFonts w:eastAsia="Calibri" w:cs="Arial"/>
          <w:szCs w:val="22"/>
          <w:lang w:val="es-UY" w:eastAsia="en-US"/>
        </w:rPr>
        <w:t xml:space="preserve"> </w:t>
      </w:r>
      <w:r w:rsidRPr="000E45B0">
        <w:rPr>
          <w:rFonts w:eastAsia="Calibri"/>
          <w:szCs w:val="22"/>
          <w:lang w:val="es-UY" w:eastAsia="en-US"/>
        </w:rPr>
        <w:t>que el examen fue realizado de acuerdo con los Principios Fundamentales de Auditoría (ISSAI 100 y 200) y las Directrices de Auditoría Financiera (ISSAI 1000 a 1810) de la Organización Internacional de Entidades Fiscalizadoras Superiores (INTOSAI);</w:t>
      </w:r>
    </w:p>
    <w:p w:rsidR="00407319" w:rsidRDefault="00407319" w:rsidP="00407319">
      <w:pPr>
        <w:tabs>
          <w:tab w:val="left" w:pos="708"/>
          <w:tab w:val="center" w:pos="4419"/>
          <w:tab w:val="right" w:pos="8838"/>
        </w:tabs>
        <w:spacing w:line="360" w:lineRule="auto"/>
        <w:ind w:firstLine="851"/>
        <w:jc w:val="both"/>
        <w:rPr>
          <w:rFonts w:cs="Arial"/>
          <w:szCs w:val="20"/>
        </w:rPr>
      </w:pPr>
      <w:r w:rsidRPr="000E45B0">
        <w:rPr>
          <w:rFonts w:cs="Arial"/>
          <w:b/>
          <w:szCs w:val="20"/>
        </w:rPr>
        <w:t>CONSIDERANDO:</w:t>
      </w:r>
      <w:r w:rsidRPr="000E45B0">
        <w:rPr>
          <w:rFonts w:cs="Arial"/>
          <w:szCs w:val="20"/>
        </w:rPr>
        <w:t xml:space="preserve"> que las conclusiones y evidencias obtenidas son las que se expresan en el Informe de Auditoría, que incluye Dictamen e Informe a la Administración;</w:t>
      </w:r>
    </w:p>
    <w:p w:rsidR="00407319" w:rsidRPr="000E45B0" w:rsidRDefault="00407319" w:rsidP="00407319">
      <w:pPr>
        <w:tabs>
          <w:tab w:val="left" w:pos="708"/>
          <w:tab w:val="center" w:pos="4419"/>
          <w:tab w:val="right" w:pos="8838"/>
        </w:tabs>
        <w:spacing w:line="360" w:lineRule="auto"/>
        <w:ind w:firstLine="851"/>
        <w:jc w:val="both"/>
        <w:rPr>
          <w:rFonts w:cs="Arial"/>
          <w:szCs w:val="20"/>
        </w:rPr>
      </w:pPr>
      <w:r w:rsidRPr="000E45B0">
        <w:rPr>
          <w:rFonts w:cs="Arial"/>
          <w:b/>
          <w:szCs w:val="20"/>
        </w:rPr>
        <w:t>ATENTO:</w:t>
      </w:r>
      <w:r w:rsidRPr="000E45B0">
        <w:rPr>
          <w:rFonts w:cs="Arial"/>
          <w:szCs w:val="20"/>
        </w:rPr>
        <w:t xml:space="preserve"> a lo dispuesto por el Artículo 211 Literal C) de la Constitución de la República;</w:t>
      </w:r>
    </w:p>
    <w:p w:rsidR="00407319" w:rsidRPr="000E45B0" w:rsidRDefault="00407319" w:rsidP="00407319">
      <w:pPr>
        <w:keepNext/>
        <w:spacing w:after="120" w:line="360" w:lineRule="auto"/>
        <w:ind w:firstLine="709"/>
        <w:jc w:val="center"/>
        <w:outlineLvl w:val="1"/>
        <w:rPr>
          <w:rFonts w:cs="Arial"/>
          <w:b/>
          <w:szCs w:val="20"/>
        </w:rPr>
      </w:pPr>
      <w:r w:rsidRPr="000E45B0">
        <w:rPr>
          <w:rFonts w:cs="Arial"/>
          <w:b/>
          <w:szCs w:val="20"/>
        </w:rPr>
        <w:t>EL TRIBUNAL ACUERDA</w:t>
      </w:r>
    </w:p>
    <w:p w:rsidR="00407319" w:rsidRPr="000E45B0" w:rsidRDefault="00407319" w:rsidP="00407319">
      <w:pPr>
        <w:tabs>
          <w:tab w:val="num" w:pos="142"/>
        </w:tabs>
        <w:spacing w:line="360" w:lineRule="auto"/>
        <w:ind w:left="426" w:hanging="426"/>
        <w:jc w:val="both"/>
        <w:rPr>
          <w:rFonts w:eastAsia="Calibri" w:cs="Arial"/>
          <w:szCs w:val="22"/>
          <w:lang w:val="es-UY" w:eastAsia="en-US"/>
        </w:rPr>
      </w:pPr>
      <w:r w:rsidRPr="000E45B0">
        <w:rPr>
          <w:rFonts w:eastAsia="Calibri" w:cs="Arial"/>
          <w:b/>
          <w:szCs w:val="22"/>
          <w:lang w:val="es-UY" w:eastAsia="en-US"/>
        </w:rPr>
        <w:t>1)</w:t>
      </w:r>
      <w:r w:rsidRPr="000E45B0">
        <w:rPr>
          <w:rFonts w:eastAsia="Calibri" w:cs="Arial"/>
          <w:szCs w:val="22"/>
          <w:lang w:val="es-UY" w:eastAsia="en-US"/>
        </w:rPr>
        <w:t xml:space="preserve"> Expedirse en los términos del Informe de Auditoría que se adjunta;</w:t>
      </w:r>
    </w:p>
    <w:p w:rsidR="00407319" w:rsidRPr="000E45B0" w:rsidRDefault="00407319" w:rsidP="00407319">
      <w:pPr>
        <w:tabs>
          <w:tab w:val="left" w:pos="142"/>
          <w:tab w:val="left" w:pos="284"/>
        </w:tabs>
        <w:spacing w:line="360" w:lineRule="auto"/>
        <w:ind w:left="284" w:hanging="284"/>
        <w:jc w:val="both"/>
        <w:rPr>
          <w:rFonts w:eastAsia="Calibri" w:cs="Arial"/>
          <w:szCs w:val="22"/>
          <w:lang w:val="es-UY" w:eastAsia="en-US"/>
        </w:rPr>
      </w:pPr>
      <w:r w:rsidRPr="000E45B0">
        <w:rPr>
          <w:rFonts w:eastAsia="Calibri" w:cs="Arial"/>
          <w:b/>
          <w:szCs w:val="22"/>
          <w:lang w:val="es-UY" w:eastAsia="en-US"/>
        </w:rPr>
        <w:t>2)</w:t>
      </w:r>
      <w:r w:rsidRPr="000E45B0">
        <w:rPr>
          <w:rFonts w:eastAsia="Calibri" w:cs="Arial"/>
          <w:szCs w:val="22"/>
          <w:lang w:val="es-UY" w:eastAsia="en-US"/>
        </w:rPr>
        <w:t xml:space="preserve"> Comunicar al Ministerio de Transporte y Obras Públicas, a la Oficina de Planeamiento y Presupuesto, al Organismo y a la Contadora Delegada;</w:t>
      </w:r>
    </w:p>
    <w:p w:rsidR="00407319" w:rsidRPr="000E45B0" w:rsidRDefault="00407319" w:rsidP="00407319">
      <w:pPr>
        <w:tabs>
          <w:tab w:val="num" w:pos="142"/>
          <w:tab w:val="left" w:pos="284"/>
        </w:tabs>
        <w:spacing w:line="360" w:lineRule="auto"/>
        <w:ind w:left="426" w:hanging="426"/>
        <w:jc w:val="both"/>
        <w:rPr>
          <w:rFonts w:eastAsia="Calibri" w:cs="Arial"/>
          <w:szCs w:val="22"/>
          <w:lang w:val="es-UY" w:eastAsia="en-US"/>
        </w:rPr>
      </w:pPr>
      <w:r w:rsidRPr="000E45B0">
        <w:rPr>
          <w:rFonts w:eastAsia="Calibri" w:cs="Arial"/>
          <w:b/>
          <w:szCs w:val="22"/>
          <w:lang w:val="es-UY" w:eastAsia="en-US"/>
        </w:rPr>
        <w:t xml:space="preserve">3) </w:t>
      </w:r>
      <w:r w:rsidRPr="000E45B0">
        <w:rPr>
          <w:rFonts w:eastAsia="Calibri" w:cs="Arial"/>
          <w:szCs w:val="22"/>
          <w:lang w:val="es-UY" w:eastAsia="en-US"/>
        </w:rPr>
        <w:t>Oficiar al Servicio Oficial de Difusión Radiotelevisión y Espectáculos; y</w:t>
      </w:r>
    </w:p>
    <w:p w:rsidR="00407319" w:rsidRDefault="00407319" w:rsidP="00407319">
      <w:pPr>
        <w:spacing w:line="360" w:lineRule="auto"/>
        <w:jc w:val="both"/>
        <w:rPr>
          <w:rFonts w:eastAsia="Calibri" w:cs="Arial"/>
          <w:szCs w:val="22"/>
          <w:lang w:val="es-UY" w:eastAsia="en-US"/>
        </w:rPr>
      </w:pPr>
      <w:r w:rsidRPr="000E45B0">
        <w:rPr>
          <w:rFonts w:eastAsia="Calibri" w:cs="Arial"/>
          <w:b/>
          <w:szCs w:val="22"/>
          <w:lang w:val="es-UY" w:eastAsia="en-US"/>
        </w:rPr>
        <w:t>4)</w:t>
      </w:r>
      <w:r w:rsidRPr="000E45B0">
        <w:rPr>
          <w:rFonts w:eastAsia="Calibri" w:cs="Arial"/>
          <w:szCs w:val="22"/>
          <w:lang w:val="es-UY" w:eastAsia="en-US"/>
        </w:rPr>
        <w:t xml:space="preserve"> Dar cuenta a la Asamblea General.</w:t>
      </w:r>
    </w:p>
    <w:p w:rsidR="00407319" w:rsidRDefault="00407319" w:rsidP="00407319">
      <w:pPr>
        <w:spacing w:line="360" w:lineRule="auto"/>
        <w:jc w:val="both"/>
        <w:rPr>
          <w:rFonts w:eastAsia="Calibri" w:cs="Arial"/>
          <w:szCs w:val="22"/>
          <w:lang w:val="es-UY" w:eastAsia="en-US"/>
        </w:rPr>
      </w:pPr>
    </w:p>
    <w:p w:rsidR="00407319" w:rsidRDefault="00407319" w:rsidP="00407319">
      <w:pPr>
        <w:spacing w:line="360" w:lineRule="auto"/>
        <w:jc w:val="both"/>
        <w:rPr>
          <w:rFonts w:eastAsia="Calibri" w:cs="Arial"/>
          <w:szCs w:val="22"/>
          <w:lang w:val="es-UY" w:eastAsia="en-US"/>
        </w:rPr>
      </w:pPr>
    </w:p>
    <w:p w:rsidR="00407319" w:rsidRDefault="00407319" w:rsidP="00407319">
      <w:pPr>
        <w:spacing w:line="360" w:lineRule="auto"/>
        <w:ind w:hanging="567"/>
        <w:jc w:val="both"/>
        <w:rPr>
          <w:rFonts w:eastAsia="Calibri" w:cs="Arial"/>
          <w:szCs w:val="22"/>
          <w:lang w:val="es-UY" w:eastAsia="en-US"/>
        </w:rPr>
      </w:pPr>
      <w:proofErr w:type="gramStart"/>
      <w:r>
        <w:rPr>
          <w:rFonts w:eastAsia="Calibri" w:cs="Arial"/>
          <w:szCs w:val="22"/>
          <w:lang w:val="es-UY" w:eastAsia="en-US"/>
        </w:rPr>
        <w:t>dc</w:t>
      </w:r>
      <w:proofErr w:type="gramEnd"/>
    </w:p>
    <w:p w:rsidR="00DD291F" w:rsidRDefault="00DD291F" w:rsidP="008F60F6">
      <w:pPr>
        <w:pStyle w:val="Ttulo2"/>
        <w:rPr>
          <w:rFonts w:ascii="Arial" w:hAnsi="Arial" w:cs="Arial"/>
          <w:bCs/>
        </w:rPr>
      </w:pPr>
      <w:r>
        <w:rPr>
          <w:rFonts w:ascii="Arial" w:hAnsi="Arial" w:cs="Arial"/>
          <w:bCs/>
        </w:rPr>
        <w:lastRenderedPageBreak/>
        <w:t>DICTAMEN</w:t>
      </w:r>
    </w:p>
    <w:p w:rsidR="00DD291F" w:rsidRDefault="00DD291F" w:rsidP="008F60F6">
      <w:pPr>
        <w:pStyle w:val="Textoindependiente"/>
        <w:rPr>
          <w:rFonts w:ascii="Arial" w:hAnsi="Arial" w:cs="Arial"/>
        </w:rPr>
      </w:pPr>
    </w:p>
    <w:p w:rsidR="00DD291F" w:rsidRDefault="00DD291F" w:rsidP="008F60F6">
      <w:pPr>
        <w:pStyle w:val="Textoindependiente"/>
        <w:rPr>
          <w:rFonts w:ascii="Arial" w:hAnsi="Arial" w:cs="Arial"/>
        </w:rPr>
      </w:pPr>
      <w:r>
        <w:rPr>
          <w:rFonts w:ascii="Arial" w:hAnsi="Arial" w:cs="Arial"/>
        </w:rPr>
        <w:t>El Tribunal de Cuentas ha examinado el Estado de Ejecución Presupuestal de Primeras Líneas Uruguayas de Navegación Aérea Ente Autónomo (PLUNA EA) correspondiente al período 1º de enero al 31 de diciembre de 2015.</w:t>
      </w:r>
    </w:p>
    <w:p w:rsidR="00DD291F" w:rsidRDefault="00DD291F" w:rsidP="008F60F6">
      <w:pPr>
        <w:pStyle w:val="Textoindependiente"/>
        <w:tabs>
          <w:tab w:val="num" w:pos="142"/>
        </w:tabs>
        <w:rPr>
          <w:rFonts w:ascii="Arial" w:hAnsi="Arial" w:cs="Arial"/>
        </w:rPr>
      </w:pPr>
      <w:r>
        <w:rPr>
          <w:rFonts w:ascii="Arial" w:hAnsi="Arial" w:cs="Arial"/>
        </w:rPr>
        <w:t>También se presentan, en caso de corresponder, los incumplimientos legales constatados por el Tribunal de Cuentas en el curso de la auditoría practicada.</w:t>
      </w:r>
    </w:p>
    <w:p w:rsidR="00DD291F" w:rsidRDefault="00DD291F" w:rsidP="008F60F6">
      <w:pPr>
        <w:pStyle w:val="Textoindependiente"/>
        <w:tabs>
          <w:tab w:val="num" w:pos="142"/>
        </w:tabs>
        <w:rPr>
          <w:rFonts w:ascii="Arial" w:hAnsi="Arial" w:cs="Arial"/>
        </w:rPr>
      </w:pPr>
    </w:p>
    <w:p w:rsidR="00DD291F" w:rsidRDefault="00DD291F" w:rsidP="008F60F6">
      <w:pPr>
        <w:pStyle w:val="Textoindependiente3"/>
        <w:widowControl/>
        <w:spacing w:line="360" w:lineRule="auto"/>
        <w:rPr>
          <w:rFonts w:ascii="Arial" w:hAnsi="Arial" w:cs="Arial"/>
        </w:rPr>
      </w:pPr>
      <w:r>
        <w:rPr>
          <w:rFonts w:ascii="Arial" w:hAnsi="Arial" w:cs="Arial"/>
          <w:snapToGrid/>
        </w:rPr>
        <w:t>Responsabilidad de la Dirección</w:t>
      </w:r>
    </w:p>
    <w:p w:rsidR="00DD291F" w:rsidRDefault="00DD291F" w:rsidP="008F60F6">
      <w:pPr>
        <w:tabs>
          <w:tab w:val="left" w:pos="0"/>
        </w:tabs>
        <w:suppressAutoHyphens/>
        <w:spacing w:line="360" w:lineRule="auto"/>
        <w:jc w:val="both"/>
        <w:rPr>
          <w:rFonts w:cs="Arial"/>
        </w:rPr>
      </w:pPr>
      <w:r>
        <w:rPr>
          <w:rFonts w:cs="Arial"/>
        </w:rPr>
        <w:t>La Dirección de PLUNA EA es responsable por la preparación y la razonable presentación de dicho estado de acuerdo con las disposiciones legales vigentes, las normas y criterios establecidos en el TOCAF, en la Ordenanza    N° 75 de este Tribunal y en el Presupuesto vigente.</w:t>
      </w:r>
    </w:p>
    <w:p w:rsidR="00DD291F" w:rsidRDefault="00DD291F" w:rsidP="008F60F6">
      <w:pPr>
        <w:tabs>
          <w:tab w:val="left" w:pos="0"/>
        </w:tabs>
        <w:suppressAutoHyphens/>
        <w:spacing w:line="360" w:lineRule="auto"/>
        <w:jc w:val="both"/>
        <w:rPr>
          <w:rFonts w:cs="Arial"/>
        </w:rPr>
      </w:pPr>
      <w:r>
        <w:rPr>
          <w:rFonts w:cs="Arial"/>
        </w:rPr>
        <w:t>Esta responsabilidad incluye diseñar, implementar y mantener un sistema de control interno adecuado para la preparación y presentación razonable de estados financieros que estén libres de errores  significativos, ya sea debido a fraude, error, seleccionar y aplicar políticas contables apropiadas.</w:t>
      </w:r>
    </w:p>
    <w:p w:rsidR="00DD291F" w:rsidRDefault="00DD291F" w:rsidP="008F60F6">
      <w:pPr>
        <w:tabs>
          <w:tab w:val="left" w:pos="0"/>
        </w:tabs>
        <w:suppressAutoHyphens/>
        <w:spacing w:line="360" w:lineRule="auto"/>
        <w:rPr>
          <w:rFonts w:cs="Arial"/>
        </w:rPr>
      </w:pPr>
    </w:p>
    <w:p w:rsidR="00DD291F" w:rsidRDefault="00DD291F" w:rsidP="008F60F6">
      <w:pPr>
        <w:spacing w:line="360" w:lineRule="auto"/>
        <w:rPr>
          <w:rFonts w:cs="Arial"/>
        </w:rPr>
      </w:pPr>
      <w:r>
        <w:rPr>
          <w:rFonts w:cs="Arial"/>
          <w:b/>
          <w:bCs/>
        </w:rPr>
        <w:t>Responsabilidad del auditor</w:t>
      </w:r>
    </w:p>
    <w:p w:rsidR="00DD291F" w:rsidRDefault="00DD291F" w:rsidP="008F60F6">
      <w:pPr>
        <w:spacing w:line="360" w:lineRule="auto"/>
        <w:jc w:val="both"/>
        <w:rPr>
          <w:rFonts w:cs="Arial"/>
        </w:rPr>
      </w:pPr>
      <w:r>
        <w:rPr>
          <w:rFonts w:cs="Arial"/>
        </w:rPr>
        <w:t>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DD291F" w:rsidRDefault="00DD291F" w:rsidP="008F60F6">
      <w:pPr>
        <w:spacing w:line="360" w:lineRule="auto"/>
        <w:rPr>
          <w:rFonts w:cs="Arial"/>
        </w:rPr>
      </w:pPr>
    </w:p>
    <w:p w:rsidR="00DD291F" w:rsidRDefault="00DD291F" w:rsidP="008F60F6">
      <w:pPr>
        <w:spacing w:line="360" w:lineRule="auto"/>
        <w:jc w:val="both"/>
        <w:rPr>
          <w:rFonts w:cs="Arial"/>
        </w:rPr>
      </w:pPr>
      <w:r>
        <w:rPr>
          <w:rFonts w:cs="Arial"/>
        </w:rPr>
        <w:t>Una auditoría implica realizar procedimientos para obtener evidencia acerca de los montos y revelaciones contables. Los procedimientos seleccionados dependen del juicio profesional del auditor. También</w:t>
      </w:r>
      <w:r>
        <w:rPr>
          <w:rFonts w:cs="Arial"/>
          <w:spacing w:val="-3"/>
          <w:lang w:val="es-ES_tradnl"/>
        </w:rPr>
        <w:t xml:space="preserve">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w:t>
      </w:r>
      <w:r>
        <w:rPr>
          <w:rFonts w:cs="Arial"/>
        </w:rPr>
        <w:t>Se considera que la evidencia de auditoría obtenida brinda una base suficiente y apropiada para sustentar la opinión.</w:t>
      </w:r>
    </w:p>
    <w:p w:rsidR="00DD291F" w:rsidRDefault="00DD291F" w:rsidP="008F60F6">
      <w:pPr>
        <w:spacing w:line="360" w:lineRule="auto"/>
        <w:rPr>
          <w:rFonts w:cs="Arial"/>
        </w:rPr>
      </w:pPr>
    </w:p>
    <w:p w:rsidR="00DD291F" w:rsidRDefault="00DD291F" w:rsidP="008F60F6">
      <w:pPr>
        <w:pStyle w:val="Ttulo6"/>
        <w:rPr>
          <w:rFonts w:cs="Arial"/>
          <w:b w:val="0"/>
        </w:rPr>
      </w:pPr>
      <w:r>
        <w:rPr>
          <w:rFonts w:cs="Arial"/>
          <w:snapToGrid/>
        </w:rPr>
        <w:t>Opinión</w:t>
      </w:r>
    </w:p>
    <w:p w:rsidR="00DD291F" w:rsidRDefault="00DD291F" w:rsidP="008F60F6">
      <w:pPr>
        <w:spacing w:line="360" w:lineRule="auto"/>
        <w:jc w:val="both"/>
        <w:rPr>
          <w:rFonts w:cs="Arial"/>
          <w:spacing w:val="-3"/>
          <w:lang w:val="es-ES_tradnl"/>
        </w:rPr>
      </w:pPr>
      <w:r>
        <w:rPr>
          <w:rFonts w:cs="Arial"/>
          <w:spacing w:val="-3"/>
          <w:lang w:val="es-ES_tradnl"/>
        </w:rPr>
        <w:t xml:space="preserve">En opinión del Tribunal de Cuentas, el estado mencionado presenta razonablemente en todos sus aspectos importantes, la ejecución presupuestal de PLUNA Ente Autónomo, </w:t>
      </w:r>
      <w:r>
        <w:rPr>
          <w:rFonts w:cs="Arial"/>
        </w:rPr>
        <w:t>correspondiente al período 1° de enero al 31 de diciembre de 2015</w:t>
      </w:r>
      <w:r>
        <w:rPr>
          <w:rFonts w:cs="Arial"/>
          <w:spacing w:val="-3"/>
          <w:lang w:val="es-ES_tradnl"/>
        </w:rPr>
        <w:t>, de acuerdo con las disposiciones legales aplicables, las normas y los criterios establecidos en el TOCAF, en la Ordenanza N° 75 del Tribunal de Cuentas y en el Decreto aprobatorio del Presupuesto del Ejercicio 2015.</w:t>
      </w:r>
    </w:p>
    <w:p w:rsidR="00DD291F" w:rsidRDefault="00DD291F" w:rsidP="008F60F6">
      <w:pPr>
        <w:spacing w:line="360" w:lineRule="auto"/>
        <w:jc w:val="both"/>
        <w:rPr>
          <w:rFonts w:cs="Arial"/>
          <w:spacing w:val="-3"/>
          <w:lang w:val="es-ES_tradnl"/>
        </w:rPr>
      </w:pPr>
      <w:r>
        <w:rPr>
          <w:rFonts w:cs="Arial"/>
          <w:spacing w:val="-3"/>
          <w:lang w:val="es-ES_tradnl"/>
        </w:rPr>
        <w:t>En relación a la normativa vigente, el Tribunal de Cuentas constató los siguientes incumplimientos:</w:t>
      </w:r>
    </w:p>
    <w:p w:rsidR="00DD291F" w:rsidRDefault="00DD291F" w:rsidP="008F60F6">
      <w:pPr>
        <w:pStyle w:val="Textoindependiente"/>
        <w:tabs>
          <w:tab w:val="left" w:pos="284"/>
        </w:tabs>
        <w:ind w:left="284"/>
        <w:rPr>
          <w:rFonts w:ascii="Arial" w:hAnsi="Arial" w:cs="Arial"/>
          <w:b/>
        </w:rPr>
      </w:pPr>
    </w:p>
    <w:p w:rsidR="00DD291F" w:rsidRDefault="00DD291F" w:rsidP="00DD291F">
      <w:pPr>
        <w:pStyle w:val="Textoindependiente"/>
        <w:numPr>
          <w:ilvl w:val="0"/>
          <w:numId w:val="1"/>
        </w:numPr>
        <w:tabs>
          <w:tab w:val="left" w:pos="284"/>
          <w:tab w:val="left" w:pos="426"/>
        </w:tabs>
        <w:ind w:left="0" w:firstLine="0"/>
        <w:jc w:val="left"/>
        <w:rPr>
          <w:rFonts w:ascii="Arial" w:hAnsi="Arial" w:cs="Arial"/>
        </w:rPr>
      </w:pPr>
      <w:r>
        <w:rPr>
          <w:rFonts w:ascii="Arial" w:hAnsi="Arial" w:cs="Arial"/>
          <w:b/>
        </w:rPr>
        <w:t xml:space="preserve"> Artículo 87 de la Ley Nº 14.416 (Tope horas extras)</w:t>
      </w:r>
    </w:p>
    <w:p w:rsidR="00DD291F" w:rsidRDefault="00DD291F" w:rsidP="008F60F6">
      <w:pPr>
        <w:pStyle w:val="Piedepgina"/>
        <w:spacing w:line="360" w:lineRule="auto"/>
        <w:ind w:left="284"/>
        <w:jc w:val="both"/>
        <w:rPr>
          <w:rFonts w:cs="Arial"/>
        </w:rPr>
      </w:pPr>
      <w:r>
        <w:rPr>
          <w:rFonts w:cs="Arial"/>
        </w:rPr>
        <w:t>Por haber superado en 26,86% el tope del 5% establecido para las horas extras de la imputación anual destinada al pago de sueldos básicos.</w:t>
      </w:r>
    </w:p>
    <w:p w:rsidR="00DD291F" w:rsidRDefault="00DD291F" w:rsidP="008F60F6">
      <w:pPr>
        <w:pStyle w:val="Piedepgina"/>
        <w:spacing w:line="360" w:lineRule="auto"/>
        <w:ind w:left="284"/>
        <w:jc w:val="both"/>
        <w:rPr>
          <w:rFonts w:cs="Arial"/>
          <w:spacing w:val="-3"/>
        </w:rPr>
      </w:pPr>
    </w:p>
    <w:p w:rsidR="00DD291F" w:rsidRPr="00F95C23" w:rsidRDefault="00DD291F" w:rsidP="00DD291F">
      <w:pPr>
        <w:numPr>
          <w:ilvl w:val="0"/>
          <w:numId w:val="1"/>
        </w:numPr>
        <w:spacing w:line="360" w:lineRule="auto"/>
        <w:ind w:left="284"/>
        <w:jc w:val="both"/>
        <w:rPr>
          <w:rFonts w:cs="Arial"/>
          <w:b/>
        </w:rPr>
      </w:pPr>
      <w:r>
        <w:rPr>
          <w:rFonts w:cs="Arial"/>
          <w:b/>
          <w:bCs/>
          <w:spacing w:val="-3"/>
        </w:rPr>
        <w:t xml:space="preserve"> </w:t>
      </w:r>
      <w:r w:rsidRPr="00F95C23">
        <w:rPr>
          <w:rFonts w:cs="Arial"/>
          <w:b/>
        </w:rPr>
        <w:t>Artículo</w:t>
      </w:r>
      <w:r>
        <w:rPr>
          <w:rFonts w:cs="Arial"/>
          <w:b/>
        </w:rPr>
        <w:t>s</w:t>
      </w:r>
      <w:r w:rsidRPr="00F95C23">
        <w:rPr>
          <w:rFonts w:cs="Arial"/>
          <w:b/>
        </w:rPr>
        <w:t xml:space="preserve"> 5 de la Ley Nº 18.381 y 38 del Decreto Nº 232/10</w:t>
      </w:r>
    </w:p>
    <w:p w:rsidR="00DD291F" w:rsidRDefault="00DD291F" w:rsidP="008F60F6">
      <w:pPr>
        <w:tabs>
          <w:tab w:val="left" w:pos="2410"/>
          <w:tab w:val="left" w:pos="2552"/>
        </w:tabs>
        <w:spacing w:line="360" w:lineRule="auto"/>
        <w:ind w:left="284"/>
        <w:jc w:val="both"/>
        <w:rPr>
          <w:rFonts w:cs="Arial"/>
          <w:bCs/>
          <w:lang w:val="es-ES_tradnl"/>
        </w:rPr>
      </w:pPr>
      <w:r>
        <w:rPr>
          <w:rFonts w:cs="Arial"/>
          <w:bCs/>
          <w:lang w:val="es-ES_tradnl"/>
        </w:rPr>
        <w:t xml:space="preserve">Al no disponer en su página web la información necesaria actualizada  </w:t>
      </w:r>
      <w:r w:rsidRPr="00F95C23">
        <w:rPr>
          <w:rFonts w:cs="Arial"/>
          <w:bCs/>
          <w:lang w:val="es-ES_tradnl"/>
        </w:rPr>
        <w:t xml:space="preserve">concerniente al acceso </w:t>
      </w:r>
      <w:r>
        <w:rPr>
          <w:rFonts w:cs="Arial"/>
          <w:bCs/>
          <w:lang w:val="es-ES_tradnl"/>
        </w:rPr>
        <w:t>de la información pública.</w:t>
      </w:r>
    </w:p>
    <w:p w:rsidR="00DD291F" w:rsidRPr="00F95C23" w:rsidRDefault="00DD291F" w:rsidP="008F60F6">
      <w:pPr>
        <w:tabs>
          <w:tab w:val="left" w:pos="2410"/>
          <w:tab w:val="left" w:pos="2552"/>
        </w:tabs>
        <w:spacing w:line="360" w:lineRule="auto"/>
        <w:ind w:left="284"/>
        <w:rPr>
          <w:rFonts w:cs="Arial"/>
          <w:b/>
          <w:lang w:val="es-ES_tradnl"/>
        </w:rPr>
      </w:pPr>
    </w:p>
    <w:p w:rsidR="00DD291F" w:rsidRDefault="00DD291F" w:rsidP="008F60F6">
      <w:pPr>
        <w:pStyle w:val="Textoindependiente21"/>
        <w:tabs>
          <w:tab w:val="clear" w:pos="-720"/>
          <w:tab w:val="left" w:pos="709"/>
        </w:tabs>
        <w:suppressAutoHyphens w:val="0"/>
        <w:spacing w:line="360" w:lineRule="auto"/>
        <w:rPr>
          <w:rStyle w:val="nfasis"/>
          <w:rFonts w:ascii="Arial" w:hAnsi="Arial" w:cs="Arial"/>
          <w:i w:val="0"/>
          <w:szCs w:val="24"/>
          <w:shd w:val="clear" w:color="auto" w:fill="FFFFFF"/>
        </w:rPr>
      </w:pPr>
      <w:r>
        <w:rPr>
          <w:rStyle w:val="nfasis"/>
          <w:rFonts w:ascii="Arial" w:hAnsi="Arial" w:cs="Arial"/>
          <w:i w:val="0"/>
          <w:szCs w:val="24"/>
          <w:shd w:val="clear" w:color="auto" w:fill="FFFFFF"/>
        </w:rPr>
        <w:t>Asimismo, durante el Ejercicio el Tribunal de Cuentas y el Contador Delegado observaron gastos por incumplimiento de lo dispuesto en el Artículo 211 Literal B) de la Constitución de la República, Artículos 15, 33 y 38 del TOCAF, los que fueron reiterados por el Ordenador competente.</w:t>
      </w:r>
    </w:p>
    <w:p w:rsidR="00DD291F" w:rsidRDefault="00DD291F" w:rsidP="008F60F6">
      <w:pPr>
        <w:jc w:val="right"/>
        <w:rPr>
          <w:rFonts w:cs="Arial"/>
        </w:rPr>
      </w:pPr>
      <w:r>
        <w:rPr>
          <w:rFonts w:cs="Arial"/>
        </w:rPr>
        <w:t>Mo</w:t>
      </w:r>
      <w:r w:rsidR="008F60F6">
        <w:rPr>
          <w:rFonts w:cs="Arial"/>
        </w:rPr>
        <w:t>ntevideo, 26 de octubre de 2016</w:t>
      </w:r>
    </w:p>
    <w:p w:rsidR="00DD291F" w:rsidRDefault="00DD291F" w:rsidP="008F60F6">
      <w:pPr>
        <w:jc w:val="right"/>
        <w:rPr>
          <w:rFonts w:cs="Arial"/>
        </w:rPr>
      </w:pPr>
    </w:p>
    <w:p w:rsidR="00DD291F" w:rsidRDefault="00DD291F" w:rsidP="008F60F6">
      <w:pPr>
        <w:jc w:val="right"/>
        <w:rPr>
          <w:rFonts w:cs="Arial"/>
        </w:rPr>
      </w:pPr>
    </w:p>
    <w:p w:rsidR="00DD291F" w:rsidRDefault="00DD291F" w:rsidP="008F60F6">
      <w:pPr>
        <w:jc w:val="right"/>
        <w:rPr>
          <w:rFonts w:cs="Arial"/>
        </w:rPr>
      </w:pPr>
    </w:p>
    <w:p w:rsidR="00DD291F" w:rsidRDefault="00DD291F" w:rsidP="008F60F6">
      <w:pPr>
        <w:jc w:val="right"/>
        <w:rPr>
          <w:rFonts w:cs="Arial"/>
        </w:rPr>
      </w:pPr>
    </w:p>
    <w:p w:rsidR="00DD291F" w:rsidRDefault="00DD291F" w:rsidP="008F60F6">
      <w:pPr>
        <w:ind w:hanging="709"/>
        <w:rPr>
          <w:rFonts w:cs="Arial"/>
        </w:rPr>
      </w:pPr>
      <w:proofErr w:type="gramStart"/>
      <w:r>
        <w:rPr>
          <w:rFonts w:cs="Arial"/>
        </w:rPr>
        <w:t>dc</w:t>
      </w:r>
      <w:proofErr w:type="gramEnd"/>
    </w:p>
    <w:p w:rsidR="00DD291F" w:rsidRDefault="00DD291F" w:rsidP="00407319">
      <w:pPr>
        <w:spacing w:line="360" w:lineRule="auto"/>
        <w:ind w:hanging="567"/>
        <w:jc w:val="both"/>
        <w:rPr>
          <w:rFonts w:eastAsia="Calibri" w:cs="Arial"/>
          <w:szCs w:val="22"/>
          <w:lang w:val="es-UY" w:eastAsia="en-US"/>
        </w:rPr>
      </w:pPr>
    </w:p>
    <w:p w:rsidR="00DD291F" w:rsidRDefault="00DD291F" w:rsidP="00407319">
      <w:pPr>
        <w:spacing w:line="360" w:lineRule="auto"/>
        <w:ind w:hanging="567"/>
        <w:jc w:val="both"/>
        <w:rPr>
          <w:rFonts w:eastAsia="Calibri" w:cs="Arial"/>
          <w:szCs w:val="22"/>
          <w:lang w:val="es-UY" w:eastAsia="en-US"/>
        </w:rPr>
      </w:pPr>
    </w:p>
    <w:p w:rsidR="00DD291F" w:rsidRDefault="00DD291F" w:rsidP="00407319">
      <w:pPr>
        <w:spacing w:line="360" w:lineRule="auto"/>
        <w:ind w:hanging="567"/>
        <w:jc w:val="both"/>
        <w:rPr>
          <w:rFonts w:eastAsia="Calibri" w:cs="Arial"/>
          <w:szCs w:val="22"/>
          <w:lang w:val="es-UY" w:eastAsia="en-US"/>
        </w:rPr>
      </w:pPr>
    </w:p>
    <w:p w:rsidR="00DD291F" w:rsidRPr="000E45B0" w:rsidRDefault="00DD291F" w:rsidP="008F60F6">
      <w:pPr>
        <w:keepNext/>
        <w:keepLines/>
        <w:tabs>
          <w:tab w:val="left" w:pos="0"/>
        </w:tabs>
        <w:spacing w:line="360" w:lineRule="auto"/>
        <w:ind w:left="360"/>
        <w:jc w:val="center"/>
        <w:outlineLvl w:val="4"/>
        <w:rPr>
          <w:rFonts w:cs="Arial"/>
          <w:b/>
          <w:snapToGrid w:val="0"/>
          <w:szCs w:val="20"/>
          <w:lang w:val="es-ES_tradnl"/>
        </w:rPr>
      </w:pPr>
      <w:r w:rsidRPr="000E45B0">
        <w:rPr>
          <w:rFonts w:cs="Arial"/>
          <w:b/>
          <w:snapToGrid w:val="0"/>
          <w:szCs w:val="20"/>
          <w:lang w:val="es-ES_tradnl"/>
        </w:rPr>
        <w:t>INFORME A LA ADMINISTRACIÓN</w:t>
      </w:r>
    </w:p>
    <w:p w:rsidR="00DD291F" w:rsidRPr="000E45B0" w:rsidRDefault="00DD291F" w:rsidP="008F60F6">
      <w:pPr>
        <w:spacing w:line="360" w:lineRule="auto"/>
        <w:jc w:val="both"/>
        <w:rPr>
          <w:rFonts w:cs="Arial"/>
          <w:szCs w:val="20"/>
        </w:rPr>
      </w:pPr>
    </w:p>
    <w:p w:rsidR="00DD291F" w:rsidRPr="000E45B0" w:rsidRDefault="00DD291F" w:rsidP="008F60F6">
      <w:pPr>
        <w:spacing w:line="360" w:lineRule="auto"/>
        <w:ind w:firstLine="851"/>
        <w:jc w:val="both"/>
        <w:rPr>
          <w:rFonts w:cs="Arial"/>
          <w:szCs w:val="20"/>
        </w:rPr>
      </w:pPr>
      <w:r w:rsidRPr="000E45B0">
        <w:rPr>
          <w:rFonts w:cs="Arial"/>
          <w:szCs w:val="20"/>
        </w:rPr>
        <w:t>El Tribunal de Cuentas ha examinado el Estado de Ejecución Presupuestal de PLUNA Ente Autónomo (PLUNA EA) correspondiente al Ejercicio finalizado el 31/12/15 y ha emitido su Dictamen.</w:t>
      </w:r>
    </w:p>
    <w:p w:rsidR="00DD291F" w:rsidRPr="000E45B0" w:rsidRDefault="00DD291F" w:rsidP="008F60F6">
      <w:pPr>
        <w:tabs>
          <w:tab w:val="left" w:pos="0"/>
        </w:tabs>
        <w:suppressAutoHyphens/>
        <w:spacing w:line="360" w:lineRule="auto"/>
        <w:jc w:val="both"/>
        <w:rPr>
          <w:rFonts w:cs="Arial"/>
          <w:szCs w:val="20"/>
        </w:rPr>
      </w:pPr>
      <w:r w:rsidRPr="000E45B0">
        <w:rPr>
          <w:rFonts w:cs="Arial"/>
          <w:szCs w:val="20"/>
        </w:rPr>
        <w:t>Este informe incluye comentarios que se ha entendido conveniente exponer, relacionados a la situación de determinados capítulos y rubros del estado examinado y a disposiciones legales vigentes.</w:t>
      </w:r>
    </w:p>
    <w:p w:rsidR="00DD291F" w:rsidRPr="000E45B0" w:rsidRDefault="00DD291F" w:rsidP="008F60F6">
      <w:pPr>
        <w:tabs>
          <w:tab w:val="left" w:pos="0"/>
        </w:tabs>
        <w:suppressAutoHyphens/>
        <w:spacing w:line="360" w:lineRule="auto"/>
        <w:jc w:val="both"/>
        <w:rPr>
          <w:rFonts w:cs="Arial"/>
          <w:szCs w:val="20"/>
        </w:rPr>
      </w:pPr>
      <w:r w:rsidRPr="000E45B0">
        <w:rPr>
          <w:rFonts w:cs="Arial"/>
          <w:szCs w:val="20"/>
        </w:rPr>
        <w:t xml:space="preserve">También se agregan las principales recomendaciones que </w:t>
      </w:r>
      <w:proofErr w:type="gramStart"/>
      <w:r w:rsidRPr="000E45B0">
        <w:rPr>
          <w:rFonts w:cs="Arial"/>
          <w:szCs w:val="20"/>
        </w:rPr>
        <w:t>deberá</w:t>
      </w:r>
      <w:proofErr w:type="gramEnd"/>
      <w:r w:rsidRPr="000E45B0">
        <w:rPr>
          <w:rFonts w:cs="Arial"/>
          <w:szCs w:val="20"/>
        </w:rPr>
        <w:t xml:space="preserve"> atender el Organismo y una evaluación del cumplimiento de las recomendaciones efectuadas </w:t>
      </w:r>
      <w:r>
        <w:rPr>
          <w:rFonts w:cs="Arial"/>
          <w:szCs w:val="20"/>
        </w:rPr>
        <w:t>en el Informe de Auditoría del E</w:t>
      </w:r>
      <w:r w:rsidRPr="000E45B0">
        <w:rPr>
          <w:rFonts w:cs="Arial"/>
          <w:szCs w:val="20"/>
        </w:rPr>
        <w:t>jercicio anterior.</w:t>
      </w:r>
    </w:p>
    <w:p w:rsidR="00DD291F" w:rsidRPr="000E45B0" w:rsidRDefault="00DD291F" w:rsidP="008F60F6">
      <w:pPr>
        <w:tabs>
          <w:tab w:val="left" w:pos="0"/>
        </w:tabs>
        <w:suppressAutoHyphens/>
        <w:spacing w:line="360" w:lineRule="auto"/>
        <w:jc w:val="both"/>
        <w:rPr>
          <w:rFonts w:cs="Arial"/>
          <w:szCs w:val="20"/>
        </w:rPr>
      </w:pPr>
    </w:p>
    <w:p w:rsidR="00DD291F" w:rsidRPr="000E45B0" w:rsidRDefault="00DD291F" w:rsidP="00DD291F">
      <w:pPr>
        <w:numPr>
          <w:ilvl w:val="0"/>
          <w:numId w:val="2"/>
        </w:numPr>
        <w:tabs>
          <w:tab w:val="left" w:pos="0"/>
          <w:tab w:val="num" w:pos="426"/>
        </w:tabs>
        <w:suppressAutoHyphens/>
        <w:spacing w:after="200" w:line="360" w:lineRule="auto"/>
        <w:ind w:hanging="502"/>
        <w:jc w:val="both"/>
        <w:rPr>
          <w:rFonts w:cs="Arial"/>
          <w:szCs w:val="20"/>
        </w:rPr>
      </w:pPr>
      <w:r w:rsidRPr="000E45B0">
        <w:rPr>
          <w:rFonts w:cs="Arial"/>
          <w:b/>
          <w:bCs/>
          <w:szCs w:val="20"/>
        </w:rPr>
        <w:t>Aprobación y presentación del Estado de Ejecución Presupuestal</w:t>
      </w:r>
    </w:p>
    <w:p w:rsidR="00DD291F" w:rsidRPr="000E45B0" w:rsidRDefault="00DD291F" w:rsidP="008F60F6">
      <w:pPr>
        <w:tabs>
          <w:tab w:val="left" w:pos="0"/>
          <w:tab w:val="left" w:pos="284"/>
        </w:tabs>
        <w:suppressAutoHyphens/>
        <w:spacing w:line="360" w:lineRule="auto"/>
        <w:jc w:val="both"/>
        <w:rPr>
          <w:rFonts w:cs="Arial"/>
          <w:szCs w:val="20"/>
        </w:rPr>
      </w:pPr>
      <w:r w:rsidRPr="000E45B0">
        <w:rPr>
          <w:rFonts w:cs="Arial"/>
          <w:szCs w:val="20"/>
        </w:rPr>
        <w:t>El mencionado Estado de Ejecución fue aprobado por Resolución de Directorio Nº 16.619 de fecha 30/05/16 y remitido a este Tribunal el 31/05/16, dentro del plazo establecido por la Ordenanza Nº 75, de fecha 16/09/98.</w:t>
      </w:r>
    </w:p>
    <w:p w:rsidR="00DD291F" w:rsidRPr="000E45B0" w:rsidRDefault="00DD291F" w:rsidP="008F60F6">
      <w:pPr>
        <w:tabs>
          <w:tab w:val="left" w:pos="0"/>
          <w:tab w:val="left" w:pos="284"/>
        </w:tabs>
        <w:suppressAutoHyphens/>
        <w:spacing w:line="360" w:lineRule="auto"/>
        <w:jc w:val="both"/>
        <w:rPr>
          <w:rFonts w:cs="Arial"/>
          <w:szCs w:val="20"/>
        </w:rPr>
      </w:pPr>
    </w:p>
    <w:p w:rsidR="00DD291F" w:rsidRPr="000E45B0" w:rsidRDefault="00DD291F" w:rsidP="00DD291F">
      <w:pPr>
        <w:numPr>
          <w:ilvl w:val="0"/>
          <w:numId w:val="2"/>
        </w:numPr>
        <w:tabs>
          <w:tab w:val="left" w:pos="0"/>
          <w:tab w:val="num" w:pos="426"/>
        </w:tabs>
        <w:suppressAutoHyphens/>
        <w:spacing w:after="200" w:line="360" w:lineRule="auto"/>
        <w:ind w:hanging="502"/>
        <w:jc w:val="both"/>
        <w:rPr>
          <w:rFonts w:cs="Arial"/>
          <w:b/>
          <w:bCs/>
          <w:szCs w:val="20"/>
        </w:rPr>
      </w:pPr>
      <w:r w:rsidRPr="000E45B0">
        <w:rPr>
          <w:rFonts w:cs="Arial"/>
          <w:b/>
          <w:bCs/>
          <w:szCs w:val="20"/>
        </w:rPr>
        <w:t>Evaluación de Control Interno</w:t>
      </w:r>
    </w:p>
    <w:p w:rsidR="00DD291F" w:rsidRPr="000E45B0" w:rsidRDefault="00DD291F" w:rsidP="008F60F6">
      <w:pPr>
        <w:tabs>
          <w:tab w:val="left" w:pos="0"/>
        </w:tabs>
        <w:suppressAutoHyphens/>
        <w:spacing w:line="360" w:lineRule="auto"/>
        <w:jc w:val="both"/>
        <w:rPr>
          <w:rFonts w:cs="Arial"/>
          <w:bCs/>
          <w:szCs w:val="20"/>
        </w:rPr>
      </w:pPr>
      <w:r w:rsidRPr="000E45B0">
        <w:rPr>
          <w:rFonts w:cs="Arial"/>
          <w:bCs/>
          <w:szCs w:val="20"/>
        </w:rPr>
        <w:t>El control interno de PLUNA EA proporciona un grado de seguridad razonable en relación a la confiabilidad de la información contable y el cumplimiento de la normativa vigente.</w:t>
      </w:r>
    </w:p>
    <w:p w:rsidR="00DD291F" w:rsidRPr="000E45B0" w:rsidRDefault="00DD291F" w:rsidP="008F60F6">
      <w:pPr>
        <w:tabs>
          <w:tab w:val="left" w:pos="0"/>
        </w:tabs>
        <w:suppressAutoHyphens/>
        <w:spacing w:line="360" w:lineRule="auto"/>
        <w:jc w:val="both"/>
        <w:rPr>
          <w:rFonts w:cs="Arial"/>
          <w:bCs/>
          <w:szCs w:val="20"/>
        </w:rPr>
      </w:pPr>
    </w:p>
    <w:p w:rsidR="00DD291F" w:rsidRPr="000E45B0" w:rsidRDefault="00DD291F" w:rsidP="00DD291F">
      <w:pPr>
        <w:numPr>
          <w:ilvl w:val="0"/>
          <w:numId w:val="2"/>
        </w:numPr>
        <w:tabs>
          <w:tab w:val="left" w:pos="0"/>
          <w:tab w:val="num" w:pos="426"/>
        </w:tabs>
        <w:suppressAutoHyphens/>
        <w:spacing w:after="200" w:line="360" w:lineRule="auto"/>
        <w:ind w:left="851" w:hanging="993"/>
        <w:jc w:val="both"/>
        <w:rPr>
          <w:rFonts w:cs="Arial"/>
          <w:bCs/>
          <w:spacing w:val="-3"/>
          <w:szCs w:val="20"/>
          <w:lang w:val="es-UY"/>
        </w:rPr>
      </w:pPr>
      <w:r w:rsidRPr="000E45B0">
        <w:rPr>
          <w:rFonts w:cs="Arial"/>
          <w:b/>
          <w:bCs/>
          <w:szCs w:val="20"/>
        </w:rPr>
        <w:t>Situaciones constatadas</w:t>
      </w:r>
    </w:p>
    <w:p w:rsidR="00DD291F" w:rsidRPr="000E45B0" w:rsidRDefault="00DD291F" w:rsidP="008F60F6">
      <w:pPr>
        <w:tabs>
          <w:tab w:val="left" w:pos="0"/>
        </w:tabs>
        <w:suppressAutoHyphens/>
        <w:spacing w:line="360" w:lineRule="auto"/>
        <w:ind w:left="426" w:hanging="426"/>
        <w:jc w:val="both"/>
        <w:rPr>
          <w:rFonts w:eastAsia="Calibri" w:cs="Arial"/>
          <w:spacing w:val="-3"/>
          <w:lang w:val="es-UY"/>
        </w:rPr>
      </w:pPr>
      <w:r w:rsidRPr="000E45B0">
        <w:rPr>
          <w:rFonts w:cs="Arial"/>
          <w:b/>
          <w:spacing w:val="-3"/>
          <w:lang w:val="es-UY"/>
        </w:rPr>
        <w:t>3.1</w:t>
      </w:r>
      <w:r w:rsidRPr="000E45B0">
        <w:rPr>
          <w:rFonts w:cs="Arial"/>
          <w:spacing w:val="-3"/>
          <w:lang w:val="es-UY"/>
        </w:rPr>
        <w:t xml:space="preserve"> </w:t>
      </w:r>
      <w:r w:rsidRPr="000E45B0">
        <w:rPr>
          <w:rFonts w:eastAsia="Calibri" w:cs="Arial"/>
          <w:spacing w:val="-3"/>
          <w:lang w:val="es-UY"/>
        </w:rPr>
        <w:t>Con fecha 09/10/2015 PLUNA E.A remitió los antecedentes del Acuerdo Transaccional con la Dra. Mirta González a este Tribunal a efectos de su intervención, indicando que sería imputado al objeto 2/282 que carecía de disponibilidad suficiente para atender el gasto, por un importe de U$S 96.250, que equivalían a $ 2</w:t>
      </w:r>
      <w:r>
        <w:rPr>
          <w:rFonts w:eastAsia="Calibri" w:cs="Arial"/>
          <w:spacing w:val="-3"/>
          <w:lang w:val="es-UY"/>
        </w:rPr>
        <w:t>:</w:t>
      </w:r>
      <w:r w:rsidRPr="000E45B0">
        <w:rPr>
          <w:rFonts w:eastAsia="Calibri" w:cs="Arial"/>
          <w:spacing w:val="-3"/>
          <w:lang w:val="es-UY"/>
        </w:rPr>
        <w:t>805.687. Pero del análisis de las fichas presupuestales se constató que el gasto se imputó al objeto 72 “Acuerdos Transaccionales”, el cual carecía de asignación presupuestal. No fueron comunicados al Tribunal de Cuentas los cambios que se aplicaron a las imputaciones de gastos que fueron intervenidos preventivamente, a los efectos de una nueva actuación.</w:t>
      </w:r>
    </w:p>
    <w:p w:rsidR="00DD291F" w:rsidRPr="000E45B0" w:rsidRDefault="00DD291F" w:rsidP="008F60F6">
      <w:pPr>
        <w:tabs>
          <w:tab w:val="left" w:pos="0"/>
        </w:tabs>
        <w:suppressAutoHyphens/>
        <w:spacing w:line="360" w:lineRule="auto"/>
        <w:ind w:left="426" w:hanging="426"/>
        <w:jc w:val="both"/>
        <w:rPr>
          <w:rFonts w:cs="Arial"/>
          <w:spacing w:val="-3"/>
          <w:lang w:val="es-UY"/>
        </w:rPr>
      </w:pPr>
      <w:r w:rsidRPr="000E45B0">
        <w:rPr>
          <w:rFonts w:cs="Arial"/>
          <w:b/>
          <w:spacing w:val="-3"/>
          <w:lang w:val="es-UY"/>
        </w:rPr>
        <w:t xml:space="preserve">3.2  </w:t>
      </w:r>
      <w:r w:rsidRPr="000E45B0">
        <w:rPr>
          <w:rFonts w:cs="Arial"/>
          <w:spacing w:val="-3"/>
          <w:lang w:val="es-UY"/>
        </w:rPr>
        <w:t>El total eje</w:t>
      </w:r>
      <w:r>
        <w:rPr>
          <w:rFonts w:cs="Arial"/>
          <w:spacing w:val="-3"/>
          <w:lang w:val="es-UY"/>
        </w:rPr>
        <w:t>cutado en “Horas extras” en el E</w:t>
      </w:r>
      <w:r w:rsidRPr="000E45B0">
        <w:rPr>
          <w:rFonts w:cs="Arial"/>
          <w:spacing w:val="-3"/>
          <w:lang w:val="es-UY"/>
        </w:rPr>
        <w:t xml:space="preserve">jercicio 2015 fue de $ </w:t>
      </w:r>
      <w:r>
        <w:rPr>
          <w:rFonts w:cs="Arial"/>
          <w:spacing w:val="-3"/>
          <w:lang w:val="es-UY"/>
        </w:rPr>
        <w:t>1:</w:t>
      </w:r>
      <w:r w:rsidRPr="000E45B0">
        <w:rPr>
          <w:rFonts w:cs="Arial"/>
          <w:spacing w:val="-3"/>
          <w:lang w:val="es-UY"/>
        </w:rPr>
        <w:t xml:space="preserve">772.453, lo que representa el 31,86% del monto de retribuciones básicas. Esto supera el  tope legal fijado en el Artículo 87 de la Ley </w:t>
      </w:r>
      <w:r w:rsidRPr="000E45B0">
        <w:rPr>
          <w:rFonts w:cs="Arial"/>
          <w:bCs/>
          <w:spacing w:val="-3"/>
          <w:lang w:val="es-UY"/>
        </w:rPr>
        <w:t xml:space="preserve"> </w:t>
      </w:r>
      <w:r w:rsidRPr="000E45B0">
        <w:rPr>
          <w:rFonts w:cs="Arial"/>
          <w:spacing w:val="-3"/>
          <w:lang w:val="es-UY"/>
        </w:rPr>
        <w:t>Nº 14.416, que establece que la partida asignada a dicho concepto no podrá superar el 5% de la dotación anual del Rubro destinado al pago de sueldos básicos que en este caso asciende a  $  278.119.</w:t>
      </w:r>
    </w:p>
    <w:p w:rsidR="00DD291F" w:rsidRPr="000E45B0" w:rsidRDefault="00DD291F" w:rsidP="008F60F6">
      <w:pPr>
        <w:tabs>
          <w:tab w:val="left" w:pos="0"/>
        </w:tabs>
        <w:suppressAutoHyphens/>
        <w:spacing w:line="360" w:lineRule="auto"/>
        <w:ind w:left="426" w:hanging="426"/>
        <w:jc w:val="both"/>
        <w:rPr>
          <w:rFonts w:cs="Arial"/>
          <w:spacing w:val="-3"/>
          <w:lang w:val="es-UY"/>
        </w:rPr>
      </w:pPr>
      <w:r w:rsidRPr="000E45B0">
        <w:rPr>
          <w:rFonts w:cs="Arial"/>
          <w:b/>
          <w:spacing w:val="-3"/>
          <w:lang w:val="es-UY"/>
        </w:rPr>
        <w:t xml:space="preserve">3.3  </w:t>
      </w:r>
      <w:r w:rsidRPr="000E45B0">
        <w:rPr>
          <w:rFonts w:cs="Arial"/>
          <w:spacing w:val="-3"/>
          <w:lang w:val="es-UY"/>
        </w:rPr>
        <w:t xml:space="preserve">El Ente no dispone en su página web de la información necesaria actualizada de acuerdo </w:t>
      </w:r>
      <w:r>
        <w:rPr>
          <w:rFonts w:cs="Arial"/>
          <w:spacing w:val="-3"/>
          <w:lang w:val="es-UY"/>
        </w:rPr>
        <w:t>con</w:t>
      </w:r>
      <w:r w:rsidRPr="000E45B0">
        <w:rPr>
          <w:rFonts w:cs="Arial"/>
          <w:spacing w:val="-3"/>
          <w:lang w:val="es-UY"/>
        </w:rPr>
        <w:t xml:space="preserve"> lo dispuesto por los Artículos 5 de la Ley Nº 18.381 y 38 del Decreto Nº 232/10 concerniente al acceso de la información pública.</w:t>
      </w:r>
    </w:p>
    <w:p w:rsidR="00DD291F" w:rsidRDefault="00DD291F" w:rsidP="008F60F6">
      <w:pPr>
        <w:tabs>
          <w:tab w:val="left" w:pos="709"/>
        </w:tabs>
        <w:spacing w:line="360" w:lineRule="auto"/>
        <w:ind w:hanging="142"/>
        <w:jc w:val="both"/>
        <w:rPr>
          <w:rFonts w:cs="Arial"/>
          <w:b/>
          <w:szCs w:val="20"/>
        </w:rPr>
      </w:pPr>
    </w:p>
    <w:p w:rsidR="00DD291F" w:rsidRPr="000E45B0" w:rsidRDefault="00DD291F" w:rsidP="008F60F6">
      <w:pPr>
        <w:tabs>
          <w:tab w:val="left" w:pos="709"/>
        </w:tabs>
        <w:spacing w:line="360" w:lineRule="auto"/>
        <w:ind w:hanging="142"/>
        <w:jc w:val="both"/>
        <w:rPr>
          <w:rFonts w:cs="Arial"/>
          <w:b/>
          <w:szCs w:val="20"/>
        </w:rPr>
      </w:pPr>
      <w:r w:rsidRPr="000E45B0">
        <w:rPr>
          <w:rFonts w:cs="Arial"/>
          <w:b/>
          <w:szCs w:val="20"/>
        </w:rPr>
        <w:t>4.      Recomendaciones</w:t>
      </w:r>
    </w:p>
    <w:p w:rsidR="00DD291F" w:rsidRPr="000E45B0" w:rsidRDefault="00DD291F" w:rsidP="008F60F6">
      <w:pPr>
        <w:tabs>
          <w:tab w:val="left" w:pos="0"/>
          <w:tab w:val="left" w:pos="284"/>
          <w:tab w:val="left" w:pos="709"/>
        </w:tabs>
        <w:spacing w:line="360" w:lineRule="auto"/>
        <w:jc w:val="both"/>
        <w:rPr>
          <w:rFonts w:cs="Arial"/>
          <w:b/>
          <w:szCs w:val="20"/>
        </w:rPr>
      </w:pPr>
      <w:r w:rsidRPr="000E45B0">
        <w:rPr>
          <w:rFonts w:cs="Arial"/>
          <w:b/>
          <w:szCs w:val="20"/>
        </w:rPr>
        <w:t>4.1    Recomendaciones de Ejercicios anteriores</w:t>
      </w:r>
    </w:p>
    <w:p w:rsidR="00DD291F" w:rsidRPr="000E45B0" w:rsidRDefault="00DD291F" w:rsidP="008F60F6">
      <w:pPr>
        <w:tabs>
          <w:tab w:val="left" w:pos="142"/>
          <w:tab w:val="left" w:pos="567"/>
          <w:tab w:val="left" w:pos="709"/>
        </w:tabs>
        <w:spacing w:line="360" w:lineRule="auto"/>
        <w:jc w:val="both"/>
        <w:rPr>
          <w:rFonts w:cs="Arial"/>
          <w:b/>
          <w:bCs/>
          <w:szCs w:val="20"/>
        </w:rPr>
      </w:pPr>
      <w:r w:rsidRPr="000E45B0">
        <w:rPr>
          <w:rFonts w:cs="Arial"/>
          <w:b/>
          <w:szCs w:val="20"/>
        </w:rPr>
        <w:t>4.1.1 Cumplidas</w:t>
      </w:r>
    </w:p>
    <w:p w:rsidR="00DD291F" w:rsidRPr="000E45B0" w:rsidRDefault="00DD291F" w:rsidP="008F60F6">
      <w:pPr>
        <w:spacing w:line="360" w:lineRule="auto"/>
        <w:ind w:left="851" w:hanging="851"/>
        <w:jc w:val="both"/>
        <w:rPr>
          <w:rFonts w:cs="Arial"/>
          <w:lang w:eastAsia="es-UY"/>
        </w:rPr>
      </w:pPr>
      <w:r w:rsidRPr="000E45B0">
        <w:rPr>
          <w:rFonts w:cs="Arial"/>
          <w:b/>
          <w:lang w:eastAsia="es-UY"/>
        </w:rPr>
        <w:t>4.1.1.1</w:t>
      </w:r>
      <w:r w:rsidRPr="000E45B0">
        <w:rPr>
          <w:rFonts w:cs="Arial"/>
          <w:b/>
          <w:sz w:val="22"/>
          <w:szCs w:val="20"/>
          <w:lang w:eastAsia="es-UY"/>
        </w:rPr>
        <w:t xml:space="preserve"> </w:t>
      </w:r>
      <w:r w:rsidRPr="000E45B0">
        <w:rPr>
          <w:rFonts w:cs="Arial"/>
          <w:lang w:eastAsia="es-UY"/>
        </w:rPr>
        <w:t xml:space="preserve"> Realizó la adec</w:t>
      </w:r>
      <w:r>
        <w:rPr>
          <w:rFonts w:cs="Arial"/>
          <w:lang w:eastAsia="es-UY"/>
        </w:rPr>
        <w:t>uación presupuestal de acuerdo con</w:t>
      </w:r>
      <w:r w:rsidRPr="000E45B0">
        <w:rPr>
          <w:rFonts w:cs="Arial"/>
          <w:lang w:eastAsia="es-UY"/>
        </w:rPr>
        <w:t xml:space="preserve"> lo establecido en el Presupuesto 2015.</w:t>
      </w:r>
    </w:p>
    <w:p w:rsidR="00DD291F" w:rsidRPr="000E45B0" w:rsidRDefault="00DD291F" w:rsidP="008F60F6">
      <w:pPr>
        <w:spacing w:line="360" w:lineRule="auto"/>
        <w:ind w:left="851" w:hanging="851"/>
        <w:jc w:val="both"/>
        <w:rPr>
          <w:rFonts w:cs="Arial"/>
          <w:lang w:val="es-ES_tradnl" w:eastAsia="es-UY"/>
        </w:rPr>
      </w:pPr>
      <w:r w:rsidRPr="000E45B0">
        <w:rPr>
          <w:rFonts w:cs="Arial"/>
          <w:b/>
          <w:bCs/>
          <w:lang w:eastAsia="es-UY"/>
        </w:rPr>
        <w:t>4.1.1.2</w:t>
      </w:r>
      <w:r w:rsidRPr="000E45B0">
        <w:rPr>
          <w:rFonts w:cs="Arial"/>
          <w:b/>
          <w:bCs/>
          <w:sz w:val="22"/>
          <w:szCs w:val="20"/>
          <w:lang w:eastAsia="es-UY"/>
        </w:rPr>
        <w:t xml:space="preserve"> </w:t>
      </w:r>
      <w:r w:rsidRPr="000E45B0">
        <w:rPr>
          <w:rFonts w:cs="Arial"/>
          <w:bCs/>
          <w:sz w:val="22"/>
          <w:szCs w:val="20"/>
          <w:lang w:eastAsia="es-UY"/>
        </w:rPr>
        <w:t>E</w:t>
      </w:r>
      <w:r w:rsidRPr="000E45B0">
        <w:rPr>
          <w:rFonts w:cs="Arial"/>
          <w:lang w:eastAsia="es-UY"/>
        </w:rPr>
        <w:t>fectuó la imputación de la totalidad de los gastos atendiendo al clasificador por objeto aprobado por Resolución del MEF del 31/12/98.</w:t>
      </w:r>
    </w:p>
    <w:p w:rsidR="00DD291F" w:rsidRPr="000E45B0" w:rsidRDefault="00DD291F" w:rsidP="008F60F6">
      <w:pPr>
        <w:tabs>
          <w:tab w:val="left" w:pos="142"/>
        </w:tabs>
        <w:spacing w:line="360" w:lineRule="auto"/>
        <w:ind w:left="851" w:hanging="851"/>
        <w:jc w:val="both"/>
        <w:rPr>
          <w:rFonts w:cs="Arial"/>
          <w:sz w:val="22"/>
          <w:szCs w:val="20"/>
          <w:lang w:val="es-ES_tradnl" w:eastAsia="es-UY"/>
        </w:rPr>
      </w:pPr>
      <w:r w:rsidRPr="000E45B0">
        <w:rPr>
          <w:rFonts w:cs="Arial"/>
          <w:b/>
          <w:bCs/>
          <w:lang w:eastAsia="es-UY"/>
        </w:rPr>
        <w:t>4.1.1.3</w:t>
      </w:r>
      <w:r w:rsidRPr="000E45B0">
        <w:rPr>
          <w:rFonts w:cs="Arial"/>
          <w:b/>
          <w:bCs/>
          <w:sz w:val="22"/>
          <w:szCs w:val="20"/>
          <w:lang w:eastAsia="es-UY"/>
        </w:rPr>
        <w:t xml:space="preserve"> </w:t>
      </w:r>
      <w:r w:rsidRPr="000E45B0">
        <w:rPr>
          <w:rFonts w:cs="Arial"/>
          <w:lang w:val="es-ES_tradnl" w:eastAsia="es-UY"/>
        </w:rPr>
        <w:t xml:space="preserve">Inscribió </w:t>
      </w:r>
      <w:r w:rsidRPr="000E45B0">
        <w:rPr>
          <w:rFonts w:cs="Arial"/>
          <w:lang w:eastAsia="es-UY"/>
        </w:rPr>
        <w:t>en el Registro de Vínculos con el Estado los restantes contratos de arrendamiento de obra y de servicios celebrados con</w:t>
      </w:r>
      <w:r>
        <w:rPr>
          <w:rFonts w:cs="Arial"/>
          <w:lang w:eastAsia="es-UY"/>
        </w:rPr>
        <w:t xml:space="preserve"> los profesionales, de acuerdo con lo dispuesto por el A</w:t>
      </w:r>
      <w:r w:rsidRPr="000E45B0">
        <w:rPr>
          <w:rFonts w:cs="Arial"/>
          <w:lang w:eastAsia="es-UY"/>
        </w:rPr>
        <w:t>rtículo 13 de la Ley Nº 18.719.</w:t>
      </w:r>
    </w:p>
    <w:p w:rsidR="00DD291F" w:rsidRDefault="00DD291F" w:rsidP="008F60F6">
      <w:pPr>
        <w:spacing w:line="360" w:lineRule="auto"/>
        <w:ind w:left="851" w:hanging="851"/>
        <w:jc w:val="both"/>
        <w:rPr>
          <w:rFonts w:cs="Arial"/>
          <w:lang w:val="es-ES_tradnl" w:eastAsia="es-UY"/>
        </w:rPr>
      </w:pPr>
      <w:r w:rsidRPr="000E45B0">
        <w:rPr>
          <w:rFonts w:cs="Arial"/>
          <w:b/>
          <w:lang w:eastAsia="es-UY"/>
        </w:rPr>
        <w:t>4.1.1.4</w:t>
      </w:r>
      <w:r w:rsidRPr="000E45B0">
        <w:rPr>
          <w:rFonts w:cs="Arial"/>
          <w:b/>
          <w:sz w:val="22"/>
          <w:szCs w:val="20"/>
          <w:lang w:eastAsia="es-UY"/>
        </w:rPr>
        <w:t xml:space="preserve"> </w:t>
      </w:r>
      <w:r w:rsidRPr="000E45B0">
        <w:rPr>
          <w:rFonts w:cs="Arial"/>
          <w:lang w:val="es-ES_tradnl" w:eastAsia="es-UY"/>
        </w:rPr>
        <w:t>Registró la totalidad de los recursos efectivamente percibidos y los compromisos y obligaciones contraídas tal como lo dispone el Artículo 95 del TOCAF.</w:t>
      </w:r>
    </w:p>
    <w:p w:rsidR="00DD291F" w:rsidRPr="000E45B0" w:rsidRDefault="00DD291F" w:rsidP="008F60F6">
      <w:pPr>
        <w:spacing w:line="360" w:lineRule="auto"/>
        <w:ind w:left="851" w:hanging="851"/>
        <w:jc w:val="both"/>
        <w:rPr>
          <w:rFonts w:cs="Arial"/>
          <w:lang w:val="es-ES_tradnl" w:eastAsia="es-UY"/>
        </w:rPr>
      </w:pPr>
      <w:r w:rsidRPr="000E45B0">
        <w:rPr>
          <w:rFonts w:cs="Arial"/>
          <w:b/>
          <w:lang w:eastAsia="es-UY"/>
        </w:rPr>
        <w:t xml:space="preserve">4.1.1.5 </w:t>
      </w:r>
      <w:r w:rsidRPr="000E45B0">
        <w:rPr>
          <w:rFonts w:cs="Arial"/>
          <w:lang w:val="es-ES_tradnl" w:eastAsia="es-UY"/>
        </w:rPr>
        <w:t>Afectó la asignación presupuestal del Objeto del Gasto “Sentencias Judiciales” al momento de conocerse la suma que resultó</w:t>
      </w:r>
      <w:r>
        <w:rPr>
          <w:rFonts w:cs="Arial"/>
          <w:lang w:val="es-ES_tradnl" w:eastAsia="es-UY"/>
        </w:rPr>
        <w:t xml:space="preserve"> de la liquidación, de acuerdo con</w:t>
      </w:r>
      <w:r w:rsidRPr="000E45B0">
        <w:rPr>
          <w:rFonts w:cs="Arial"/>
          <w:lang w:val="es-ES_tradnl" w:eastAsia="es-UY"/>
        </w:rPr>
        <w:t xml:space="preserve"> lo dispuesto por el Artículo 14 del TOCAF.</w:t>
      </w:r>
    </w:p>
    <w:p w:rsidR="00DD291F" w:rsidRPr="000E45B0" w:rsidRDefault="00DD291F" w:rsidP="008F60F6">
      <w:pPr>
        <w:spacing w:line="360" w:lineRule="auto"/>
        <w:ind w:left="851" w:hanging="851"/>
        <w:jc w:val="both"/>
        <w:rPr>
          <w:rFonts w:cs="Arial"/>
          <w:lang w:eastAsia="es-UY"/>
        </w:rPr>
      </w:pPr>
      <w:r w:rsidRPr="000E45B0">
        <w:rPr>
          <w:rFonts w:cs="Arial"/>
          <w:b/>
          <w:lang w:eastAsia="es-UY"/>
        </w:rPr>
        <w:t xml:space="preserve">4.1.1.6 </w:t>
      </w:r>
      <w:r w:rsidRPr="000E45B0">
        <w:rPr>
          <w:rFonts w:cs="Arial"/>
          <w:lang w:eastAsia="es-UY"/>
        </w:rPr>
        <w:t>Remitió al Tribunal de Cuentas el Balance de Ejecución Presupuestal del Ejercicio 2015 el 31/05/2016, dentro del plazo establecido por la Ordenanza Nº 75 del 16/09/98.</w:t>
      </w:r>
    </w:p>
    <w:p w:rsidR="00DD291F" w:rsidRPr="000E45B0" w:rsidRDefault="00DD291F" w:rsidP="008F60F6">
      <w:pPr>
        <w:spacing w:before="240" w:line="360" w:lineRule="auto"/>
        <w:ind w:left="851" w:hanging="851"/>
        <w:jc w:val="both"/>
        <w:rPr>
          <w:rFonts w:cs="Arial"/>
          <w:sz w:val="22"/>
          <w:szCs w:val="20"/>
          <w:lang w:eastAsia="es-UY"/>
        </w:rPr>
      </w:pPr>
    </w:p>
    <w:p w:rsidR="00DD291F" w:rsidRPr="000E45B0" w:rsidRDefault="00DD291F" w:rsidP="00DD291F">
      <w:pPr>
        <w:numPr>
          <w:ilvl w:val="2"/>
          <w:numId w:val="3"/>
        </w:numPr>
        <w:tabs>
          <w:tab w:val="left" w:pos="567"/>
        </w:tabs>
        <w:spacing w:after="200" w:line="360" w:lineRule="auto"/>
        <w:jc w:val="both"/>
        <w:rPr>
          <w:rFonts w:cs="Arial"/>
          <w:b/>
          <w:bCs/>
          <w:spacing w:val="-3"/>
          <w:szCs w:val="20"/>
        </w:rPr>
      </w:pPr>
      <w:r w:rsidRPr="000E45B0">
        <w:rPr>
          <w:rFonts w:cs="Arial"/>
          <w:b/>
          <w:bCs/>
          <w:spacing w:val="-3"/>
          <w:szCs w:val="20"/>
        </w:rPr>
        <w:t xml:space="preserve"> No cumplidas</w:t>
      </w:r>
    </w:p>
    <w:p w:rsidR="00DD291F" w:rsidRPr="000E45B0" w:rsidRDefault="00DD291F" w:rsidP="008F60F6">
      <w:pPr>
        <w:tabs>
          <w:tab w:val="left" w:pos="426"/>
        </w:tabs>
        <w:spacing w:line="360" w:lineRule="auto"/>
        <w:ind w:left="851" w:hanging="851"/>
        <w:jc w:val="both"/>
        <w:rPr>
          <w:rFonts w:cs="Arial"/>
          <w:szCs w:val="20"/>
        </w:rPr>
      </w:pPr>
      <w:r w:rsidRPr="000E45B0">
        <w:rPr>
          <w:rFonts w:cs="Arial"/>
          <w:b/>
          <w:bCs/>
          <w:szCs w:val="20"/>
        </w:rPr>
        <w:t>4.1.2.1</w:t>
      </w:r>
      <w:r w:rsidRPr="000E45B0">
        <w:rPr>
          <w:rFonts w:cs="Arial"/>
          <w:szCs w:val="20"/>
        </w:rPr>
        <w:t xml:space="preserve"> Las horas extras realizadas por los funcionarios no deben exceder el tope del 5% de la dotación asignada a los sueldos básicos. (3.2)</w:t>
      </w:r>
    </w:p>
    <w:p w:rsidR="00DD291F" w:rsidRPr="000E45B0" w:rsidRDefault="00DD291F" w:rsidP="008F60F6">
      <w:pPr>
        <w:tabs>
          <w:tab w:val="left" w:pos="567"/>
          <w:tab w:val="left" w:pos="851"/>
        </w:tabs>
        <w:spacing w:line="360" w:lineRule="auto"/>
        <w:ind w:left="851" w:hanging="851"/>
        <w:jc w:val="both"/>
        <w:rPr>
          <w:rFonts w:cs="Arial"/>
          <w:spacing w:val="-3"/>
          <w:szCs w:val="20"/>
          <w:lang w:val="es-UY"/>
        </w:rPr>
      </w:pPr>
    </w:p>
    <w:p w:rsidR="00DD291F" w:rsidRPr="000E45B0" w:rsidRDefault="00DD291F" w:rsidP="008F60F6">
      <w:pPr>
        <w:tabs>
          <w:tab w:val="left" w:pos="426"/>
          <w:tab w:val="left" w:pos="567"/>
          <w:tab w:val="left" w:pos="993"/>
        </w:tabs>
        <w:spacing w:line="360" w:lineRule="auto"/>
        <w:ind w:left="360" w:hanging="360"/>
        <w:jc w:val="both"/>
        <w:rPr>
          <w:rFonts w:cs="Arial"/>
          <w:spacing w:val="-3"/>
          <w:szCs w:val="20"/>
          <w:lang w:val="es-UY"/>
        </w:rPr>
      </w:pPr>
      <w:r w:rsidRPr="000E45B0">
        <w:rPr>
          <w:rFonts w:cs="Arial"/>
          <w:b/>
          <w:bCs/>
          <w:szCs w:val="20"/>
          <w:lang w:val="es-UY"/>
        </w:rPr>
        <w:t xml:space="preserve">4.2     </w:t>
      </w:r>
      <w:r w:rsidRPr="000E45B0">
        <w:rPr>
          <w:rFonts w:cs="Arial"/>
          <w:b/>
          <w:szCs w:val="20"/>
        </w:rPr>
        <w:t>Recomendaciones del presente Ejercicio</w:t>
      </w:r>
    </w:p>
    <w:p w:rsidR="00DD291F" w:rsidRPr="000E45B0" w:rsidRDefault="00DD291F" w:rsidP="008F60F6">
      <w:pPr>
        <w:tabs>
          <w:tab w:val="left" w:pos="567"/>
          <w:tab w:val="left" w:pos="709"/>
          <w:tab w:val="left" w:pos="993"/>
        </w:tabs>
        <w:spacing w:line="360" w:lineRule="auto"/>
        <w:ind w:left="709" w:hanging="349"/>
        <w:jc w:val="both"/>
        <w:rPr>
          <w:rFonts w:cs="Arial"/>
          <w:szCs w:val="20"/>
        </w:rPr>
      </w:pPr>
      <w:r w:rsidRPr="000E45B0">
        <w:rPr>
          <w:rFonts w:cs="Arial"/>
          <w:szCs w:val="20"/>
          <w:lang w:val="es-UY"/>
        </w:rPr>
        <w:tab/>
      </w:r>
      <w:r w:rsidRPr="000E45B0">
        <w:rPr>
          <w:rFonts w:cs="Arial"/>
          <w:szCs w:val="20"/>
          <w:lang w:val="es-UY"/>
        </w:rPr>
        <w:tab/>
        <w:t>Se reiteran las r</w:t>
      </w:r>
      <w:r>
        <w:rPr>
          <w:rFonts w:cs="Arial"/>
          <w:szCs w:val="20"/>
          <w:lang w:val="es-UY"/>
        </w:rPr>
        <w:t>ecomendaciones no cumplidas de E</w:t>
      </w:r>
      <w:r w:rsidRPr="000E45B0">
        <w:rPr>
          <w:rFonts w:cs="Arial"/>
          <w:szCs w:val="20"/>
          <w:lang w:val="es-UY"/>
        </w:rPr>
        <w:t>jercicios anteriores,   a las que se agregan las siguientes:</w:t>
      </w:r>
    </w:p>
    <w:p w:rsidR="00DD291F" w:rsidRPr="000E45B0" w:rsidRDefault="00DD291F" w:rsidP="008F60F6">
      <w:pPr>
        <w:tabs>
          <w:tab w:val="left" w:pos="567"/>
          <w:tab w:val="left" w:pos="709"/>
        </w:tabs>
        <w:spacing w:line="360" w:lineRule="auto"/>
        <w:ind w:left="720" w:hanging="720"/>
        <w:jc w:val="both"/>
        <w:rPr>
          <w:rFonts w:cs="Arial"/>
          <w:shd w:val="clear" w:color="auto" w:fill="FFFFFF"/>
        </w:rPr>
      </w:pPr>
      <w:r w:rsidRPr="000E45B0">
        <w:rPr>
          <w:rFonts w:cs="Arial"/>
          <w:b/>
          <w:szCs w:val="20"/>
        </w:rPr>
        <w:t>4.2.1</w:t>
      </w:r>
      <w:r w:rsidRPr="000E45B0">
        <w:rPr>
          <w:rFonts w:cs="Arial"/>
          <w:szCs w:val="20"/>
        </w:rPr>
        <w:t xml:space="preserve"> Comunicar al Tribunal los cambios que se apliquen a las imputaciones de los gastos que hayan sido intervenidos, a los efectos de una nueva actuación. (3.1)</w:t>
      </w:r>
    </w:p>
    <w:p w:rsidR="00DD291F" w:rsidRPr="000E45B0" w:rsidRDefault="00DD291F" w:rsidP="008F60F6">
      <w:pPr>
        <w:tabs>
          <w:tab w:val="left" w:pos="567"/>
          <w:tab w:val="left" w:pos="993"/>
        </w:tabs>
        <w:spacing w:line="360" w:lineRule="auto"/>
        <w:ind w:left="709" w:hanging="709"/>
        <w:jc w:val="both"/>
        <w:rPr>
          <w:rFonts w:cs="Arial"/>
          <w:shd w:val="clear" w:color="auto" w:fill="FFFFFF"/>
        </w:rPr>
      </w:pPr>
      <w:r w:rsidRPr="000E45B0">
        <w:rPr>
          <w:rFonts w:cs="Arial"/>
          <w:b/>
          <w:szCs w:val="20"/>
        </w:rPr>
        <w:t>4.2.2</w:t>
      </w:r>
      <w:r w:rsidRPr="000E45B0">
        <w:rPr>
          <w:rFonts w:cs="Arial"/>
          <w:szCs w:val="20"/>
        </w:rPr>
        <w:t xml:space="preserve"> Actualizar la información publicada en la página web conforme</w:t>
      </w:r>
      <w:r>
        <w:rPr>
          <w:rFonts w:cs="Arial"/>
          <w:szCs w:val="20"/>
        </w:rPr>
        <w:t xml:space="preserve"> con</w:t>
      </w:r>
      <w:r w:rsidRPr="000E45B0">
        <w:rPr>
          <w:rFonts w:cs="Arial"/>
          <w:szCs w:val="20"/>
        </w:rPr>
        <w:t xml:space="preserve"> los requerimientos dispuestos en los Artículos 5 de la Ley Nº 18.381 y 38 del Decreto Nº 232/10.(3.3)</w:t>
      </w:r>
    </w:p>
    <w:p w:rsidR="00DD291F" w:rsidRDefault="00DD291F" w:rsidP="008F60F6">
      <w:pPr>
        <w:suppressAutoHyphens/>
        <w:spacing w:line="360" w:lineRule="auto"/>
        <w:jc w:val="right"/>
        <w:rPr>
          <w:rFonts w:cs="Arial"/>
          <w:spacing w:val="-3"/>
          <w:szCs w:val="20"/>
          <w:lang w:val="es-UY"/>
        </w:rPr>
      </w:pPr>
      <w:r w:rsidRPr="000E45B0">
        <w:rPr>
          <w:rFonts w:cs="Arial"/>
          <w:spacing w:val="-3"/>
          <w:szCs w:val="20"/>
          <w:lang w:val="es-UY"/>
        </w:rPr>
        <w:t>Mo</w:t>
      </w:r>
      <w:r w:rsidR="002B1B3D">
        <w:rPr>
          <w:rFonts w:cs="Arial"/>
          <w:spacing w:val="-3"/>
          <w:szCs w:val="20"/>
          <w:lang w:val="es-UY"/>
        </w:rPr>
        <w:t>ntevideo, 26 de octubre de 2016</w:t>
      </w:r>
    </w:p>
    <w:p w:rsidR="00DD291F" w:rsidRDefault="00DD291F" w:rsidP="008F60F6">
      <w:pPr>
        <w:suppressAutoHyphens/>
        <w:spacing w:line="360" w:lineRule="auto"/>
        <w:jc w:val="right"/>
        <w:rPr>
          <w:rFonts w:cs="Arial"/>
          <w:spacing w:val="-3"/>
          <w:szCs w:val="20"/>
          <w:lang w:val="es-UY"/>
        </w:rPr>
      </w:pPr>
    </w:p>
    <w:p w:rsidR="00DD291F" w:rsidRPr="000E45B0" w:rsidRDefault="00DD291F" w:rsidP="00DD291F">
      <w:pPr>
        <w:suppressAutoHyphens/>
        <w:spacing w:line="360" w:lineRule="auto"/>
        <w:ind w:hanging="709"/>
        <w:rPr>
          <w:rFonts w:eastAsia="Calibri" w:cs="Arial"/>
          <w:szCs w:val="22"/>
          <w:lang w:val="es-UY" w:eastAsia="en-US"/>
        </w:rPr>
      </w:pPr>
      <w:proofErr w:type="gramStart"/>
      <w:r>
        <w:rPr>
          <w:rFonts w:cs="Arial"/>
          <w:spacing w:val="-3"/>
          <w:szCs w:val="20"/>
          <w:lang w:val="es-UY"/>
        </w:rPr>
        <w:t>dc</w:t>
      </w:r>
      <w:proofErr w:type="gramEnd"/>
    </w:p>
    <w:sectPr w:rsidR="00DD291F" w:rsidRPr="000E45B0" w:rsidSect="00407319">
      <w:headerReference w:type="default" r:id="rId8"/>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F6" w:rsidRDefault="008F60F6">
      <w:r>
        <w:separator/>
      </w:r>
    </w:p>
  </w:endnote>
  <w:endnote w:type="continuationSeparator" w:id="0">
    <w:p w:rsidR="008F60F6" w:rsidRDefault="008F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F6" w:rsidRDefault="008F60F6">
    <w:pPr>
      <w:pStyle w:val="Piedepgina"/>
      <w:jc w:val="center"/>
    </w:pPr>
    <w:r>
      <w:fldChar w:fldCharType="begin"/>
    </w:r>
    <w:r>
      <w:instrText>PAGE   \* MERGEFORMAT</w:instrText>
    </w:r>
    <w:r>
      <w:fldChar w:fldCharType="separate"/>
    </w:r>
    <w:r w:rsidR="0055529C">
      <w:rPr>
        <w:noProof/>
      </w:rPr>
      <w:t>1</w:t>
    </w:r>
    <w:r>
      <w:fldChar w:fldCharType="end"/>
    </w:r>
  </w:p>
  <w:p w:rsidR="008F60F6" w:rsidRDefault="008F60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F6" w:rsidRDefault="008F60F6">
      <w:r>
        <w:separator/>
      </w:r>
    </w:p>
  </w:footnote>
  <w:footnote w:type="continuationSeparator" w:id="0">
    <w:p w:rsidR="008F60F6" w:rsidRDefault="008F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F6" w:rsidRPr="0001233F" w:rsidRDefault="008F60F6" w:rsidP="008F60F6">
    <w:pPr>
      <w:pStyle w:val="Encabezado"/>
      <w:spacing w:line="360" w:lineRule="aut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5976"/>
    <w:multiLevelType w:val="multilevel"/>
    <w:tmpl w:val="C5F83CB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3"/>
      <w:numFmt w:val="decimal"/>
      <w:lvlText w:val="%4."/>
      <w:lvlJc w:val="left"/>
      <w:pPr>
        <w:tabs>
          <w:tab w:val="num" w:pos="1800"/>
        </w:tabs>
        <w:ind w:left="1800" w:hanging="360"/>
      </w:pPr>
      <w:rPr>
        <w:rFonts w:ascii="Arial" w:hAnsi="Arial" w:hint="default"/>
        <w:b/>
        <w:i w:val="0"/>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
    <w:nsid w:val="441C24B9"/>
    <w:multiLevelType w:val="multilevel"/>
    <w:tmpl w:val="21202B2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C73792D"/>
    <w:multiLevelType w:val="hybridMultilevel"/>
    <w:tmpl w:val="6AAA9350"/>
    <w:lvl w:ilvl="0" w:tplc="FD3C99F2">
      <w:start w:val="1"/>
      <w:numFmt w:val="decimal"/>
      <w:lvlText w:val="%1)"/>
      <w:lvlJc w:val="left"/>
      <w:pPr>
        <w:ind w:left="502" w:hanging="360"/>
      </w:pPr>
      <w:rPr>
        <w:rFonts w:hint="default"/>
        <w:b/>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19"/>
    <w:rsid w:val="002B1B3D"/>
    <w:rsid w:val="00330727"/>
    <w:rsid w:val="003462B6"/>
    <w:rsid w:val="00407319"/>
    <w:rsid w:val="0055529C"/>
    <w:rsid w:val="008F60F6"/>
    <w:rsid w:val="009D365A"/>
    <w:rsid w:val="00DD291F"/>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19"/>
    <w:rPr>
      <w:rFonts w:ascii="Arial" w:hAnsi="Arial"/>
      <w:sz w:val="24"/>
      <w:szCs w:val="24"/>
      <w:lang w:val="es-ES" w:eastAsia="es-ES"/>
    </w:rPr>
  </w:style>
  <w:style w:type="paragraph" w:styleId="Ttulo2">
    <w:name w:val="heading 2"/>
    <w:basedOn w:val="Normal"/>
    <w:next w:val="Normal"/>
    <w:link w:val="Ttulo2Car"/>
    <w:qFormat/>
    <w:rsid w:val="00DD291F"/>
    <w:pPr>
      <w:keepNext/>
      <w:spacing w:line="360" w:lineRule="auto"/>
      <w:jc w:val="center"/>
      <w:outlineLvl w:val="1"/>
    </w:pPr>
    <w:rPr>
      <w:rFonts w:ascii="Bookman Old Style" w:hAnsi="Bookman Old Style"/>
      <w:b/>
      <w:szCs w:val="20"/>
    </w:rPr>
  </w:style>
  <w:style w:type="paragraph" w:styleId="Ttulo6">
    <w:name w:val="heading 6"/>
    <w:basedOn w:val="Normal"/>
    <w:next w:val="Normal"/>
    <w:link w:val="Ttulo6Car"/>
    <w:qFormat/>
    <w:rsid w:val="00DD291F"/>
    <w:pPr>
      <w:keepNext/>
      <w:spacing w:line="360" w:lineRule="auto"/>
      <w:jc w:val="both"/>
      <w:outlineLvl w:val="5"/>
    </w:pPr>
    <w:rPr>
      <w:b/>
      <w:snapToGrid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07319"/>
    <w:pPr>
      <w:tabs>
        <w:tab w:val="center" w:pos="4419"/>
        <w:tab w:val="right" w:pos="8838"/>
      </w:tabs>
    </w:pPr>
  </w:style>
  <w:style w:type="character" w:customStyle="1" w:styleId="EncabezadoCar">
    <w:name w:val="Encabezado Car"/>
    <w:basedOn w:val="Fuentedeprrafopredeter"/>
    <w:link w:val="Encabezado"/>
    <w:uiPriority w:val="99"/>
    <w:semiHidden/>
    <w:rsid w:val="00407319"/>
    <w:rPr>
      <w:rFonts w:ascii="Arial" w:hAnsi="Arial"/>
      <w:sz w:val="24"/>
      <w:szCs w:val="24"/>
      <w:lang w:val="es-ES" w:eastAsia="es-ES"/>
    </w:rPr>
  </w:style>
  <w:style w:type="paragraph" w:styleId="Piedepgina">
    <w:name w:val="footer"/>
    <w:basedOn w:val="Normal"/>
    <w:link w:val="PiedepginaCar"/>
    <w:uiPriority w:val="99"/>
    <w:unhideWhenUsed/>
    <w:rsid w:val="00407319"/>
    <w:pPr>
      <w:tabs>
        <w:tab w:val="center" w:pos="4419"/>
        <w:tab w:val="right" w:pos="8838"/>
      </w:tabs>
    </w:pPr>
  </w:style>
  <w:style w:type="character" w:customStyle="1" w:styleId="PiedepginaCar">
    <w:name w:val="Pie de página Car"/>
    <w:basedOn w:val="Fuentedeprrafopredeter"/>
    <w:link w:val="Piedepgina"/>
    <w:uiPriority w:val="99"/>
    <w:rsid w:val="00407319"/>
    <w:rPr>
      <w:rFonts w:ascii="Arial" w:hAnsi="Arial"/>
      <w:sz w:val="24"/>
      <w:szCs w:val="24"/>
      <w:lang w:val="es-ES" w:eastAsia="es-ES"/>
    </w:rPr>
  </w:style>
  <w:style w:type="character" w:customStyle="1" w:styleId="Ttulo2Car">
    <w:name w:val="Título 2 Car"/>
    <w:basedOn w:val="Fuentedeprrafopredeter"/>
    <w:link w:val="Ttulo2"/>
    <w:rsid w:val="00DD291F"/>
    <w:rPr>
      <w:rFonts w:ascii="Bookman Old Style" w:hAnsi="Bookman Old Style"/>
      <w:b/>
      <w:sz w:val="24"/>
      <w:lang w:val="es-ES" w:eastAsia="es-ES"/>
    </w:rPr>
  </w:style>
  <w:style w:type="character" w:customStyle="1" w:styleId="Ttulo6Car">
    <w:name w:val="Título 6 Car"/>
    <w:basedOn w:val="Fuentedeprrafopredeter"/>
    <w:link w:val="Ttulo6"/>
    <w:rsid w:val="00DD291F"/>
    <w:rPr>
      <w:rFonts w:ascii="Arial" w:hAnsi="Arial"/>
      <w:b/>
      <w:snapToGrid w:val="0"/>
      <w:sz w:val="24"/>
      <w:lang w:val="es-ES" w:eastAsia="es-ES"/>
    </w:rPr>
  </w:style>
  <w:style w:type="paragraph" w:styleId="Textoindependiente">
    <w:name w:val="Body Text"/>
    <w:basedOn w:val="Normal"/>
    <w:link w:val="TextoindependienteCar"/>
    <w:semiHidden/>
    <w:rsid w:val="00DD291F"/>
    <w:pPr>
      <w:spacing w:line="360" w:lineRule="auto"/>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DD291F"/>
    <w:rPr>
      <w:rFonts w:ascii="Bookman Old Style" w:hAnsi="Bookman Old Style"/>
      <w:sz w:val="24"/>
      <w:lang w:val="es-ES" w:eastAsia="es-ES"/>
    </w:rPr>
  </w:style>
  <w:style w:type="paragraph" w:styleId="Textoindependiente3">
    <w:name w:val="Body Text 3"/>
    <w:basedOn w:val="Normal"/>
    <w:link w:val="Textoindependiente3Car"/>
    <w:semiHidden/>
    <w:rsid w:val="00DD291F"/>
    <w:pPr>
      <w:widowControl w:val="0"/>
      <w:jc w:val="both"/>
    </w:pPr>
    <w:rPr>
      <w:rFonts w:ascii="Bookman Old Style" w:hAnsi="Bookman Old Style"/>
      <w:b/>
      <w:snapToGrid w:val="0"/>
      <w:szCs w:val="20"/>
    </w:rPr>
  </w:style>
  <w:style w:type="character" w:customStyle="1" w:styleId="Textoindependiente3Car">
    <w:name w:val="Texto independiente 3 Car"/>
    <w:basedOn w:val="Fuentedeprrafopredeter"/>
    <w:link w:val="Textoindependiente3"/>
    <w:semiHidden/>
    <w:rsid w:val="00DD291F"/>
    <w:rPr>
      <w:rFonts w:ascii="Bookman Old Style" w:hAnsi="Bookman Old Style"/>
      <w:b/>
      <w:snapToGrid w:val="0"/>
      <w:sz w:val="24"/>
      <w:lang w:val="es-ES" w:eastAsia="es-ES"/>
    </w:rPr>
  </w:style>
  <w:style w:type="paragraph" w:customStyle="1" w:styleId="Textoindependiente21">
    <w:name w:val="Texto independiente 21"/>
    <w:basedOn w:val="Normal"/>
    <w:rsid w:val="00DD291F"/>
    <w:pPr>
      <w:widowControl w:val="0"/>
      <w:tabs>
        <w:tab w:val="left" w:pos="-720"/>
      </w:tabs>
      <w:suppressAutoHyphens/>
      <w:jc w:val="both"/>
    </w:pPr>
    <w:rPr>
      <w:rFonts w:ascii="Bookman Old Style" w:hAnsi="Bookman Old Style"/>
      <w:spacing w:val="-3"/>
      <w:szCs w:val="20"/>
      <w:lang w:val="es-UY"/>
    </w:rPr>
  </w:style>
  <w:style w:type="character" w:styleId="nfasis">
    <w:name w:val="Emphasis"/>
    <w:qFormat/>
    <w:rsid w:val="00DD2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19"/>
    <w:rPr>
      <w:rFonts w:ascii="Arial" w:hAnsi="Arial"/>
      <w:sz w:val="24"/>
      <w:szCs w:val="24"/>
      <w:lang w:val="es-ES" w:eastAsia="es-ES"/>
    </w:rPr>
  </w:style>
  <w:style w:type="paragraph" w:styleId="Ttulo2">
    <w:name w:val="heading 2"/>
    <w:basedOn w:val="Normal"/>
    <w:next w:val="Normal"/>
    <w:link w:val="Ttulo2Car"/>
    <w:qFormat/>
    <w:rsid w:val="00DD291F"/>
    <w:pPr>
      <w:keepNext/>
      <w:spacing w:line="360" w:lineRule="auto"/>
      <w:jc w:val="center"/>
      <w:outlineLvl w:val="1"/>
    </w:pPr>
    <w:rPr>
      <w:rFonts w:ascii="Bookman Old Style" w:hAnsi="Bookman Old Style"/>
      <w:b/>
      <w:szCs w:val="20"/>
    </w:rPr>
  </w:style>
  <w:style w:type="paragraph" w:styleId="Ttulo6">
    <w:name w:val="heading 6"/>
    <w:basedOn w:val="Normal"/>
    <w:next w:val="Normal"/>
    <w:link w:val="Ttulo6Car"/>
    <w:qFormat/>
    <w:rsid w:val="00DD291F"/>
    <w:pPr>
      <w:keepNext/>
      <w:spacing w:line="360" w:lineRule="auto"/>
      <w:jc w:val="both"/>
      <w:outlineLvl w:val="5"/>
    </w:pPr>
    <w:rPr>
      <w:b/>
      <w:snapToGrid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07319"/>
    <w:pPr>
      <w:tabs>
        <w:tab w:val="center" w:pos="4419"/>
        <w:tab w:val="right" w:pos="8838"/>
      </w:tabs>
    </w:pPr>
  </w:style>
  <w:style w:type="character" w:customStyle="1" w:styleId="EncabezadoCar">
    <w:name w:val="Encabezado Car"/>
    <w:basedOn w:val="Fuentedeprrafopredeter"/>
    <w:link w:val="Encabezado"/>
    <w:uiPriority w:val="99"/>
    <w:semiHidden/>
    <w:rsid w:val="00407319"/>
    <w:rPr>
      <w:rFonts w:ascii="Arial" w:hAnsi="Arial"/>
      <w:sz w:val="24"/>
      <w:szCs w:val="24"/>
      <w:lang w:val="es-ES" w:eastAsia="es-ES"/>
    </w:rPr>
  </w:style>
  <w:style w:type="paragraph" w:styleId="Piedepgina">
    <w:name w:val="footer"/>
    <w:basedOn w:val="Normal"/>
    <w:link w:val="PiedepginaCar"/>
    <w:uiPriority w:val="99"/>
    <w:unhideWhenUsed/>
    <w:rsid w:val="00407319"/>
    <w:pPr>
      <w:tabs>
        <w:tab w:val="center" w:pos="4419"/>
        <w:tab w:val="right" w:pos="8838"/>
      </w:tabs>
    </w:pPr>
  </w:style>
  <w:style w:type="character" w:customStyle="1" w:styleId="PiedepginaCar">
    <w:name w:val="Pie de página Car"/>
    <w:basedOn w:val="Fuentedeprrafopredeter"/>
    <w:link w:val="Piedepgina"/>
    <w:uiPriority w:val="99"/>
    <w:rsid w:val="00407319"/>
    <w:rPr>
      <w:rFonts w:ascii="Arial" w:hAnsi="Arial"/>
      <w:sz w:val="24"/>
      <w:szCs w:val="24"/>
      <w:lang w:val="es-ES" w:eastAsia="es-ES"/>
    </w:rPr>
  </w:style>
  <w:style w:type="character" w:customStyle="1" w:styleId="Ttulo2Car">
    <w:name w:val="Título 2 Car"/>
    <w:basedOn w:val="Fuentedeprrafopredeter"/>
    <w:link w:val="Ttulo2"/>
    <w:rsid w:val="00DD291F"/>
    <w:rPr>
      <w:rFonts w:ascii="Bookman Old Style" w:hAnsi="Bookman Old Style"/>
      <w:b/>
      <w:sz w:val="24"/>
      <w:lang w:val="es-ES" w:eastAsia="es-ES"/>
    </w:rPr>
  </w:style>
  <w:style w:type="character" w:customStyle="1" w:styleId="Ttulo6Car">
    <w:name w:val="Título 6 Car"/>
    <w:basedOn w:val="Fuentedeprrafopredeter"/>
    <w:link w:val="Ttulo6"/>
    <w:rsid w:val="00DD291F"/>
    <w:rPr>
      <w:rFonts w:ascii="Arial" w:hAnsi="Arial"/>
      <w:b/>
      <w:snapToGrid w:val="0"/>
      <w:sz w:val="24"/>
      <w:lang w:val="es-ES" w:eastAsia="es-ES"/>
    </w:rPr>
  </w:style>
  <w:style w:type="paragraph" w:styleId="Textoindependiente">
    <w:name w:val="Body Text"/>
    <w:basedOn w:val="Normal"/>
    <w:link w:val="TextoindependienteCar"/>
    <w:semiHidden/>
    <w:rsid w:val="00DD291F"/>
    <w:pPr>
      <w:spacing w:line="360" w:lineRule="auto"/>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DD291F"/>
    <w:rPr>
      <w:rFonts w:ascii="Bookman Old Style" w:hAnsi="Bookman Old Style"/>
      <w:sz w:val="24"/>
      <w:lang w:val="es-ES" w:eastAsia="es-ES"/>
    </w:rPr>
  </w:style>
  <w:style w:type="paragraph" w:styleId="Textoindependiente3">
    <w:name w:val="Body Text 3"/>
    <w:basedOn w:val="Normal"/>
    <w:link w:val="Textoindependiente3Car"/>
    <w:semiHidden/>
    <w:rsid w:val="00DD291F"/>
    <w:pPr>
      <w:widowControl w:val="0"/>
      <w:jc w:val="both"/>
    </w:pPr>
    <w:rPr>
      <w:rFonts w:ascii="Bookman Old Style" w:hAnsi="Bookman Old Style"/>
      <w:b/>
      <w:snapToGrid w:val="0"/>
      <w:szCs w:val="20"/>
    </w:rPr>
  </w:style>
  <w:style w:type="character" w:customStyle="1" w:styleId="Textoindependiente3Car">
    <w:name w:val="Texto independiente 3 Car"/>
    <w:basedOn w:val="Fuentedeprrafopredeter"/>
    <w:link w:val="Textoindependiente3"/>
    <w:semiHidden/>
    <w:rsid w:val="00DD291F"/>
    <w:rPr>
      <w:rFonts w:ascii="Bookman Old Style" w:hAnsi="Bookman Old Style"/>
      <w:b/>
      <w:snapToGrid w:val="0"/>
      <w:sz w:val="24"/>
      <w:lang w:val="es-ES" w:eastAsia="es-ES"/>
    </w:rPr>
  </w:style>
  <w:style w:type="paragraph" w:customStyle="1" w:styleId="Textoindependiente21">
    <w:name w:val="Texto independiente 21"/>
    <w:basedOn w:val="Normal"/>
    <w:rsid w:val="00DD291F"/>
    <w:pPr>
      <w:widowControl w:val="0"/>
      <w:tabs>
        <w:tab w:val="left" w:pos="-720"/>
      </w:tabs>
      <w:suppressAutoHyphens/>
      <w:jc w:val="both"/>
    </w:pPr>
    <w:rPr>
      <w:rFonts w:ascii="Bookman Old Style" w:hAnsi="Bookman Old Style"/>
      <w:spacing w:val="-3"/>
      <w:szCs w:val="20"/>
      <w:lang w:val="es-UY"/>
    </w:rPr>
  </w:style>
  <w:style w:type="character" w:styleId="nfasis">
    <w:name w:val="Emphasis"/>
    <w:qFormat/>
    <w:rsid w:val="00DD2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1385</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2016-11-11T18:30:00Z</cp:lastPrinted>
  <dcterms:created xsi:type="dcterms:W3CDTF">2016-11-11T18:27:00Z</dcterms:created>
  <dcterms:modified xsi:type="dcterms:W3CDTF">2017-05-12T18:05:00Z</dcterms:modified>
</cp:coreProperties>
</file>