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606" w:rsidRPr="004D6606" w:rsidRDefault="004D6606" w:rsidP="004D6606">
      <w:pPr>
        <w:tabs>
          <w:tab w:val="center" w:pos="4253"/>
        </w:tabs>
        <w:spacing w:after="0" w:line="240" w:lineRule="auto"/>
        <w:jc w:val="right"/>
        <w:rPr>
          <w:rFonts w:ascii="Arial" w:eastAsia="Times New Roman" w:hAnsi="Arial" w:cs="Arial"/>
          <w:b/>
          <w:sz w:val="28"/>
          <w:szCs w:val="28"/>
          <w:lang w:val="es-ES_tradnl" w:eastAsia="es-ES"/>
        </w:rPr>
      </w:pPr>
      <w:bookmarkStart w:id="0" w:name="_GoBack"/>
      <w:bookmarkEnd w:id="0"/>
      <w:r w:rsidRPr="004D6606">
        <w:rPr>
          <w:rFonts w:ascii="Arial" w:eastAsia="Times New Roman" w:hAnsi="Arial" w:cs="Arial"/>
          <w:b/>
          <w:sz w:val="28"/>
          <w:szCs w:val="28"/>
          <w:lang w:val="es-ES_tradnl" w:eastAsia="es-ES"/>
        </w:rPr>
        <w:t>RES. 4184/16</w:t>
      </w:r>
    </w:p>
    <w:p w:rsidR="004D6606" w:rsidRPr="004D6606" w:rsidRDefault="004D6606" w:rsidP="004D6606">
      <w:pPr>
        <w:tabs>
          <w:tab w:val="center" w:pos="4253"/>
        </w:tabs>
        <w:spacing w:after="0" w:line="240" w:lineRule="auto"/>
        <w:jc w:val="center"/>
        <w:rPr>
          <w:rFonts w:ascii="Arial" w:eastAsia="Times New Roman" w:hAnsi="Arial" w:cs="Arial"/>
          <w:b/>
          <w:sz w:val="24"/>
          <w:szCs w:val="24"/>
          <w:lang w:val="es-ES_tradnl" w:eastAsia="es-ES"/>
        </w:rPr>
      </w:pPr>
    </w:p>
    <w:p w:rsidR="004D6606" w:rsidRPr="004D6606" w:rsidRDefault="004D6606" w:rsidP="004D6606">
      <w:pPr>
        <w:tabs>
          <w:tab w:val="center" w:pos="4253"/>
        </w:tabs>
        <w:spacing w:after="0" w:line="240" w:lineRule="auto"/>
        <w:jc w:val="center"/>
        <w:rPr>
          <w:rFonts w:ascii="Helvetica" w:eastAsia="Times New Roman" w:hAnsi="Helvetica" w:cs="Times New Roman"/>
          <w:b/>
          <w:sz w:val="24"/>
          <w:szCs w:val="24"/>
          <w:lang w:val="es-ES_tradnl" w:eastAsia="es-ES"/>
        </w:rPr>
      </w:pPr>
    </w:p>
    <w:p w:rsidR="004D6606" w:rsidRPr="004D6606" w:rsidRDefault="004D6606" w:rsidP="004D6606">
      <w:pPr>
        <w:tabs>
          <w:tab w:val="center" w:pos="4253"/>
        </w:tabs>
        <w:spacing w:after="0" w:line="240" w:lineRule="auto"/>
        <w:jc w:val="center"/>
        <w:rPr>
          <w:rFonts w:ascii="Helvetica" w:eastAsia="Times New Roman" w:hAnsi="Helvetica" w:cs="Times New Roman"/>
          <w:b/>
          <w:sz w:val="24"/>
          <w:szCs w:val="24"/>
          <w:lang w:val="es-ES_tradnl" w:eastAsia="es-ES"/>
        </w:rPr>
      </w:pPr>
      <w:r w:rsidRPr="004D6606">
        <w:rPr>
          <w:rFonts w:ascii="Helvetica" w:eastAsia="Times New Roman" w:hAnsi="Helvetica" w:cs="Times New Roman"/>
          <w:b/>
          <w:sz w:val="24"/>
          <w:szCs w:val="24"/>
          <w:lang w:val="es-ES_tradnl" w:eastAsia="es-ES"/>
        </w:rPr>
        <w:t>RESOLUCION ADOPTADA POR EL</w:t>
      </w:r>
    </w:p>
    <w:p w:rsidR="004D6606" w:rsidRPr="004D6606" w:rsidRDefault="004D6606" w:rsidP="004D6606">
      <w:pPr>
        <w:tabs>
          <w:tab w:val="left" w:pos="-720"/>
        </w:tabs>
        <w:spacing w:after="0" w:line="240" w:lineRule="auto"/>
        <w:jc w:val="center"/>
        <w:rPr>
          <w:rFonts w:ascii="Helvetica" w:eastAsia="Times New Roman" w:hAnsi="Helvetica" w:cs="Times New Roman"/>
          <w:b/>
          <w:sz w:val="24"/>
          <w:szCs w:val="24"/>
          <w:lang w:val="es-ES_tradnl" w:eastAsia="es-ES"/>
        </w:rPr>
      </w:pPr>
    </w:p>
    <w:p w:rsidR="004D6606" w:rsidRPr="004D6606" w:rsidRDefault="004D6606" w:rsidP="004D6606">
      <w:pPr>
        <w:tabs>
          <w:tab w:val="center" w:pos="4253"/>
        </w:tabs>
        <w:spacing w:after="0" w:line="240" w:lineRule="auto"/>
        <w:jc w:val="center"/>
        <w:rPr>
          <w:rFonts w:ascii="Helvetica" w:eastAsia="Times New Roman" w:hAnsi="Helvetica" w:cs="Times New Roman"/>
          <w:b/>
          <w:sz w:val="24"/>
          <w:szCs w:val="24"/>
          <w:lang w:val="es-ES_tradnl" w:eastAsia="es-ES"/>
        </w:rPr>
      </w:pPr>
      <w:r w:rsidRPr="004D6606">
        <w:rPr>
          <w:rFonts w:ascii="Helvetica" w:eastAsia="Times New Roman" w:hAnsi="Helvetica" w:cs="Times New Roman"/>
          <w:b/>
          <w:sz w:val="24"/>
          <w:szCs w:val="24"/>
          <w:lang w:val="es-ES_tradnl" w:eastAsia="es-ES"/>
        </w:rPr>
        <w:t>TRIBUNAL DE CUENTAS</w:t>
      </w:r>
    </w:p>
    <w:p w:rsidR="004D6606" w:rsidRPr="004D6606" w:rsidRDefault="004D6606" w:rsidP="004D6606">
      <w:pPr>
        <w:tabs>
          <w:tab w:val="left" w:pos="-720"/>
        </w:tabs>
        <w:spacing w:after="0" w:line="240" w:lineRule="auto"/>
        <w:jc w:val="center"/>
        <w:rPr>
          <w:rFonts w:ascii="Helvetica" w:eastAsia="Times New Roman" w:hAnsi="Helvetica" w:cs="Times New Roman"/>
          <w:b/>
          <w:sz w:val="24"/>
          <w:szCs w:val="24"/>
          <w:lang w:val="es-ES_tradnl" w:eastAsia="es-ES"/>
        </w:rPr>
      </w:pPr>
    </w:p>
    <w:p w:rsidR="004D6606" w:rsidRPr="004D6606" w:rsidRDefault="004D6606" w:rsidP="004D6606">
      <w:pPr>
        <w:tabs>
          <w:tab w:val="center" w:pos="4253"/>
        </w:tabs>
        <w:spacing w:after="0" w:line="240" w:lineRule="auto"/>
        <w:jc w:val="center"/>
        <w:rPr>
          <w:rFonts w:ascii="Helvetica" w:eastAsia="Times New Roman" w:hAnsi="Helvetica" w:cs="Times New Roman"/>
          <w:b/>
          <w:sz w:val="24"/>
          <w:szCs w:val="24"/>
          <w:lang w:val="es-ES_tradnl" w:eastAsia="es-ES"/>
        </w:rPr>
      </w:pPr>
      <w:r w:rsidRPr="004D6606">
        <w:rPr>
          <w:rFonts w:ascii="Helvetica" w:eastAsia="Times New Roman" w:hAnsi="Helvetica" w:cs="Times New Roman"/>
          <w:b/>
          <w:sz w:val="24"/>
          <w:szCs w:val="24"/>
          <w:lang w:val="es-ES_tradnl" w:eastAsia="es-ES"/>
        </w:rPr>
        <w:t>EN SESION DE FECHA 30 DE NOVIEMBRE DE 2016</w:t>
      </w:r>
    </w:p>
    <w:p w:rsidR="004D6606" w:rsidRPr="004D6606" w:rsidRDefault="004D6606" w:rsidP="004D6606">
      <w:pPr>
        <w:tabs>
          <w:tab w:val="center" w:pos="4253"/>
        </w:tabs>
        <w:spacing w:after="0" w:line="240" w:lineRule="auto"/>
        <w:jc w:val="center"/>
        <w:rPr>
          <w:rFonts w:ascii="Helvetica" w:eastAsia="Times New Roman" w:hAnsi="Helvetica" w:cs="Times New Roman"/>
          <w:b/>
          <w:sz w:val="24"/>
          <w:szCs w:val="24"/>
          <w:lang w:val="es-ES_tradnl" w:eastAsia="es-ES"/>
        </w:rPr>
      </w:pPr>
    </w:p>
    <w:p w:rsidR="004D6606" w:rsidRPr="004D6606" w:rsidRDefault="004D6606" w:rsidP="004D6606">
      <w:pPr>
        <w:tabs>
          <w:tab w:val="center" w:pos="4253"/>
        </w:tabs>
        <w:spacing w:after="0" w:line="240" w:lineRule="auto"/>
        <w:jc w:val="center"/>
        <w:rPr>
          <w:rFonts w:ascii="Helvetica" w:eastAsia="Times New Roman" w:hAnsi="Helvetica" w:cs="Times New Roman"/>
          <w:b/>
          <w:sz w:val="24"/>
          <w:szCs w:val="24"/>
          <w:lang w:eastAsia="es-ES"/>
        </w:rPr>
      </w:pPr>
      <w:r w:rsidRPr="004D6606">
        <w:rPr>
          <w:rFonts w:ascii="Helvetica" w:eastAsia="Times New Roman" w:hAnsi="Helvetica" w:cs="Times New Roman"/>
          <w:b/>
          <w:sz w:val="24"/>
          <w:szCs w:val="24"/>
          <w:lang w:eastAsia="es-ES"/>
        </w:rPr>
        <w:t>(E. E. Nº 2016-17-1-000</w:t>
      </w:r>
      <w:r>
        <w:rPr>
          <w:rFonts w:ascii="Helvetica" w:eastAsia="Times New Roman" w:hAnsi="Helvetica" w:cs="Times New Roman"/>
          <w:b/>
          <w:sz w:val="24"/>
          <w:szCs w:val="24"/>
          <w:lang w:eastAsia="es-ES"/>
        </w:rPr>
        <w:t>5839</w:t>
      </w:r>
      <w:r w:rsidRPr="004D6606">
        <w:rPr>
          <w:rFonts w:ascii="Helvetica" w:eastAsia="Times New Roman" w:hAnsi="Helvetica" w:cs="Times New Roman"/>
          <w:b/>
          <w:sz w:val="24"/>
          <w:szCs w:val="24"/>
          <w:lang w:eastAsia="es-ES"/>
        </w:rPr>
        <w:t xml:space="preserve">, </w:t>
      </w:r>
      <w:proofErr w:type="spellStart"/>
      <w:r w:rsidRPr="004D6606">
        <w:rPr>
          <w:rFonts w:ascii="Helvetica" w:eastAsia="Times New Roman" w:hAnsi="Helvetica" w:cs="Times New Roman"/>
          <w:b/>
          <w:sz w:val="24"/>
          <w:szCs w:val="24"/>
          <w:lang w:eastAsia="es-ES"/>
        </w:rPr>
        <w:t>Ent</w:t>
      </w:r>
      <w:proofErr w:type="spellEnd"/>
      <w:r w:rsidRPr="004D6606">
        <w:rPr>
          <w:rFonts w:ascii="Helvetica" w:eastAsia="Times New Roman" w:hAnsi="Helvetica" w:cs="Times New Roman"/>
          <w:b/>
          <w:sz w:val="24"/>
          <w:szCs w:val="24"/>
          <w:lang w:eastAsia="es-ES"/>
        </w:rPr>
        <w:t xml:space="preserve">. N° </w:t>
      </w:r>
      <w:r>
        <w:rPr>
          <w:rFonts w:ascii="Helvetica" w:eastAsia="Times New Roman" w:hAnsi="Helvetica" w:cs="Times New Roman"/>
          <w:b/>
          <w:sz w:val="24"/>
          <w:szCs w:val="24"/>
          <w:lang w:eastAsia="es-ES"/>
        </w:rPr>
        <w:t>4489</w:t>
      </w:r>
      <w:r w:rsidRPr="004D6606">
        <w:rPr>
          <w:rFonts w:ascii="Helvetica" w:eastAsia="Times New Roman" w:hAnsi="Helvetica" w:cs="Times New Roman"/>
          <w:b/>
          <w:sz w:val="24"/>
          <w:szCs w:val="24"/>
          <w:lang w:eastAsia="es-ES"/>
        </w:rPr>
        <w:t>/16)</w:t>
      </w:r>
    </w:p>
    <w:p w:rsidR="004D6606" w:rsidRDefault="004D6606" w:rsidP="00541957">
      <w:pPr>
        <w:tabs>
          <w:tab w:val="center" w:pos="4253"/>
        </w:tabs>
        <w:spacing w:line="240" w:lineRule="auto"/>
        <w:rPr>
          <w:rFonts w:ascii="Arial" w:hAnsi="Arial" w:cs="Arial"/>
          <w:b/>
          <w:sz w:val="24"/>
          <w:szCs w:val="24"/>
        </w:rPr>
      </w:pPr>
    </w:p>
    <w:p w:rsidR="00541957" w:rsidRPr="00541957" w:rsidRDefault="00541957" w:rsidP="00E12FC0">
      <w:pPr>
        <w:spacing w:after="0" w:line="360" w:lineRule="auto"/>
        <w:ind w:firstLine="851"/>
        <w:jc w:val="both"/>
        <w:rPr>
          <w:rFonts w:ascii="Arial" w:hAnsi="Arial" w:cs="Arial"/>
          <w:sz w:val="24"/>
          <w:szCs w:val="24"/>
        </w:rPr>
      </w:pPr>
      <w:r w:rsidRPr="00541957">
        <w:rPr>
          <w:rFonts w:ascii="Arial" w:hAnsi="Arial" w:cs="Arial"/>
          <w:b/>
          <w:sz w:val="24"/>
          <w:szCs w:val="24"/>
        </w:rPr>
        <w:t>VISTO:</w:t>
      </w:r>
      <w:r w:rsidRPr="00541957">
        <w:rPr>
          <w:rFonts w:ascii="Arial" w:hAnsi="Arial" w:cs="Arial"/>
          <w:sz w:val="24"/>
          <w:szCs w:val="24"/>
        </w:rPr>
        <w:t xml:space="preserve"> la Rendición de Cuentas y Balance de Ejecución Presupuestal de la Intendencia de </w:t>
      </w:r>
      <w:r w:rsidR="00F7643C">
        <w:rPr>
          <w:rFonts w:ascii="Arial" w:hAnsi="Arial" w:cs="Arial"/>
          <w:sz w:val="24"/>
          <w:szCs w:val="24"/>
        </w:rPr>
        <w:t>Tacuarembó</w:t>
      </w:r>
      <w:r w:rsidRPr="00541957">
        <w:rPr>
          <w:rFonts w:ascii="Arial" w:hAnsi="Arial" w:cs="Arial"/>
          <w:sz w:val="24"/>
          <w:szCs w:val="24"/>
        </w:rPr>
        <w:t xml:space="preserve"> correspondiente al Ejercicio 2015;</w:t>
      </w:r>
    </w:p>
    <w:p w:rsidR="00541957" w:rsidRPr="00541957" w:rsidRDefault="00541957" w:rsidP="00E12FC0">
      <w:pPr>
        <w:spacing w:after="0" w:line="360" w:lineRule="auto"/>
        <w:ind w:firstLine="851"/>
        <w:jc w:val="both"/>
        <w:rPr>
          <w:rFonts w:ascii="Arial" w:hAnsi="Arial" w:cs="Arial"/>
          <w:sz w:val="24"/>
          <w:szCs w:val="24"/>
        </w:rPr>
      </w:pPr>
      <w:r w:rsidRPr="00541957">
        <w:rPr>
          <w:rFonts w:ascii="Arial" w:hAnsi="Arial" w:cs="Arial"/>
          <w:b/>
          <w:sz w:val="24"/>
          <w:szCs w:val="24"/>
        </w:rPr>
        <w:t xml:space="preserve">RESULTANDO: </w:t>
      </w:r>
      <w:r w:rsidRPr="00541957">
        <w:rPr>
          <w:rFonts w:ascii="Arial" w:hAnsi="Arial" w:cs="Arial"/>
          <w:sz w:val="24"/>
          <w:szCs w:val="24"/>
        </w:rPr>
        <w:t>que el examen se efectuó de acuerdo con los Principios Fundamentales de Auditoría (ISSAI 100 y 200) y las Directrices de Auditoría Financiera (ISSAI 1000 a 1810) de la Organización Internacional de Entidades Fiscalizadoras Superiores (INTOSAI), habiéndose llevado a cabo los procedimientos considerados necesarios en las circunstancias;</w:t>
      </w:r>
    </w:p>
    <w:p w:rsidR="00541957" w:rsidRPr="00541957" w:rsidRDefault="00541957" w:rsidP="00E12FC0">
      <w:pPr>
        <w:spacing w:after="0" w:line="360" w:lineRule="auto"/>
        <w:ind w:firstLine="851"/>
        <w:jc w:val="both"/>
        <w:rPr>
          <w:rFonts w:ascii="Arial" w:hAnsi="Arial" w:cs="Arial"/>
          <w:sz w:val="24"/>
          <w:szCs w:val="24"/>
        </w:rPr>
      </w:pPr>
      <w:r w:rsidRPr="00541957">
        <w:rPr>
          <w:rFonts w:ascii="Arial" w:hAnsi="Arial" w:cs="Arial"/>
          <w:b/>
          <w:sz w:val="24"/>
          <w:szCs w:val="24"/>
        </w:rPr>
        <w:t xml:space="preserve">CONSIDERANDO: </w:t>
      </w:r>
      <w:r w:rsidRPr="00541957">
        <w:rPr>
          <w:rFonts w:ascii="Arial" w:hAnsi="Arial" w:cs="Arial"/>
          <w:sz w:val="24"/>
          <w:szCs w:val="24"/>
        </w:rPr>
        <w:t>que las conclusiones y evidencias obtenidas son las que se expresan en el Informe de Auditoría, que incluye Dictamen e Informe a la Administración;</w:t>
      </w:r>
    </w:p>
    <w:p w:rsidR="00541957" w:rsidRPr="00541957" w:rsidRDefault="00541957" w:rsidP="00E12FC0">
      <w:pPr>
        <w:spacing w:after="0" w:line="360" w:lineRule="auto"/>
        <w:ind w:firstLine="851"/>
        <w:jc w:val="both"/>
        <w:rPr>
          <w:rFonts w:ascii="Arial" w:hAnsi="Arial" w:cs="Arial"/>
          <w:sz w:val="24"/>
          <w:szCs w:val="24"/>
        </w:rPr>
      </w:pPr>
      <w:r w:rsidRPr="00541957">
        <w:rPr>
          <w:rFonts w:ascii="Arial" w:hAnsi="Arial" w:cs="Arial"/>
          <w:b/>
          <w:sz w:val="24"/>
          <w:szCs w:val="24"/>
        </w:rPr>
        <w:t xml:space="preserve">ATENTO: </w:t>
      </w:r>
      <w:r w:rsidRPr="00541957">
        <w:rPr>
          <w:rFonts w:ascii="Arial" w:hAnsi="Arial" w:cs="Arial"/>
          <w:sz w:val="24"/>
          <w:szCs w:val="24"/>
        </w:rPr>
        <w:t>a lo dispuesto por el Artículo 211 Literal C) de la Constitución de la República;</w:t>
      </w:r>
    </w:p>
    <w:p w:rsidR="00541957" w:rsidRPr="00541957" w:rsidRDefault="00541957" w:rsidP="00E12FC0">
      <w:pPr>
        <w:spacing w:after="0" w:line="360" w:lineRule="auto"/>
        <w:jc w:val="center"/>
        <w:rPr>
          <w:rFonts w:ascii="Arial" w:hAnsi="Arial" w:cs="Arial"/>
          <w:b/>
          <w:sz w:val="24"/>
          <w:szCs w:val="24"/>
        </w:rPr>
      </w:pPr>
      <w:bookmarkStart w:id="1" w:name="_Toc75256577"/>
      <w:r w:rsidRPr="00541957">
        <w:rPr>
          <w:rFonts w:ascii="Arial" w:hAnsi="Arial" w:cs="Arial"/>
          <w:b/>
          <w:sz w:val="24"/>
          <w:szCs w:val="24"/>
        </w:rPr>
        <w:t>EL TRIBUNAL ACUERDA</w:t>
      </w:r>
      <w:bookmarkEnd w:id="1"/>
    </w:p>
    <w:p w:rsidR="00541957" w:rsidRPr="00E12FC0" w:rsidRDefault="00541957" w:rsidP="00E12FC0">
      <w:pPr>
        <w:pStyle w:val="Prrafodelista"/>
        <w:numPr>
          <w:ilvl w:val="0"/>
          <w:numId w:val="1"/>
        </w:numPr>
        <w:suppressAutoHyphens w:val="0"/>
        <w:spacing w:after="0" w:line="360" w:lineRule="auto"/>
        <w:jc w:val="both"/>
        <w:rPr>
          <w:rFonts w:ascii="Arial" w:hAnsi="Arial" w:cs="Arial"/>
          <w:sz w:val="24"/>
          <w:szCs w:val="24"/>
        </w:rPr>
      </w:pPr>
      <w:r w:rsidRPr="00E12FC0">
        <w:rPr>
          <w:rFonts w:ascii="Arial" w:hAnsi="Arial" w:cs="Arial"/>
          <w:sz w:val="24"/>
          <w:szCs w:val="24"/>
        </w:rPr>
        <w:t>Expedirse en los términos del Info</w:t>
      </w:r>
      <w:r w:rsidR="00E12FC0">
        <w:rPr>
          <w:rFonts w:ascii="Arial" w:hAnsi="Arial" w:cs="Arial"/>
          <w:sz w:val="24"/>
          <w:szCs w:val="24"/>
        </w:rPr>
        <w:t>rme de Auditoría que se adjunta;</w:t>
      </w:r>
    </w:p>
    <w:p w:rsidR="00541957" w:rsidRPr="00E12FC0" w:rsidRDefault="00E12FC0" w:rsidP="00E12FC0">
      <w:pPr>
        <w:pStyle w:val="Prrafodelista"/>
        <w:numPr>
          <w:ilvl w:val="0"/>
          <w:numId w:val="1"/>
        </w:numPr>
        <w:suppressAutoHyphens w:val="0"/>
        <w:spacing w:after="0" w:line="360" w:lineRule="auto"/>
        <w:jc w:val="both"/>
        <w:rPr>
          <w:rFonts w:ascii="Arial" w:hAnsi="Arial" w:cs="Arial"/>
          <w:sz w:val="24"/>
          <w:szCs w:val="24"/>
        </w:rPr>
      </w:pPr>
      <w:r w:rsidRPr="00E12FC0">
        <w:rPr>
          <w:rFonts w:ascii="Arial" w:hAnsi="Arial" w:cs="Arial"/>
          <w:sz w:val="24"/>
          <w:szCs w:val="24"/>
        </w:rPr>
        <w:t>C</w:t>
      </w:r>
      <w:r w:rsidR="00541957" w:rsidRPr="00E12FC0">
        <w:rPr>
          <w:rFonts w:ascii="Arial" w:hAnsi="Arial" w:cs="Arial"/>
          <w:sz w:val="24"/>
          <w:szCs w:val="24"/>
        </w:rPr>
        <w:t xml:space="preserve">omunicar la presente Resolución a la Junta Departamental y a la Intendencia de </w:t>
      </w:r>
      <w:r w:rsidR="00F7643C" w:rsidRPr="00E12FC0">
        <w:rPr>
          <w:rFonts w:ascii="Arial" w:hAnsi="Arial" w:cs="Arial"/>
          <w:sz w:val="24"/>
          <w:szCs w:val="24"/>
        </w:rPr>
        <w:t>Tacuarembó</w:t>
      </w:r>
      <w:r>
        <w:rPr>
          <w:rFonts w:ascii="Arial" w:hAnsi="Arial" w:cs="Arial"/>
          <w:sz w:val="24"/>
          <w:szCs w:val="24"/>
        </w:rPr>
        <w:t>;</w:t>
      </w:r>
    </w:p>
    <w:p w:rsidR="00541957" w:rsidRPr="00541957" w:rsidRDefault="00541957" w:rsidP="00E12FC0">
      <w:pPr>
        <w:numPr>
          <w:ilvl w:val="0"/>
          <w:numId w:val="1"/>
        </w:numPr>
        <w:suppressAutoHyphens w:val="0"/>
        <w:spacing w:after="0" w:line="360" w:lineRule="auto"/>
        <w:ind w:left="0" w:firstLine="0"/>
        <w:jc w:val="both"/>
        <w:rPr>
          <w:rFonts w:ascii="Arial" w:hAnsi="Arial" w:cs="Arial"/>
          <w:sz w:val="24"/>
          <w:szCs w:val="24"/>
        </w:rPr>
      </w:pPr>
      <w:r w:rsidRPr="00541957">
        <w:rPr>
          <w:rFonts w:ascii="Arial" w:hAnsi="Arial" w:cs="Arial"/>
          <w:sz w:val="24"/>
          <w:szCs w:val="24"/>
        </w:rPr>
        <w:t>Dar cuenta a la Asamblea General.</w:t>
      </w:r>
    </w:p>
    <w:p w:rsidR="00541957" w:rsidRPr="00E12FC0" w:rsidRDefault="00541957" w:rsidP="00E12FC0">
      <w:pPr>
        <w:pStyle w:val="Prrafodelista"/>
        <w:numPr>
          <w:ilvl w:val="0"/>
          <w:numId w:val="1"/>
        </w:numPr>
        <w:suppressAutoHyphens w:val="0"/>
        <w:spacing w:after="0" w:line="360" w:lineRule="auto"/>
        <w:jc w:val="both"/>
        <w:rPr>
          <w:rFonts w:ascii="Arial" w:hAnsi="Arial" w:cs="Arial"/>
          <w:sz w:val="24"/>
          <w:szCs w:val="24"/>
        </w:rPr>
      </w:pPr>
      <w:r w:rsidRPr="00E12FC0">
        <w:rPr>
          <w:rFonts w:ascii="Arial" w:hAnsi="Arial" w:cs="Arial"/>
          <w:sz w:val="24"/>
          <w:szCs w:val="24"/>
        </w:rPr>
        <w:t>Devuélvase.</w:t>
      </w:r>
    </w:p>
    <w:p w:rsidR="00541957" w:rsidRDefault="00541957" w:rsidP="00E12FC0">
      <w:pPr>
        <w:spacing w:after="0" w:line="360" w:lineRule="auto"/>
        <w:jc w:val="both"/>
        <w:rPr>
          <w:rFonts w:ascii="Arial" w:hAnsi="Arial" w:cs="Arial"/>
          <w:sz w:val="24"/>
          <w:szCs w:val="24"/>
        </w:rPr>
      </w:pPr>
    </w:p>
    <w:p w:rsidR="00A94486" w:rsidRDefault="00E12FC0" w:rsidP="008B2007">
      <w:pPr>
        <w:spacing w:after="0" w:line="360" w:lineRule="auto"/>
        <w:jc w:val="both"/>
        <w:rPr>
          <w:rFonts w:ascii="Arial" w:hAnsi="Arial" w:cs="Arial"/>
          <w:sz w:val="24"/>
          <w:szCs w:val="24"/>
        </w:rPr>
      </w:pPr>
      <w:proofErr w:type="spellStart"/>
      <w:proofErr w:type="gramStart"/>
      <w:r>
        <w:rPr>
          <w:rFonts w:ascii="Arial" w:hAnsi="Arial" w:cs="Arial"/>
          <w:sz w:val="24"/>
          <w:szCs w:val="24"/>
        </w:rPr>
        <w:t>ag</w:t>
      </w:r>
      <w:proofErr w:type="spellEnd"/>
      <w:proofErr w:type="gramEnd"/>
    </w:p>
    <w:p w:rsidR="0075327E" w:rsidRDefault="0075327E" w:rsidP="008B2007">
      <w:pPr>
        <w:spacing w:after="0" w:line="360" w:lineRule="auto"/>
        <w:jc w:val="both"/>
        <w:rPr>
          <w:rFonts w:ascii="Arial" w:hAnsi="Arial" w:cs="Arial"/>
          <w:sz w:val="24"/>
          <w:szCs w:val="24"/>
        </w:rPr>
      </w:pPr>
    </w:p>
    <w:p w:rsidR="0075327E" w:rsidRDefault="0075327E" w:rsidP="00B80352">
      <w:pPr>
        <w:pStyle w:val="Ttulo1"/>
        <w:jc w:val="center"/>
        <w:rPr>
          <w:sz w:val="24"/>
        </w:rPr>
      </w:pPr>
      <w:bookmarkStart w:id="2" w:name="_Toc270003803"/>
      <w:bookmarkStart w:id="3" w:name="_Toc312054370"/>
      <w:bookmarkStart w:id="4" w:name="_Toc402457992"/>
      <w:bookmarkStart w:id="5" w:name="_Toc312054372"/>
      <w:r>
        <w:rPr>
          <w:sz w:val="24"/>
        </w:rPr>
        <w:lastRenderedPageBreak/>
        <w:t>DICTAMEN</w:t>
      </w:r>
      <w:bookmarkEnd w:id="2"/>
      <w:bookmarkEnd w:id="3"/>
      <w:bookmarkEnd w:id="4"/>
    </w:p>
    <w:p w:rsidR="00B80352" w:rsidRPr="00B80352" w:rsidRDefault="00B80352" w:rsidP="00B80352">
      <w:pPr>
        <w:rPr>
          <w:lang w:val="es-ES" w:eastAsia="es-ES"/>
        </w:rPr>
      </w:pPr>
    </w:p>
    <w:p w:rsidR="0075327E" w:rsidRPr="00B80352" w:rsidRDefault="0075327E" w:rsidP="00B80352">
      <w:pPr>
        <w:spacing w:line="360" w:lineRule="auto"/>
        <w:jc w:val="both"/>
        <w:rPr>
          <w:rFonts w:ascii="Arial" w:hAnsi="Arial" w:cs="Arial"/>
          <w:sz w:val="24"/>
          <w:szCs w:val="24"/>
          <w:lang w:val="es-MX"/>
        </w:rPr>
      </w:pPr>
      <w:r w:rsidRPr="00B80352">
        <w:rPr>
          <w:rFonts w:ascii="Arial" w:hAnsi="Arial" w:cs="Arial"/>
          <w:sz w:val="24"/>
          <w:szCs w:val="24"/>
          <w:lang w:val="es-MX"/>
        </w:rPr>
        <w:t xml:space="preserve">El Tribunal de Cuentas ha examinado la Rendición de Cuentas y el Balance de Ejecución Presupuestal de la Intendencia de Tacuarembó correspondiente al Ejercicio  2015, que  incluye los siguientes estados: </w:t>
      </w:r>
      <w:r w:rsidRPr="00B80352">
        <w:rPr>
          <w:rFonts w:ascii="Arial" w:hAnsi="Arial" w:cs="Arial"/>
          <w:sz w:val="24"/>
          <w:szCs w:val="24"/>
        </w:rPr>
        <w:t>Ejecución Presupuestal con relación a los Créditos y a los Recursos, Resultado del Ejercicio, Resultado Acumulado  y otros estados complementarios</w:t>
      </w:r>
      <w:r w:rsidRPr="00B80352">
        <w:rPr>
          <w:rFonts w:ascii="Arial" w:hAnsi="Arial" w:cs="Arial"/>
          <w:sz w:val="24"/>
          <w:szCs w:val="24"/>
          <w:lang w:val="es-MX"/>
        </w:rPr>
        <w:t>.</w:t>
      </w:r>
    </w:p>
    <w:p w:rsidR="0075327E" w:rsidRPr="00B80352" w:rsidRDefault="0075327E">
      <w:pPr>
        <w:spacing w:line="360" w:lineRule="auto"/>
        <w:jc w:val="both"/>
        <w:rPr>
          <w:rFonts w:ascii="Arial" w:hAnsi="Arial" w:cs="Arial"/>
          <w:bCs/>
          <w:sz w:val="24"/>
          <w:szCs w:val="24"/>
        </w:rPr>
      </w:pPr>
      <w:r w:rsidRPr="00B80352">
        <w:rPr>
          <w:rFonts w:ascii="Arial" w:hAnsi="Arial" w:cs="Arial"/>
          <w:bCs/>
          <w:sz w:val="24"/>
          <w:szCs w:val="24"/>
        </w:rPr>
        <w:t>El Tribunal de Cuentas también ha auditado el cumplimiento por parte de la Inten</w:t>
      </w:r>
      <w:r w:rsidR="00B80352">
        <w:rPr>
          <w:rFonts w:ascii="Arial" w:hAnsi="Arial" w:cs="Arial"/>
          <w:bCs/>
          <w:sz w:val="24"/>
          <w:szCs w:val="24"/>
        </w:rPr>
        <w:t>dencia de la normativa vigente.</w:t>
      </w:r>
    </w:p>
    <w:p w:rsidR="0075327E" w:rsidRPr="00B80352" w:rsidRDefault="0075327E">
      <w:pPr>
        <w:pStyle w:val="Subttulo"/>
        <w:tabs>
          <w:tab w:val="left" w:pos="2949"/>
        </w:tabs>
        <w:rPr>
          <w:rFonts w:ascii="Arial" w:hAnsi="Arial"/>
          <w:bCs/>
          <w:lang w:val="es-UY"/>
        </w:rPr>
      </w:pPr>
    </w:p>
    <w:p w:rsidR="0075327E" w:rsidRDefault="0075327E">
      <w:pPr>
        <w:pStyle w:val="Textoindependiente2"/>
      </w:pPr>
      <w:r>
        <w:t>Responsabilidad de la Intendencia</w:t>
      </w:r>
    </w:p>
    <w:p w:rsidR="0075327E" w:rsidRPr="00B80352" w:rsidRDefault="0075327E" w:rsidP="00B80352">
      <w:pPr>
        <w:spacing w:line="360" w:lineRule="auto"/>
        <w:jc w:val="both"/>
        <w:rPr>
          <w:rFonts w:ascii="Arial" w:hAnsi="Arial" w:cs="Arial"/>
          <w:sz w:val="24"/>
          <w:szCs w:val="24"/>
        </w:rPr>
      </w:pPr>
      <w:r w:rsidRPr="00B80352">
        <w:rPr>
          <w:rFonts w:ascii="Arial" w:hAnsi="Arial" w:cs="Arial"/>
          <w:sz w:val="24"/>
          <w:szCs w:val="24"/>
        </w:rPr>
        <w:t xml:space="preserve">La Intendencia es responsable por la preparación y la razonable presentación de estos estados, de acuerdo con la normativa vigente y con la Resolución de este Tribunal de fecha 28/01/2004. Esta responsabilidad incluye diseñar, implementar y mantener un sistema de control interno adecuado para la preparación y presentación razonable de estados que estén libres de errores significativos, ya sea debido a fraude o error, seleccionar y aplicar </w:t>
      </w:r>
      <w:r w:rsidR="00B80352">
        <w:rPr>
          <w:rFonts w:ascii="Arial" w:hAnsi="Arial" w:cs="Arial"/>
          <w:sz w:val="24"/>
          <w:szCs w:val="24"/>
        </w:rPr>
        <w:t>políticas contables apropiadas.</w:t>
      </w:r>
    </w:p>
    <w:p w:rsidR="0075327E" w:rsidRDefault="0075327E">
      <w:pPr>
        <w:pStyle w:val="Subttulo"/>
        <w:rPr>
          <w:rFonts w:ascii="Arial" w:hAnsi="Arial"/>
          <w:bCs/>
        </w:rPr>
      </w:pPr>
      <w:r>
        <w:rPr>
          <w:rFonts w:ascii="Arial" w:hAnsi="Arial"/>
          <w:bCs/>
        </w:rPr>
        <w:t>Responsabilidad del auditor</w:t>
      </w:r>
    </w:p>
    <w:p w:rsidR="0075327E" w:rsidRDefault="0075327E" w:rsidP="00B80352">
      <w:pPr>
        <w:pStyle w:val="Subttulo"/>
        <w:rPr>
          <w:rFonts w:ascii="Arial" w:hAnsi="Arial"/>
          <w:b w:val="0"/>
        </w:rPr>
      </w:pPr>
      <w:r>
        <w:rPr>
          <w:rFonts w:ascii="Arial" w:hAnsi="Arial" w:cs="Arial"/>
          <w:b w:val="0"/>
        </w:rPr>
        <w:t>La responsabilidad del Tribunal de Cuentas es expresar una opinión sobre dichos estados contables basada en la auditoría realizada</w:t>
      </w:r>
      <w:r w:rsidRPr="00DC0385">
        <w:rPr>
          <w:rFonts w:ascii="Arial" w:hAnsi="Arial" w:cs="Arial"/>
          <w:b w:val="0"/>
          <w:shd w:val="clear" w:color="auto" w:fill="FFFFFF"/>
        </w:rPr>
        <w:t xml:space="preserve">. </w:t>
      </w:r>
      <w:r>
        <w:rPr>
          <w:rFonts w:ascii="Arial" w:hAnsi="Arial"/>
          <w:b w:val="0"/>
          <w:shd w:val="clear" w:color="auto" w:fill="FFFFFF"/>
        </w:rPr>
        <w:t>Esta auditorí</w:t>
      </w:r>
      <w:r w:rsidRPr="00DC0385">
        <w:rPr>
          <w:rFonts w:ascii="Arial" w:hAnsi="Arial"/>
          <w:b w:val="0"/>
          <w:shd w:val="clear" w:color="auto" w:fill="FFFFFF"/>
        </w:rPr>
        <w:t>a fue practicada de acuerdo con los Prin</w:t>
      </w:r>
      <w:r>
        <w:rPr>
          <w:rFonts w:ascii="Arial" w:hAnsi="Arial"/>
          <w:b w:val="0"/>
          <w:shd w:val="clear" w:color="auto" w:fill="FFFFFF"/>
        </w:rPr>
        <w:t>cipios Fundamentales de Auditorí</w:t>
      </w:r>
      <w:r w:rsidRPr="00DC0385">
        <w:rPr>
          <w:rFonts w:ascii="Arial" w:hAnsi="Arial"/>
          <w:b w:val="0"/>
          <w:shd w:val="clear" w:color="auto" w:fill="FFFFFF"/>
        </w:rPr>
        <w:t>a (ISSAI 100</w:t>
      </w:r>
      <w:r>
        <w:rPr>
          <w:rFonts w:ascii="Arial" w:hAnsi="Arial"/>
          <w:b w:val="0"/>
          <w:shd w:val="clear" w:color="auto" w:fill="FFFFFF"/>
        </w:rPr>
        <w:t xml:space="preserve"> y</w:t>
      </w:r>
      <w:r w:rsidRPr="00DC0385">
        <w:rPr>
          <w:rFonts w:ascii="Arial" w:hAnsi="Arial"/>
          <w:b w:val="0"/>
          <w:shd w:val="clear" w:color="auto" w:fill="FFFFFF"/>
        </w:rPr>
        <w:t xml:space="preserve"> 200</w:t>
      </w:r>
      <w:r>
        <w:rPr>
          <w:rFonts w:ascii="Arial" w:hAnsi="Arial"/>
          <w:b w:val="0"/>
          <w:shd w:val="clear" w:color="auto" w:fill="FFFFFF"/>
        </w:rPr>
        <w:t>) y las Directrices de Auditorí</w:t>
      </w:r>
      <w:r w:rsidRPr="00DC0385">
        <w:rPr>
          <w:rFonts w:ascii="Arial" w:hAnsi="Arial"/>
          <w:b w:val="0"/>
          <w:shd w:val="clear" w:color="auto" w:fill="FFFFFF"/>
        </w:rPr>
        <w:t xml:space="preserve">a Financiera (ISSAI 1000 a </w:t>
      </w:r>
      <w:r>
        <w:rPr>
          <w:rFonts w:ascii="Arial" w:hAnsi="Arial"/>
          <w:b w:val="0"/>
          <w:shd w:val="clear" w:color="auto" w:fill="FFFFFF"/>
        </w:rPr>
        <w:t>1810</w:t>
      </w:r>
      <w:r w:rsidRPr="00DC0385">
        <w:rPr>
          <w:rFonts w:ascii="Arial" w:hAnsi="Arial"/>
          <w:b w:val="0"/>
          <w:shd w:val="clear" w:color="auto" w:fill="FFFFFF"/>
        </w:rPr>
        <w:t>) de la Organización Internacional de Entidades Fiscalizadoras Superiores (INTOSAI).</w:t>
      </w:r>
      <w:r>
        <w:rPr>
          <w:rFonts w:ascii="Arial" w:hAnsi="Arial"/>
          <w:b w:val="0"/>
        </w:rPr>
        <w:t xml:space="preserve"> Estas normas requieren que se cumpla con requisitos éticos, se planifique y se realice la auditoría para obtener seguridad razonable acerca de si los estados contables están li</w:t>
      </w:r>
      <w:r w:rsidR="0008578D">
        <w:rPr>
          <w:rFonts w:ascii="Arial" w:hAnsi="Arial"/>
          <w:b w:val="0"/>
        </w:rPr>
        <w:t>bres de errores significativos.</w:t>
      </w:r>
    </w:p>
    <w:p w:rsidR="0075327E" w:rsidRDefault="0075327E" w:rsidP="00B80352">
      <w:pPr>
        <w:pStyle w:val="Subttulo"/>
        <w:rPr>
          <w:rFonts w:ascii="Arial" w:hAnsi="Arial" w:cs="Arial"/>
          <w:b w:val="0"/>
        </w:rPr>
      </w:pPr>
      <w:r>
        <w:rPr>
          <w:rFonts w:ascii="Arial" w:hAnsi="Arial"/>
          <w:b w:val="0"/>
        </w:rPr>
        <w:lastRenderedPageBreak/>
        <w:t>Una auditoría implica realizar procedimientos para obtener evidencia acerca de los montos contables.</w:t>
      </w:r>
      <w:r>
        <w:rPr>
          <w:rFonts w:ascii="Arial" w:hAnsi="Arial" w:cs="Arial"/>
          <w:b w:val="0"/>
        </w:rPr>
        <w:t xml:space="preserve"> Los procedimientos seleccionados dependen del juicio profesional del Auditor, incluyendo la evaluación de los riesgos de existencia de errores significativos en los estados, ya sea debido a fraude o error. Al efectuar la evaluación de riesgo, el Auditor considera los aspectos de control interno de la entidad relevantes para la preparación y presentación razonable de los estados,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presentación general de los estados financieros.</w:t>
      </w:r>
    </w:p>
    <w:p w:rsidR="0075327E" w:rsidRPr="00B80352" w:rsidRDefault="0075327E" w:rsidP="00B80352">
      <w:pPr>
        <w:spacing w:line="360" w:lineRule="auto"/>
        <w:rPr>
          <w:rFonts w:ascii="Arial" w:hAnsi="Arial" w:cs="Arial"/>
          <w:sz w:val="24"/>
          <w:szCs w:val="24"/>
        </w:rPr>
      </w:pPr>
      <w:r w:rsidRPr="00B80352">
        <w:rPr>
          <w:rFonts w:ascii="Arial" w:hAnsi="Arial" w:cs="Arial"/>
          <w:sz w:val="24"/>
          <w:szCs w:val="24"/>
        </w:rPr>
        <w:t>Se considera que la evidencia de auditoría obtenida brinda una base suficiente y apropiada para sustentar la opinión.</w:t>
      </w:r>
    </w:p>
    <w:p w:rsidR="0075327E" w:rsidRPr="004064BA" w:rsidRDefault="0075327E">
      <w:pPr>
        <w:pStyle w:val="Textoindependiente"/>
        <w:rPr>
          <w:b/>
        </w:rPr>
      </w:pPr>
      <w:r w:rsidRPr="004064BA">
        <w:rPr>
          <w:b/>
        </w:rPr>
        <w:t>Opinión</w:t>
      </w:r>
    </w:p>
    <w:p w:rsidR="0075327E" w:rsidRPr="008B54DB" w:rsidRDefault="0075327E" w:rsidP="00B80352">
      <w:pPr>
        <w:pStyle w:val="Textoindependiente"/>
        <w:widowControl w:val="0"/>
      </w:pPr>
      <w:r w:rsidRPr="008B54DB">
        <w:t xml:space="preserve">En opinión del Tribunal de Cuentas, </w:t>
      </w:r>
      <w:r>
        <w:t>los</w:t>
      </w:r>
      <w:r w:rsidRPr="008B54DB">
        <w:t xml:space="preserve"> estado</w:t>
      </w:r>
      <w:r>
        <w:t>s</w:t>
      </w:r>
      <w:r w:rsidRPr="008B54DB">
        <w:t xml:space="preserve"> de </w:t>
      </w:r>
      <w:r w:rsidRPr="00FF0907">
        <w:t>Ejecución Presupuestal con relación a los Créditos y a los Recursos, Resultado del Ejercicio</w:t>
      </w:r>
      <w:r>
        <w:t xml:space="preserve">, y el </w:t>
      </w:r>
      <w:r w:rsidRPr="00FF0907">
        <w:t xml:space="preserve">Resultado </w:t>
      </w:r>
      <w:r>
        <w:t>A</w:t>
      </w:r>
      <w:r w:rsidRPr="00FF0907">
        <w:t>cumulado</w:t>
      </w:r>
      <w:r w:rsidRPr="008B54DB">
        <w:t xml:space="preserve"> presenta</w:t>
      </w:r>
      <w:r>
        <w:t>n</w:t>
      </w:r>
      <w:r w:rsidRPr="008B54DB">
        <w:t xml:space="preserve"> razonablemente, en todos sus aspectos importantes, la ejecución de los </w:t>
      </w:r>
      <w:r>
        <w:t xml:space="preserve">recursos y de los </w:t>
      </w:r>
      <w:r w:rsidRPr="008B54DB">
        <w:t>créditos</w:t>
      </w:r>
      <w:r>
        <w:t xml:space="preserve"> presupuestales, el resultado del Ejercicio y el resultado acumulado</w:t>
      </w:r>
      <w:r w:rsidRPr="008B54DB">
        <w:t xml:space="preserve"> </w:t>
      </w:r>
      <w:r>
        <w:t>al 31/12/2015, de</w:t>
      </w:r>
      <w:r w:rsidRPr="008B54DB">
        <w:t xml:space="preserve"> acuerdo con las normas establecidas en el TOCAF y la Resolución de este Tribunal de fecha 28/01/</w:t>
      </w:r>
      <w:r>
        <w:t>20</w:t>
      </w:r>
      <w:r w:rsidRPr="008B54DB">
        <w:t>04.</w:t>
      </w:r>
    </w:p>
    <w:p w:rsidR="0075327E" w:rsidRPr="00B74A8A" w:rsidRDefault="0075327E">
      <w:pPr>
        <w:pStyle w:val="Textoindependiente"/>
        <w:rPr>
          <w:b/>
          <w:color w:val="FF0000"/>
        </w:rPr>
      </w:pPr>
    </w:p>
    <w:p w:rsidR="0075327E" w:rsidRPr="00B80352" w:rsidRDefault="0075327E">
      <w:pPr>
        <w:spacing w:line="360" w:lineRule="auto"/>
        <w:jc w:val="both"/>
        <w:rPr>
          <w:rFonts w:ascii="Arial" w:hAnsi="Arial" w:cs="Arial"/>
          <w:sz w:val="24"/>
          <w:szCs w:val="24"/>
        </w:rPr>
      </w:pPr>
      <w:r w:rsidRPr="00B80352">
        <w:rPr>
          <w:rFonts w:ascii="Arial" w:hAnsi="Arial" w:cs="Arial"/>
          <w:sz w:val="24"/>
          <w:szCs w:val="24"/>
        </w:rPr>
        <w:t>Con relación al cumplimiento de la normativa vigente, en el curso de la auditoría se ha constatado que:</w:t>
      </w:r>
    </w:p>
    <w:p w:rsidR="0075327E" w:rsidRPr="00B80352" w:rsidRDefault="0075327E" w:rsidP="00B80352">
      <w:pPr>
        <w:spacing w:line="360" w:lineRule="auto"/>
        <w:jc w:val="both"/>
        <w:rPr>
          <w:rFonts w:ascii="Arial" w:hAnsi="Arial" w:cs="Arial"/>
          <w:sz w:val="24"/>
          <w:szCs w:val="24"/>
        </w:rPr>
      </w:pPr>
      <w:r w:rsidRPr="00B80352">
        <w:rPr>
          <w:rFonts w:ascii="Arial" w:hAnsi="Arial" w:cs="Arial"/>
          <w:b/>
          <w:bCs/>
          <w:sz w:val="24"/>
          <w:szCs w:val="24"/>
        </w:rPr>
        <w:t>1)</w:t>
      </w:r>
      <w:r w:rsidRPr="00B80352">
        <w:rPr>
          <w:rFonts w:ascii="Arial" w:hAnsi="Arial" w:cs="Arial"/>
          <w:sz w:val="24"/>
          <w:szCs w:val="24"/>
        </w:rPr>
        <w:t xml:space="preserve"> </w:t>
      </w:r>
      <w:r w:rsidRPr="00B80352">
        <w:rPr>
          <w:rFonts w:ascii="Arial" w:hAnsi="Arial" w:cs="Arial"/>
          <w:b/>
          <w:bCs/>
          <w:sz w:val="24"/>
          <w:szCs w:val="24"/>
        </w:rPr>
        <w:t>Artículo 297 numeral 1) de la Constitución de la República.</w:t>
      </w:r>
      <w:r w:rsidRPr="00B80352">
        <w:rPr>
          <w:rFonts w:ascii="Arial" w:hAnsi="Arial" w:cs="Arial"/>
          <w:sz w:val="24"/>
          <w:szCs w:val="24"/>
        </w:rPr>
        <w:t xml:space="preserve"> Las bonificaciones otorgadas a contribuyentes buenos pagadores y por pago contado en el tributo de Contribución Inmobiliaria Rural, no se ajustaron a la normativa vigente, por ser esta facultad competencia del Poder Legislativo.</w:t>
      </w:r>
    </w:p>
    <w:p w:rsidR="0075327E" w:rsidRPr="005363EB" w:rsidRDefault="0075327E" w:rsidP="00B80352">
      <w:pPr>
        <w:spacing w:line="360" w:lineRule="auto"/>
        <w:jc w:val="both"/>
        <w:rPr>
          <w:rFonts w:ascii="Arial" w:hAnsi="Arial" w:cs="Arial"/>
          <w:sz w:val="24"/>
          <w:szCs w:val="24"/>
        </w:rPr>
      </w:pPr>
      <w:r w:rsidRPr="005363EB">
        <w:rPr>
          <w:rFonts w:ascii="Arial" w:hAnsi="Arial" w:cs="Arial"/>
          <w:b/>
          <w:sz w:val="24"/>
          <w:szCs w:val="24"/>
        </w:rPr>
        <w:t>2) Artículo 211 Literal B) y Ordenanza 72 del Tribunal de Cuentas</w:t>
      </w:r>
      <w:r w:rsidRPr="005363EB">
        <w:rPr>
          <w:rFonts w:ascii="Arial" w:hAnsi="Arial" w:cs="Arial"/>
          <w:sz w:val="24"/>
          <w:szCs w:val="24"/>
        </w:rPr>
        <w:t>. Los pagos de las remuneraciones mensuales realizados a través del BROU son sometidos, en algunos casos, a la intervención del Contador Delegado del Tribunal de Cuentas con posterioridad a la fecha que el cheque ingresa al Banco.</w:t>
      </w:r>
    </w:p>
    <w:p w:rsidR="0075327E" w:rsidRPr="005363EB" w:rsidRDefault="0075327E" w:rsidP="00B80352">
      <w:pPr>
        <w:spacing w:line="360" w:lineRule="auto"/>
        <w:jc w:val="both"/>
        <w:rPr>
          <w:rFonts w:ascii="Arial" w:hAnsi="Arial" w:cs="Arial"/>
          <w:sz w:val="24"/>
          <w:szCs w:val="24"/>
        </w:rPr>
      </w:pPr>
      <w:r w:rsidRPr="005363EB">
        <w:rPr>
          <w:rFonts w:ascii="Arial" w:hAnsi="Arial" w:cs="Arial"/>
          <w:b/>
          <w:sz w:val="24"/>
          <w:szCs w:val="24"/>
        </w:rPr>
        <w:t>3) Artículo 14 del TOCAF.</w:t>
      </w:r>
      <w:r w:rsidRPr="005363EB">
        <w:rPr>
          <w:rFonts w:ascii="Arial" w:hAnsi="Arial" w:cs="Arial"/>
          <w:sz w:val="24"/>
          <w:szCs w:val="24"/>
        </w:rPr>
        <w:t xml:space="preserve"> Se han constatado arrendamientos de inmuebles que fueron autorizados por resolución del Intendente con fecha posterior </w:t>
      </w:r>
      <w:r w:rsidR="005363EB">
        <w:rPr>
          <w:rFonts w:ascii="Arial" w:hAnsi="Arial" w:cs="Arial"/>
          <w:sz w:val="24"/>
          <w:szCs w:val="24"/>
        </w:rPr>
        <w:t>a la vigencia de los contratos.</w:t>
      </w:r>
    </w:p>
    <w:p w:rsidR="0075327E" w:rsidRPr="005363EB" w:rsidRDefault="0075327E" w:rsidP="00B80352">
      <w:pPr>
        <w:spacing w:line="360" w:lineRule="auto"/>
        <w:jc w:val="both"/>
        <w:rPr>
          <w:rFonts w:ascii="Arial" w:hAnsi="Arial" w:cs="Arial"/>
          <w:sz w:val="24"/>
          <w:szCs w:val="24"/>
        </w:rPr>
      </w:pPr>
      <w:r w:rsidRPr="005363EB">
        <w:rPr>
          <w:rFonts w:ascii="Arial" w:hAnsi="Arial" w:cs="Arial"/>
          <w:b/>
          <w:bCs/>
          <w:sz w:val="24"/>
          <w:szCs w:val="24"/>
        </w:rPr>
        <w:t xml:space="preserve">4) Artículos 33 y </w:t>
      </w:r>
      <w:r w:rsidRPr="005363EB">
        <w:rPr>
          <w:rFonts w:ascii="Arial" w:hAnsi="Arial" w:cs="Arial"/>
          <w:b/>
          <w:sz w:val="24"/>
          <w:szCs w:val="24"/>
        </w:rPr>
        <w:t>43 del TOCAF.</w:t>
      </w:r>
      <w:r w:rsidRPr="005363EB">
        <w:rPr>
          <w:rFonts w:ascii="Arial" w:hAnsi="Arial" w:cs="Arial"/>
          <w:sz w:val="24"/>
          <w:szCs w:val="24"/>
        </w:rPr>
        <w:t xml:space="preserve"> No se ha dado cumplimiento en todos los casos a estas normas, ya que no se ha facilitado la presentación del mayor número posible de oferentes al efectuar adquisiciones de artículos de un mismo ramo en forma fraccionada. Asimismo, no se tuvieron en cuenta las necesidades previstas para todo el Ejercicio, omitiéndose la aplicación de los procedimientos de contratación que hubieran cor</w:t>
      </w:r>
      <w:r w:rsidR="005363EB">
        <w:rPr>
          <w:rFonts w:ascii="Arial" w:hAnsi="Arial" w:cs="Arial"/>
          <w:sz w:val="24"/>
          <w:szCs w:val="24"/>
        </w:rPr>
        <w:t>respondido de acuerdo al monto.</w:t>
      </w:r>
    </w:p>
    <w:p w:rsidR="0075327E" w:rsidRPr="005363EB" w:rsidRDefault="0075327E" w:rsidP="00B80352">
      <w:pPr>
        <w:spacing w:line="360" w:lineRule="auto"/>
        <w:jc w:val="both"/>
        <w:rPr>
          <w:rFonts w:ascii="Arial" w:hAnsi="Arial" w:cs="Arial"/>
          <w:sz w:val="24"/>
          <w:szCs w:val="24"/>
        </w:rPr>
      </w:pPr>
      <w:r w:rsidRPr="005363EB">
        <w:rPr>
          <w:rFonts w:ascii="Arial" w:hAnsi="Arial" w:cs="Arial"/>
          <w:b/>
          <w:bCs/>
          <w:sz w:val="24"/>
          <w:szCs w:val="24"/>
        </w:rPr>
        <w:t xml:space="preserve">5) Artículos </w:t>
      </w:r>
      <w:r w:rsidRPr="005363EB">
        <w:rPr>
          <w:rFonts w:ascii="Arial" w:hAnsi="Arial" w:cs="Arial"/>
          <w:b/>
          <w:sz w:val="24"/>
          <w:szCs w:val="24"/>
        </w:rPr>
        <w:t>84 y 97 del TOCAF</w:t>
      </w:r>
      <w:r w:rsidRPr="005363EB">
        <w:rPr>
          <w:rFonts w:ascii="Arial" w:hAnsi="Arial" w:cs="Arial"/>
          <w:b/>
          <w:bCs/>
          <w:sz w:val="24"/>
          <w:szCs w:val="24"/>
        </w:rPr>
        <w:t>.</w:t>
      </w:r>
      <w:r w:rsidRPr="005363EB">
        <w:rPr>
          <w:rFonts w:ascii="Arial" w:hAnsi="Arial" w:cs="Arial"/>
          <w:sz w:val="24"/>
          <w:szCs w:val="24"/>
        </w:rPr>
        <w:t xml:space="preserve"> La Intendencia no tiene un inventario actualizado ni valuado en su totalidad, de sus bienes muebles e inmuebles. Asimismo, el sistema contable no registra las existencias y los movimientos de los mismos.</w:t>
      </w:r>
    </w:p>
    <w:p w:rsidR="0075327E" w:rsidRPr="005363EB" w:rsidRDefault="0075327E" w:rsidP="00B80352">
      <w:pPr>
        <w:spacing w:line="360" w:lineRule="auto"/>
        <w:jc w:val="both"/>
        <w:rPr>
          <w:rFonts w:ascii="Arial" w:hAnsi="Arial" w:cs="Arial"/>
          <w:sz w:val="24"/>
          <w:szCs w:val="24"/>
        </w:rPr>
      </w:pPr>
      <w:r w:rsidRPr="005363EB">
        <w:rPr>
          <w:rFonts w:ascii="Arial" w:hAnsi="Arial" w:cs="Arial"/>
          <w:b/>
          <w:bCs/>
          <w:sz w:val="24"/>
          <w:szCs w:val="24"/>
        </w:rPr>
        <w:t xml:space="preserve">6) Artículo </w:t>
      </w:r>
      <w:r w:rsidRPr="005363EB">
        <w:rPr>
          <w:rFonts w:ascii="Arial" w:hAnsi="Arial" w:cs="Arial"/>
          <w:b/>
          <w:sz w:val="24"/>
          <w:szCs w:val="24"/>
        </w:rPr>
        <w:t>94 del TOCAF</w:t>
      </w:r>
      <w:r w:rsidRPr="005363EB">
        <w:rPr>
          <w:rFonts w:ascii="Arial" w:hAnsi="Arial" w:cs="Arial"/>
          <w:b/>
          <w:bCs/>
          <w:sz w:val="24"/>
          <w:szCs w:val="24"/>
        </w:rPr>
        <w:t xml:space="preserve"> y Ordenanza 81 del Tribunal de Cuentas.</w:t>
      </w:r>
      <w:r w:rsidRPr="005363EB">
        <w:rPr>
          <w:rFonts w:ascii="Arial" w:hAnsi="Arial" w:cs="Arial"/>
          <w:sz w:val="24"/>
          <w:szCs w:val="24"/>
        </w:rPr>
        <w:t xml:space="preserve"> La Intendencia no ha implementado un sistema contable que permita cumplir con lo establecido por dichas normas.</w:t>
      </w:r>
    </w:p>
    <w:p w:rsidR="0075327E" w:rsidRPr="005363EB" w:rsidRDefault="0075327E" w:rsidP="00B80352">
      <w:pPr>
        <w:spacing w:line="360" w:lineRule="auto"/>
        <w:jc w:val="both"/>
        <w:rPr>
          <w:rFonts w:ascii="Arial" w:hAnsi="Arial" w:cs="Arial"/>
          <w:sz w:val="24"/>
          <w:szCs w:val="24"/>
        </w:rPr>
      </w:pPr>
      <w:r w:rsidRPr="005363EB">
        <w:rPr>
          <w:rFonts w:ascii="Arial" w:hAnsi="Arial" w:cs="Arial"/>
          <w:b/>
          <w:bCs/>
          <w:sz w:val="24"/>
          <w:szCs w:val="24"/>
        </w:rPr>
        <w:t xml:space="preserve">7) Artículo </w:t>
      </w:r>
      <w:r w:rsidRPr="005363EB">
        <w:rPr>
          <w:rFonts w:ascii="Arial" w:hAnsi="Arial" w:cs="Arial"/>
          <w:b/>
          <w:sz w:val="24"/>
          <w:szCs w:val="24"/>
        </w:rPr>
        <w:t>128 del TOCAF</w:t>
      </w:r>
      <w:r w:rsidRPr="005363EB">
        <w:rPr>
          <w:rFonts w:ascii="Arial" w:hAnsi="Arial" w:cs="Arial"/>
          <w:b/>
          <w:bCs/>
          <w:sz w:val="24"/>
          <w:szCs w:val="24"/>
        </w:rPr>
        <w:t>.</w:t>
      </w:r>
      <w:r w:rsidRPr="005363EB">
        <w:rPr>
          <w:rFonts w:ascii="Arial" w:hAnsi="Arial" w:cs="Arial"/>
          <w:sz w:val="24"/>
          <w:szCs w:val="24"/>
        </w:rPr>
        <w:t xml:space="preserve"> El estado demostrativo del grado de cumplimiento de los objetivos y metas programadas incluye información parcial sobre las metas previstas y alcanzadas y de su costo resultante.</w:t>
      </w:r>
    </w:p>
    <w:p w:rsidR="0075327E" w:rsidRPr="005363EB" w:rsidRDefault="0075327E" w:rsidP="00B80352">
      <w:pPr>
        <w:spacing w:line="360" w:lineRule="auto"/>
        <w:jc w:val="both"/>
        <w:rPr>
          <w:rFonts w:ascii="Arial" w:hAnsi="Arial" w:cs="Arial"/>
          <w:sz w:val="24"/>
          <w:szCs w:val="24"/>
        </w:rPr>
      </w:pPr>
      <w:r w:rsidRPr="005363EB">
        <w:rPr>
          <w:rFonts w:ascii="Arial" w:hAnsi="Arial" w:cs="Arial"/>
          <w:b/>
          <w:bCs/>
          <w:sz w:val="24"/>
          <w:szCs w:val="24"/>
        </w:rPr>
        <w:t>8) Convenio No. 30 de la O.I.T.</w:t>
      </w:r>
      <w:r w:rsidRPr="005363EB">
        <w:rPr>
          <w:rFonts w:ascii="Arial" w:hAnsi="Arial" w:cs="Arial"/>
          <w:sz w:val="24"/>
          <w:szCs w:val="24"/>
        </w:rPr>
        <w:t xml:space="preserve"> Las liquidaciones de horas extras realizadas en el Ejercicio  2015, superaron en algunos casos los topes de dicho Convenio.</w:t>
      </w:r>
    </w:p>
    <w:p w:rsidR="0075327E" w:rsidRPr="005363EB" w:rsidRDefault="0075327E" w:rsidP="00B80352">
      <w:pPr>
        <w:spacing w:line="360" w:lineRule="auto"/>
        <w:jc w:val="both"/>
        <w:rPr>
          <w:rFonts w:ascii="Arial" w:hAnsi="Arial" w:cs="Arial"/>
          <w:sz w:val="24"/>
          <w:szCs w:val="24"/>
        </w:rPr>
      </w:pPr>
      <w:r w:rsidRPr="005363EB">
        <w:rPr>
          <w:rFonts w:ascii="Arial" w:hAnsi="Arial" w:cs="Arial"/>
          <w:b/>
          <w:bCs/>
          <w:sz w:val="24"/>
          <w:szCs w:val="24"/>
        </w:rPr>
        <w:t>9) Cláusula 4º de Convenios suscritos con deudores.</w:t>
      </w:r>
      <w:r w:rsidRPr="005363EB">
        <w:rPr>
          <w:rFonts w:ascii="Arial" w:hAnsi="Arial" w:cs="Arial"/>
          <w:sz w:val="24"/>
          <w:szCs w:val="24"/>
        </w:rPr>
        <w:t xml:space="preserve"> La Intendencia no cumple con los términos de caducidad dispuestos en las diferentes modalidades  de convenios que se realizan con sus deudores. La anulación de los Convenios por incumplimiento en los pagos y el cómputo de las cuotas abonadas como pagos a cuenta de los tributos originalmente adeudados, no se efectiviza en forma regular ni sistemática.</w:t>
      </w:r>
    </w:p>
    <w:p w:rsidR="0075327E" w:rsidRPr="005363EB" w:rsidRDefault="0075327E" w:rsidP="00B80352">
      <w:pPr>
        <w:spacing w:line="360" w:lineRule="auto"/>
        <w:jc w:val="both"/>
        <w:rPr>
          <w:rFonts w:ascii="Arial" w:hAnsi="Arial" w:cs="Arial"/>
          <w:sz w:val="24"/>
          <w:szCs w:val="24"/>
        </w:rPr>
      </w:pPr>
      <w:r w:rsidRPr="005363EB">
        <w:rPr>
          <w:rFonts w:ascii="Arial" w:hAnsi="Arial" w:cs="Arial"/>
          <w:b/>
          <w:bCs/>
          <w:sz w:val="24"/>
          <w:szCs w:val="24"/>
        </w:rPr>
        <w:t>10) Resolución de fecha 28/01/2004 del Tribunal de Cuentas</w:t>
      </w:r>
    </w:p>
    <w:p w:rsidR="0075327E" w:rsidRPr="005363EB" w:rsidRDefault="0075327E" w:rsidP="00B80352">
      <w:pPr>
        <w:spacing w:line="360" w:lineRule="auto"/>
        <w:jc w:val="both"/>
        <w:rPr>
          <w:rFonts w:ascii="Arial" w:hAnsi="Arial" w:cs="Arial"/>
          <w:bCs/>
          <w:sz w:val="24"/>
          <w:szCs w:val="24"/>
        </w:rPr>
      </w:pPr>
      <w:r w:rsidRPr="005363EB">
        <w:rPr>
          <w:rFonts w:ascii="Arial" w:hAnsi="Arial" w:cs="Arial"/>
          <w:bCs/>
          <w:sz w:val="24"/>
          <w:szCs w:val="24"/>
        </w:rPr>
        <w:t>El Estado de Ejecución con relación a los Recursos, el Estado de Evolución de Obligaciones Presupuestales Impagas y el Estado de Indisponibles no se presentan de acuerdo con el formato exigido por esta Resolución.</w:t>
      </w:r>
    </w:p>
    <w:p w:rsidR="0075327E" w:rsidRPr="005363EB" w:rsidRDefault="0075327E" w:rsidP="00B80352">
      <w:pPr>
        <w:spacing w:line="360" w:lineRule="auto"/>
        <w:jc w:val="both"/>
        <w:rPr>
          <w:rFonts w:ascii="Arial" w:hAnsi="Arial" w:cs="Arial"/>
          <w:snapToGrid w:val="0"/>
          <w:sz w:val="24"/>
          <w:szCs w:val="24"/>
        </w:rPr>
      </w:pPr>
      <w:r w:rsidRPr="005363EB">
        <w:rPr>
          <w:rFonts w:ascii="Arial" w:hAnsi="Arial" w:cs="Arial"/>
          <w:sz w:val="24"/>
          <w:szCs w:val="24"/>
        </w:rPr>
        <w:t>Asimismo, durante el Ejercicio se observaron gastos</w:t>
      </w:r>
      <w:r w:rsidRPr="005363EB">
        <w:rPr>
          <w:rFonts w:ascii="Arial" w:hAnsi="Arial" w:cs="Arial"/>
          <w:b/>
          <w:sz w:val="24"/>
          <w:szCs w:val="24"/>
        </w:rPr>
        <w:t xml:space="preserve"> </w:t>
      </w:r>
      <w:r w:rsidRPr="005363EB">
        <w:rPr>
          <w:rFonts w:ascii="Arial" w:hAnsi="Arial" w:cs="Arial"/>
          <w:snapToGrid w:val="0"/>
          <w:sz w:val="24"/>
          <w:szCs w:val="24"/>
        </w:rPr>
        <w:t>por el Contador Delegado, los que fueron reiterados por el Ordenador y puestos en conocimiento de la Junta Departamental oportunamente, por incumplimiento de los Artículos 15 y 33 del TOCAF.</w:t>
      </w:r>
    </w:p>
    <w:p w:rsidR="0075327E" w:rsidRDefault="0075327E" w:rsidP="00B80352">
      <w:pPr>
        <w:pStyle w:val="Textoindependiente"/>
        <w:jc w:val="right"/>
      </w:pPr>
      <w:r>
        <w:t>Monte</w:t>
      </w:r>
      <w:r w:rsidR="005363EB">
        <w:t>video, 23 de noviembre de 2016</w:t>
      </w:r>
    </w:p>
    <w:p w:rsidR="0075327E" w:rsidRPr="008C5818" w:rsidRDefault="0075327E" w:rsidP="00B80352">
      <w:pPr>
        <w:pStyle w:val="Textoindependiente"/>
        <w:rPr>
          <w:color w:val="FF0000"/>
          <w:lang w:val="es-ES_tradnl"/>
        </w:rPr>
      </w:pPr>
      <w:proofErr w:type="spellStart"/>
      <w:proofErr w:type="gramStart"/>
      <w:r>
        <w:t>ag</w:t>
      </w:r>
      <w:proofErr w:type="spellEnd"/>
      <w:proofErr w:type="gramEnd"/>
    </w:p>
    <w:bookmarkEnd w:id="5"/>
    <w:p w:rsidR="0075327E" w:rsidRDefault="0075327E" w:rsidP="00B80352">
      <w:pPr>
        <w:rPr>
          <w:color w:val="FF0000"/>
          <w:lang w:val="es-ES_tradnl"/>
        </w:rPr>
      </w:pPr>
    </w:p>
    <w:p w:rsidR="007162B9" w:rsidRDefault="007162B9" w:rsidP="00B80352">
      <w:pPr>
        <w:rPr>
          <w:color w:val="FF0000"/>
          <w:lang w:val="es-ES_tradnl"/>
        </w:rPr>
      </w:pPr>
    </w:p>
    <w:p w:rsidR="007162B9" w:rsidRDefault="007162B9" w:rsidP="00B80352">
      <w:pPr>
        <w:rPr>
          <w:color w:val="FF0000"/>
          <w:lang w:val="es-ES_tradnl"/>
        </w:rPr>
      </w:pPr>
    </w:p>
    <w:p w:rsidR="007162B9" w:rsidRDefault="007162B9" w:rsidP="00B80352">
      <w:pPr>
        <w:rPr>
          <w:color w:val="FF0000"/>
          <w:lang w:val="es-ES_tradnl"/>
        </w:rPr>
      </w:pPr>
    </w:p>
    <w:p w:rsidR="007162B9" w:rsidRDefault="007162B9" w:rsidP="00B80352">
      <w:pPr>
        <w:rPr>
          <w:color w:val="FF0000"/>
          <w:lang w:val="es-ES_tradnl"/>
        </w:rPr>
      </w:pPr>
    </w:p>
    <w:p w:rsidR="007162B9" w:rsidRDefault="007162B9" w:rsidP="00B80352">
      <w:pPr>
        <w:rPr>
          <w:color w:val="FF0000"/>
          <w:lang w:val="es-ES_tradnl"/>
        </w:rPr>
      </w:pPr>
    </w:p>
    <w:p w:rsidR="007162B9" w:rsidRPr="008C5818" w:rsidRDefault="007162B9" w:rsidP="00B80352">
      <w:pPr>
        <w:rPr>
          <w:color w:val="FF0000"/>
          <w:lang w:val="es-ES_tradnl"/>
        </w:rPr>
      </w:pPr>
    </w:p>
    <w:p w:rsidR="0075327E" w:rsidRPr="005363EB" w:rsidRDefault="0075327E" w:rsidP="00B80352">
      <w:pPr>
        <w:spacing w:line="360" w:lineRule="auto"/>
        <w:jc w:val="center"/>
        <w:rPr>
          <w:rFonts w:ascii="Arial" w:hAnsi="Arial" w:cs="Arial"/>
          <w:b/>
          <w:sz w:val="24"/>
          <w:szCs w:val="24"/>
        </w:rPr>
      </w:pPr>
      <w:bookmarkStart w:id="6" w:name="_Toc402457994"/>
      <w:r w:rsidRPr="005363EB">
        <w:rPr>
          <w:rFonts w:ascii="Arial" w:hAnsi="Arial" w:cs="Arial"/>
          <w:b/>
          <w:sz w:val="24"/>
          <w:szCs w:val="24"/>
        </w:rPr>
        <w:t>INFORME A LA ADMINISTRACION</w:t>
      </w:r>
      <w:bookmarkEnd w:id="6"/>
    </w:p>
    <w:p w:rsidR="0075327E" w:rsidRPr="005363EB" w:rsidRDefault="0075327E" w:rsidP="00B80352">
      <w:pPr>
        <w:spacing w:line="360" w:lineRule="auto"/>
        <w:jc w:val="both"/>
        <w:rPr>
          <w:rFonts w:ascii="Arial" w:hAnsi="Arial" w:cs="Arial"/>
          <w:sz w:val="24"/>
          <w:szCs w:val="24"/>
        </w:rPr>
      </w:pPr>
      <w:r w:rsidRPr="005363EB">
        <w:rPr>
          <w:rFonts w:ascii="Arial" w:hAnsi="Arial" w:cs="Arial"/>
          <w:sz w:val="24"/>
          <w:szCs w:val="24"/>
        </w:rPr>
        <w:t>El Tribunal de Cuentas ha examinado la Rendición de Cuentas y Balance de Ejecución Presupuestal correspondiente al Ejercicio 2015 y ha emitido su correspondiente Dictamen.</w:t>
      </w:r>
    </w:p>
    <w:p w:rsidR="0075327E" w:rsidRPr="005363EB" w:rsidRDefault="0075327E" w:rsidP="00B80352">
      <w:pPr>
        <w:spacing w:line="360" w:lineRule="auto"/>
        <w:jc w:val="both"/>
        <w:rPr>
          <w:rFonts w:ascii="Arial" w:hAnsi="Arial" w:cs="Arial"/>
          <w:sz w:val="24"/>
          <w:szCs w:val="24"/>
        </w:rPr>
      </w:pPr>
      <w:r w:rsidRPr="005363EB">
        <w:rPr>
          <w:rFonts w:ascii="Arial" w:hAnsi="Arial" w:cs="Arial"/>
          <w:sz w:val="24"/>
          <w:szCs w:val="24"/>
        </w:rPr>
        <w:t>Como consecuencia del examen practicado se incluyen en este informe comentarios que se ha entendido conveniente exponer, relacionados a la situación de determinados capítulos y rubros de los estados examinados, obligaciones a cumplir, así como recomendaciones que deberá atender el Organismo. Se incluye además una evaluación de la forma de cumplimiento de las recomendaciones presentadas en el informe de auditoría correspondiente al Ejercicio  anterior.</w:t>
      </w:r>
    </w:p>
    <w:p w:rsidR="0075327E" w:rsidRPr="00556E0C" w:rsidRDefault="0075327E" w:rsidP="00B80352">
      <w:pPr>
        <w:pStyle w:val="Ttulo2"/>
        <w:widowControl w:val="0"/>
        <w:spacing w:after="0"/>
        <w:jc w:val="both"/>
        <w:rPr>
          <w:rFonts w:cs="Arial"/>
          <w:bCs/>
        </w:rPr>
      </w:pPr>
      <w:bookmarkStart w:id="7" w:name="_Toc342992567"/>
      <w:bookmarkStart w:id="8" w:name="_Toc364861586"/>
      <w:bookmarkStart w:id="9" w:name="_Toc367363817"/>
      <w:bookmarkStart w:id="10" w:name="_Toc402457995"/>
      <w:bookmarkStart w:id="11" w:name="_Toc177813427"/>
      <w:bookmarkStart w:id="12" w:name="_Toc178493986"/>
      <w:bookmarkStart w:id="13" w:name="_Toc312054374"/>
      <w:bookmarkStart w:id="14" w:name="_Toc117592864"/>
      <w:bookmarkStart w:id="15" w:name="_Toc147733819"/>
      <w:bookmarkStart w:id="16" w:name="_Toc176148648"/>
      <w:bookmarkStart w:id="17" w:name="_Toc176148747"/>
      <w:bookmarkStart w:id="18" w:name="_Toc176149131"/>
      <w:bookmarkStart w:id="19" w:name="_Toc177548564"/>
      <w:r w:rsidRPr="00556E0C">
        <w:rPr>
          <w:rFonts w:cs="Arial"/>
        </w:rPr>
        <w:t>1. Constataciones que no afectan la opinión</w:t>
      </w:r>
      <w:bookmarkEnd w:id="7"/>
      <w:bookmarkEnd w:id="8"/>
      <w:bookmarkEnd w:id="9"/>
      <w:bookmarkEnd w:id="10"/>
      <w:r w:rsidRPr="00556E0C">
        <w:rPr>
          <w:rFonts w:cs="Arial"/>
        </w:rPr>
        <w:t xml:space="preserve"> </w:t>
      </w:r>
      <w:bookmarkStart w:id="20" w:name="_Toc177813428"/>
      <w:bookmarkStart w:id="21" w:name="_Toc178493987"/>
      <w:bookmarkEnd w:id="11"/>
      <w:bookmarkEnd w:id="12"/>
      <w:r w:rsidR="007162B9">
        <w:rPr>
          <w:rFonts w:cs="Arial"/>
        </w:rPr>
        <w:t>respecto a los estados</w:t>
      </w:r>
    </w:p>
    <w:p w:rsidR="0075327E" w:rsidRPr="00556E0C" w:rsidRDefault="0075327E" w:rsidP="00B80352">
      <w:pPr>
        <w:pStyle w:val="Ttulo2"/>
      </w:pPr>
      <w:bookmarkStart w:id="22" w:name="_Toc312054375"/>
      <w:bookmarkStart w:id="23" w:name="_Toc402457996"/>
      <w:bookmarkEnd w:id="13"/>
      <w:bookmarkEnd w:id="20"/>
      <w:bookmarkEnd w:id="21"/>
      <w:r w:rsidRPr="00556E0C">
        <w:t>1.1 Estado de ejecución con relación a los recursos</w:t>
      </w:r>
      <w:bookmarkEnd w:id="22"/>
      <w:bookmarkEnd w:id="23"/>
    </w:p>
    <w:p w:rsidR="0075327E" w:rsidRPr="00556E0C" w:rsidRDefault="0075327E">
      <w:pPr>
        <w:pStyle w:val="Textoindependiente"/>
        <w:rPr>
          <w:bCs/>
        </w:rPr>
      </w:pPr>
      <w:r w:rsidRPr="00556E0C">
        <w:rPr>
          <w:bCs/>
        </w:rPr>
        <w:t xml:space="preserve">No se expone en el Estado Nº 4 de </w:t>
      </w:r>
      <w:r>
        <w:rPr>
          <w:bCs/>
        </w:rPr>
        <w:t>E</w:t>
      </w:r>
      <w:r w:rsidRPr="00556E0C">
        <w:rPr>
          <w:bCs/>
        </w:rPr>
        <w:t xml:space="preserve">jecución del </w:t>
      </w:r>
      <w:r>
        <w:rPr>
          <w:bCs/>
        </w:rPr>
        <w:t>Presupuesto con R</w:t>
      </w:r>
      <w:r w:rsidRPr="00556E0C">
        <w:rPr>
          <w:bCs/>
        </w:rPr>
        <w:t xml:space="preserve">elación a los </w:t>
      </w:r>
      <w:r>
        <w:rPr>
          <w:bCs/>
        </w:rPr>
        <w:t>R</w:t>
      </w:r>
      <w:r w:rsidRPr="00556E0C">
        <w:rPr>
          <w:bCs/>
        </w:rPr>
        <w:t xml:space="preserve">ecursos, todos los ingresos de origen nacional, ya que no se incluyen los recursos correspondientes al concepto “Artículo 298 de la Constitución de la República”. Estos ingresos se exponen únicamente en el </w:t>
      </w:r>
      <w:r>
        <w:rPr>
          <w:bCs/>
        </w:rPr>
        <w:t>E</w:t>
      </w:r>
      <w:r w:rsidRPr="00556E0C">
        <w:rPr>
          <w:bCs/>
        </w:rPr>
        <w:t xml:space="preserve">stado de </w:t>
      </w:r>
      <w:r>
        <w:rPr>
          <w:bCs/>
        </w:rPr>
        <w:t>E</w:t>
      </w:r>
      <w:r w:rsidRPr="00556E0C">
        <w:rPr>
          <w:bCs/>
        </w:rPr>
        <w:t xml:space="preserve">volución </w:t>
      </w:r>
      <w:proofErr w:type="spellStart"/>
      <w:r>
        <w:rPr>
          <w:bCs/>
        </w:rPr>
        <w:t>E</w:t>
      </w:r>
      <w:r w:rsidRPr="00556E0C">
        <w:rPr>
          <w:bCs/>
        </w:rPr>
        <w:t>xtrapresupuestal</w:t>
      </w:r>
      <w:proofErr w:type="spellEnd"/>
      <w:r w:rsidRPr="00556E0C">
        <w:rPr>
          <w:bCs/>
        </w:rPr>
        <w:t xml:space="preserve"> en las cuentas correspondientes a los respectivos proyectos y su monto asciende a $ </w:t>
      </w:r>
      <w:r>
        <w:rPr>
          <w:bCs/>
        </w:rPr>
        <w:t>76.406.838</w:t>
      </w:r>
      <w:r w:rsidRPr="00556E0C">
        <w:rPr>
          <w:bCs/>
        </w:rPr>
        <w:t>.</w:t>
      </w:r>
    </w:p>
    <w:p w:rsidR="0075327E" w:rsidRPr="00556E0C" w:rsidRDefault="0075327E">
      <w:pPr>
        <w:pStyle w:val="Textoindependiente"/>
        <w:rPr>
          <w:bCs/>
        </w:rPr>
      </w:pPr>
    </w:p>
    <w:p w:rsidR="0075327E" w:rsidRPr="008A43EE" w:rsidRDefault="0075327E" w:rsidP="00B80352">
      <w:pPr>
        <w:pStyle w:val="Ttulo2"/>
      </w:pPr>
      <w:bookmarkStart w:id="24" w:name="_Toc402457997"/>
      <w:r w:rsidRPr="008A43EE">
        <w:t>1.2 Estado de evolución de obligaciones presupuestales impagas</w:t>
      </w:r>
      <w:bookmarkEnd w:id="24"/>
    </w:p>
    <w:p w:rsidR="0075327E" w:rsidRPr="007162B9" w:rsidRDefault="0075327E" w:rsidP="00B80352">
      <w:pPr>
        <w:spacing w:line="360" w:lineRule="auto"/>
        <w:jc w:val="both"/>
        <w:rPr>
          <w:rFonts w:ascii="Arial" w:hAnsi="Arial" w:cs="Arial"/>
          <w:sz w:val="24"/>
          <w:szCs w:val="24"/>
        </w:rPr>
      </w:pPr>
      <w:r w:rsidRPr="007162B9">
        <w:rPr>
          <w:rFonts w:ascii="Arial" w:hAnsi="Arial" w:cs="Arial"/>
          <w:sz w:val="24"/>
          <w:szCs w:val="24"/>
        </w:rPr>
        <w:t>El Estado de Evolución de Obligaciones Presupuestales impagas, denominado por la Intendencia “Evolución de los Residuos Pasivos”,  se presenta de forma incorrecta ya que se exponen conjuntamente, sin discriminar en deudas presupuestales y extrapresupuestales. La deuda generada en el Ejercicio por   $ 112:754.094, se debería discriminar en $ 86:997.020, y $ 25:757.074 respectivamente.</w:t>
      </w:r>
    </w:p>
    <w:p w:rsidR="0075327E" w:rsidRPr="007162B9" w:rsidRDefault="0075327E" w:rsidP="00B80352">
      <w:pPr>
        <w:spacing w:line="360" w:lineRule="auto"/>
        <w:jc w:val="both"/>
        <w:rPr>
          <w:rFonts w:ascii="Arial" w:hAnsi="Arial" w:cs="Arial"/>
          <w:sz w:val="24"/>
          <w:szCs w:val="24"/>
        </w:rPr>
      </w:pPr>
      <w:r w:rsidRPr="007162B9">
        <w:rPr>
          <w:rFonts w:ascii="Arial" w:hAnsi="Arial" w:cs="Arial"/>
          <w:sz w:val="24"/>
          <w:szCs w:val="24"/>
        </w:rPr>
        <w:t>El listado de acreedores incluido en la Rendición de Cuentas no presenta las deudas discriminadas por año, lo que no permite verificar las obligaciones presupuestales impagas del Estado de Ejecución Presupuestal con relación a los Créditos y del Estado de Evolución de Obligaciones P</w:t>
      </w:r>
      <w:r w:rsidR="007162B9">
        <w:rPr>
          <w:rFonts w:ascii="Arial" w:hAnsi="Arial" w:cs="Arial"/>
          <w:sz w:val="24"/>
          <w:szCs w:val="24"/>
        </w:rPr>
        <w:t>resupuestales impagas.</w:t>
      </w:r>
    </w:p>
    <w:p w:rsidR="0075327E" w:rsidRPr="00556E0C" w:rsidRDefault="0075327E" w:rsidP="00B80352">
      <w:pPr>
        <w:pStyle w:val="Ttulo2"/>
      </w:pPr>
      <w:bookmarkStart w:id="25" w:name="_Toc402457998"/>
      <w:r w:rsidRPr="00556E0C">
        <w:t>1.3 Fondos Indisponibles</w:t>
      </w:r>
      <w:bookmarkEnd w:id="25"/>
    </w:p>
    <w:p w:rsidR="0075327E" w:rsidRDefault="0075327E" w:rsidP="00B80352">
      <w:pPr>
        <w:pStyle w:val="Textoindependiente"/>
        <w:rPr>
          <w:bCs/>
        </w:rPr>
      </w:pPr>
      <w:r w:rsidRPr="006C0FC7">
        <w:t>Se incluyen en el estado correspondiente a indisponibles partidas que no revisten esta calidad. A</w:t>
      </w:r>
      <w:r w:rsidRPr="006C0FC7">
        <w:rPr>
          <w:bCs/>
        </w:rPr>
        <w:t xml:space="preserve"> continuación se detallan en pesos uruguayos las más significativas:</w:t>
      </w:r>
    </w:p>
    <w:p w:rsidR="0075327E" w:rsidRPr="006C0FC7" w:rsidRDefault="0075327E" w:rsidP="00B80352">
      <w:pPr>
        <w:pStyle w:val="Textoindependiente"/>
        <w:ind w:firstLine="708"/>
        <w:rPr>
          <w:bCs/>
        </w:rPr>
      </w:pPr>
      <w:r w:rsidRPr="006C0FC7">
        <w:rPr>
          <w:bCs/>
        </w:rPr>
        <w:t xml:space="preserve">Traspaso de Fondos  </w:t>
      </w:r>
      <w:r>
        <w:rPr>
          <w:bCs/>
        </w:rPr>
        <w:tab/>
      </w:r>
      <w:r>
        <w:rPr>
          <w:bCs/>
        </w:rPr>
        <w:tab/>
      </w:r>
      <w:r>
        <w:rPr>
          <w:bCs/>
        </w:rPr>
        <w:tab/>
      </w:r>
      <w:r>
        <w:rPr>
          <w:bCs/>
        </w:rPr>
        <w:tab/>
        <w:t xml:space="preserve">$  </w:t>
      </w:r>
      <w:r w:rsidRPr="006C0FC7">
        <w:rPr>
          <w:bCs/>
        </w:rPr>
        <w:t>3</w:t>
      </w:r>
      <w:r>
        <w:rPr>
          <w:bCs/>
        </w:rPr>
        <w:t>2:261.318</w:t>
      </w:r>
    </w:p>
    <w:p w:rsidR="0075327E" w:rsidRPr="006C0FC7" w:rsidRDefault="0075327E" w:rsidP="00B80352">
      <w:pPr>
        <w:pStyle w:val="Textoindependiente"/>
        <w:ind w:firstLine="708"/>
        <w:rPr>
          <w:bCs/>
        </w:rPr>
      </w:pPr>
      <w:r w:rsidRPr="006C0FC7">
        <w:rPr>
          <w:bCs/>
        </w:rPr>
        <w:t xml:space="preserve">Adelantos de Sueldos </w:t>
      </w:r>
      <w:r>
        <w:rPr>
          <w:bCs/>
        </w:rPr>
        <w:tab/>
      </w:r>
      <w:r>
        <w:rPr>
          <w:bCs/>
        </w:rPr>
        <w:tab/>
      </w:r>
      <w:r>
        <w:rPr>
          <w:bCs/>
        </w:rPr>
        <w:tab/>
      </w:r>
      <w:r>
        <w:rPr>
          <w:bCs/>
        </w:rPr>
        <w:tab/>
        <w:t>$      316.486</w:t>
      </w:r>
    </w:p>
    <w:p w:rsidR="0075327E" w:rsidRDefault="0075327E" w:rsidP="00B80352">
      <w:pPr>
        <w:pStyle w:val="Textoindependiente"/>
        <w:ind w:firstLine="708"/>
        <w:rPr>
          <w:bCs/>
        </w:rPr>
      </w:pPr>
      <w:r w:rsidRPr="006C0FC7">
        <w:rPr>
          <w:bCs/>
        </w:rPr>
        <w:t xml:space="preserve">Duodécimo Junta Departamental </w:t>
      </w:r>
      <w:r>
        <w:rPr>
          <w:bCs/>
        </w:rPr>
        <w:tab/>
      </w:r>
      <w:r>
        <w:rPr>
          <w:bCs/>
        </w:rPr>
        <w:tab/>
        <w:t xml:space="preserve">$ </w:t>
      </w:r>
      <w:r w:rsidRPr="006C0FC7">
        <w:rPr>
          <w:bCs/>
        </w:rPr>
        <w:t xml:space="preserve">– </w:t>
      </w:r>
      <w:r>
        <w:rPr>
          <w:bCs/>
        </w:rPr>
        <w:t>9.960.359</w:t>
      </w:r>
    </w:p>
    <w:p w:rsidR="0075327E" w:rsidRPr="00556E0C" w:rsidRDefault="0075327E" w:rsidP="00B80352">
      <w:pPr>
        <w:pStyle w:val="Ttulo2"/>
        <w:spacing w:after="0"/>
        <w:rPr>
          <w:b w:val="0"/>
          <w:bCs/>
        </w:rPr>
      </w:pPr>
      <w:bookmarkStart w:id="26" w:name="_Toc312054377"/>
      <w:bookmarkStart w:id="27" w:name="_Toc402457999"/>
      <w:r w:rsidRPr="00556E0C">
        <w:t>1.4 Ejecución presupuestal del Grupo 0</w:t>
      </w:r>
      <w:bookmarkEnd w:id="26"/>
      <w:bookmarkEnd w:id="27"/>
    </w:p>
    <w:p w:rsidR="0075327E" w:rsidRPr="00556E0C" w:rsidRDefault="0075327E" w:rsidP="00B80352">
      <w:pPr>
        <w:pStyle w:val="Textoindependiente"/>
      </w:pPr>
      <w:r w:rsidRPr="00556E0C">
        <w:t xml:space="preserve">La Intendencia no proporcionó información respecto al cálculo de las asignaciones presupuestales proyectadas para los objetos del </w:t>
      </w:r>
      <w:r>
        <w:t>G</w:t>
      </w:r>
      <w:r w:rsidRPr="00556E0C">
        <w:t xml:space="preserve">rupo 0, a los efectos de subsanar la observación formulada por este Tribunal a la Modificación Presupuestal 2013-2015 (párrafo 3.3 del Dictamen), que la Junta Departamental aceptó. En consecuencia, no fue posible verificar la ejecución del </w:t>
      </w:r>
      <w:r>
        <w:t>G</w:t>
      </w:r>
      <w:r w:rsidRPr="00556E0C">
        <w:t>rupo 0 con relación a lo aprobado por la Junta Departamental en dicha instancia presupuestal.</w:t>
      </w:r>
    </w:p>
    <w:p w:rsidR="0075327E" w:rsidRPr="00556E0C" w:rsidRDefault="0075327E" w:rsidP="00B80352">
      <w:pPr>
        <w:pStyle w:val="Ttulo2"/>
      </w:pPr>
      <w:bookmarkStart w:id="28" w:name="_Toc402458000"/>
      <w:bookmarkStart w:id="29" w:name="_Toc147733823"/>
      <w:bookmarkStart w:id="30" w:name="_Toc176148651"/>
      <w:bookmarkStart w:id="31" w:name="_Toc176148750"/>
      <w:bookmarkStart w:id="32" w:name="_Toc176149134"/>
      <w:bookmarkStart w:id="33" w:name="_Toc177548570"/>
      <w:bookmarkStart w:id="34" w:name="_Toc312054378"/>
      <w:bookmarkEnd w:id="14"/>
      <w:bookmarkEnd w:id="15"/>
      <w:bookmarkEnd w:id="16"/>
      <w:bookmarkEnd w:id="17"/>
      <w:bookmarkEnd w:id="18"/>
      <w:bookmarkEnd w:id="19"/>
      <w:r w:rsidRPr="00556E0C">
        <w:t>1.</w:t>
      </w:r>
      <w:r>
        <w:t>5</w:t>
      </w:r>
      <w:r w:rsidRPr="00556E0C">
        <w:t xml:space="preserve"> Contabilización de sueldos, aportes al BPS y retenciones de IRPF</w:t>
      </w:r>
      <w:bookmarkEnd w:id="28"/>
    </w:p>
    <w:bookmarkEnd w:id="29"/>
    <w:bookmarkEnd w:id="30"/>
    <w:bookmarkEnd w:id="31"/>
    <w:bookmarkEnd w:id="32"/>
    <w:bookmarkEnd w:id="33"/>
    <w:bookmarkEnd w:id="34"/>
    <w:p w:rsidR="0075327E" w:rsidRPr="007162B9" w:rsidRDefault="0075327E" w:rsidP="0075327E">
      <w:pPr>
        <w:numPr>
          <w:ilvl w:val="0"/>
          <w:numId w:val="3"/>
        </w:numPr>
        <w:suppressAutoHyphens w:val="0"/>
        <w:spacing w:after="0" w:line="360" w:lineRule="auto"/>
        <w:jc w:val="both"/>
        <w:rPr>
          <w:rFonts w:ascii="Arial" w:hAnsi="Arial" w:cs="Arial"/>
          <w:sz w:val="24"/>
          <w:szCs w:val="24"/>
        </w:rPr>
      </w:pPr>
      <w:r w:rsidRPr="007162B9">
        <w:rPr>
          <w:rFonts w:ascii="Arial" w:hAnsi="Arial" w:cs="Arial"/>
          <w:sz w:val="24"/>
          <w:szCs w:val="24"/>
        </w:rPr>
        <w:t xml:space="preserve">Los aportes patronales correspondientes a diciembre de 2015 no se exponen en el Estado de Obligaciones </w:t>
      </w:r>
      <w:proofErr w:type="spellStart"/>
      <w:r w:rsidRPr="007162B9">
        <w:rPr>
          <w:rFonts w:ascii="Arial" w:hAnsi="Arial" w:cs="Arial"/>
          <w:sz w:val="24"/>
          <w:szCs w:val="24"/>
        </w:rPr>
        <w:t>Presupuestalales</w:t>
      </w:r>
      <w:proofErr w:type="spellEnd"/>
      <w:r w:rsidRPr="007162B9">
        <w:rPr>
          <w:rFonts w:ascii="Arial" w:hAnsi="Arial" w:cs="Arial"/>
          <w:sz w:val="24"/>
          <w:szCs w:val="24"/>
        </w:rPr>
        <w:t xml:space="preserve"> Impagas ya que son contabilizados como pagados al 31/12/15. En consecuencia, el saldo al cierre del Objeto 081 “Aportes Patronales” es cero, no coincidiendo con lo abonado al BPS por este concepto en enero 2016, que ascendió a $ 9.581.002. Asimismo, esta obligación debería exponerse en el listado de obligaciones presupuestales impagas.</w:t>
      </w:r>
    </w:p>
    <w:p w:rsidR="0075327E" w:rsidRPr="007162B9" w:rsidRDefault="0075327E" w:rsidP="0075327E">
      <w:pPr>
        <w:numPr>
          <w:ilvl w:val="0"/>
          <w:numId w:val="3"/>
        </w:numPr>
        <w:suppressAutoHyphens w:val="0"/>
        <w:spacing w:after="0" w:line="360" w:lineRule="auto"/>
        <w:jc w:val="both"/>
        <w:rPr>
          <w:rFonts w:ascii="Arial" w:hAnsi="Arial" w:cs="Arial"/>
          <w:sz w:val="24"/>
          <w:szCs w:val="24"/>
        </w:rPr>
      </w:pPr>
      <w:r w:rsidRPr="007162B9">
        <w:rPr>
          <w:rFonts w:ascii="Arial" w:hAnsi="Arial" w:cs="Arial"/>
          <w:sz w:val="24"/>
          <w:szCs w:val="24"/>
        </w:rPr>
        <w:t>Se encontraron diferencias entre los importes retenidos por concepto de I.R.P.F. (Impuesto a la Renta de las Personas Físicas), incluido en el Estado de Fondos Indisponibles por $ 4:293.060, con el importe pagado al BPS en enero de 2016, correspondiente a los sueldos y medio aguinaldo de diciembre de 2015, por $ 2:879.846.</w:t>
      </w:r>
    </w:p>
    <w:p w:rsidR="0075327E" w:rsidRPr="008C5818" w:rsidRDefault="0075327E" w:rsidP="00B80352">
      <w:pPr>
        <w:pStyle w:val="Textoindependiente"/>
        <w:rPr>
          <w:color w:val="FF0000"/>
        </w:rPr>
      </w:pPr>
    </w:p>
    <w:p w:rsidR="0075327E" w:rsidRPr="007463B7" w:rsidRDefault="0075327E" w:rsidP="00B80352">
      <w:pPr>
        <w:pStyle w:val="Ttulo2"/>
      </w:pPr>
      <w:bookmarkStart w:id="35" w:name="_Toc312054393"/>
      <w:bookmarkStart w:id="36" w:name="_Toc402458003"/>
      <w:r w:rsidRPr="007463B7">
        <w:t>2.</w:t>
      </w:r>
      <w:r>
        <w:t xml:space="preserve">  </w:t>
      </w:r>
      <w:r w:rsidRPr="007463B7">
        <w:t xml:space="preserve"> Debilidades de</w:t>
      </w:r>
      <w:r>
        <w:t>l</w:t>
      </w:r>
      <w:r w:rsidRPr="007463B7">
        <w:t xml:space="preserve"> control interno</w:t>
      </w:r>
      <w:bookmarkEnd w:id="35"/>
      <w:bookmarkEnd w:id="36"/>
    </w:p>
    <w:p w:rsidR="0075327E" w:rsidRPr="007463B7" w:rsidRDefault="0075327E" w:rsidP="00B80352">
      <w:pPr>
        <w:pStyle w:val="Ttulo2"/>
      </w:pPr>
      <w:bookmarkStart w:id="37" w:name="_Toc312054394"/>
      <w:bookmarkStart w:id="38" w:name="_Toc402458004"/>
      <w:r w:rsidRPr="007463B7">
        <w:t xml:space="preserve">2.1 Respecto a recursos </w:t>
      </w:r>
      <w:r>
        <w:t>y</w:t>
      </w:r>
      <w:r w:rsidRPr="007463B7">
        <w:t xml:space="preserve"> manejo de fondos</w:t>
      </w:r>
      <w:bookmarkEnd w:id="37"/>
      <w:bookmarkEnd w:id="38"/>
    </w:p>
    <w:p w:rsidR="0075327E" w:rsidRPr="007162B9" w:rsidRDefault="0075327E" w:rsidP="0075327E">
      <w:pPr>
        <w:numPr>
          <w:ilvl w:val="0"/>
          <w:numId w:val="4"/>
        </w:numPr>
        <w:suppressAutoHyphens w:val="0"/>
        <w:spacing w:after="0" w:line="360" w:lineRule="auto"/>
        <w:jc w:val="both"/>
        <w:rPr>
          <w:rFonts w:ascii="Arial" w:hAnsi="Arial" w:cs="Arial"/>
          <w:b/>
          <w:sz w:val="24"/>
          <w:szCs w:val="24"/>
        </w:rPr>
      </w:pPr>
      <w:r w:rsidRPr="007162B9">
        <w:rPr>
          <w:rFonts w:ascii="Arial" w:hAnsi="Arial" w:cs="Arial"/>
          <w:sz w:val="24"/>
          <w:szCs w:val="24"/>
        </w:rPr>
        <w:t>No se realizan controles con la periodicidad necesaria en la Oficina de Impositiva ni en los Municipios sobre las modificaciones, altas o bajas realizadas a la información procesada por el Sistema de Ingresos, a efectos de controlar que las mismas hayan tenido el respaldo normativo y la autorización correspondiente. No está establecido ningún procedimiento de control, excepto los arqueos realizados por la Intendencia.</w:t>
      </w:r>
    </w:p>
    <w:p w:rsidR="0075327E" w:rsidRPr="007162B9" w:rsidRDefault="0075327E" w:rsidP="0075327E">
      <w:pPr>
        <w:numPr>
          <w:ilvl w:val="0"/>
          <w:numId w:val="4"/>
        </w:numPr>
        <w:suppressAutoHyphens w:val="0"/>
        <w:spacing w:after="0" w:line="360" w:lineRule="auto"/>
        <w:jc w:val="both"/>
        <w:rPr>
          <w:rFonts w:ascii="Arial" w:hAnsi="Arial" w:cs="Arial"/>
          <w:sz w:val="24"/>
          <w:szCs w:val="24"/>
        </w:rPr>
      </w:pPr>
      <w:r w:rsidRPr="007162B9">
        <w:rPr>
          <w:rFonts w:ascii="Arial" w:hAnsi="Arial" w:cs="Arial"/>
          <w:sz w:val="24"/>
          <w:szCs w:val="24"/>
        </w:rPr>
        <w:t>No se realiza el seguimiento correspondiente al cumplimiento de los convenios y de las causales de caducidad.</w:t>
      </w:r>
    </w:p>
    <w:p w:rsidR="0075327E" w:rsidRPr="007162B9" w:rsidRDefault="0075327E" w:rsidP="0075327E">
      <w:pPr>
        <w:numPr>
          <w:ilvl w:val="0"/>
          <w:numId w:val="4"/>
        </w:numPr>
        <w:suppressAutoHyphens w:val="0"/>
        <w:spacing w:after="0" w:line="360" w:lineRule="auto"/>
        <w:jc w:val="both"/>
        <w:rPr>
          <w:rFonts w:ascii="Arial" w:hAnsi="Arial" w:cs="Arial"/>
          <w:sz w:val="24"/>
          <w:szCs w:val="24"/>
        </w:rPr>
      </w:pPr>
      <w:r w:rsidRPr="007162B9">
        <w:rPr>
          <w:rFonts w:ascii="Arial" w:hAnsi="Arial" w:cs="Arial"/>
          <w:sz w:val="24"/>
          <w:szCs w:val="24"/>
        </w:rPr>
        <w:t>No se dispone de un texto ordenado actualizado de las normas relativas a los tributos que se recaudan, así como de las facilidades de pago otorgadas por la Intendencia. Se utilizan Circulares de la Dirección de Hacienda, de Recursos Humanos y de otras dependencias según el tema que corresponda.</w:t>
      </w:r>
    </w:p>
    <w:p w:rsidR="0075327E" w:rsidRPr="007463B7" w:rsidRDefault="0075327E" w:rsidP="00B80352">
      <w:pPr>
        <w:pStyle w:val="Ttulo2"/>
      </w:pPr>
      <w:bookmarkStart w:id="39" w:name="_Toc312054395"/>
      <w:bookmarkStart w:id="40" w:name="_Toc402458005"/>
      <w:r w:rsidRPr="007463B7">
        <w:t>2.2 Retribuciones personales</w:t>
      </w:r>
      <w:bookmarkEnd w:id="39"/>
      <w:bookmarkEnd w:id="40"/>
    </w:p>
    <w:p w:rsidR="0075327E" w:rsidRPr="007162B9" w:rsidRDefault="0075327E" w:rsidP="0075327E">
      <w:pPr>
        <w:numPr>
          <w:ilvl w:val="0"/>
          <w:numId w:val="5"/>
        </w:numPr>
        <w:suppressAutoHyphens w:val="0"/>
        <w:spacing w:after="0" w:line="360" w:lineRule="auto"/>
        <w:jc w:val="both"/>
        <w:rPr>
          <w:rFonts w:ascii="Arial" w:hAnsi="Arial" w:cs="Arial"/>
          <w:sz w:val="24"/>
          <w:szCs w:val="24"/>
        </w:rPr>
      </w:pPr>
      <w:r w:rsidRPr="007162B9">
        <w:rPr>
          <w:rFonts w:ascii="Arial" w:hAnsi="Arial" w:cs="Arial"/>
          <w:sz w:val="24"/>
          <w:szCs w:val="24"/>
        </w:rPr>
        <w:t>Si bien se ha instalado un sistema de control de entradas y salidas del personal no se encuentra operativo en forma permanente. Para la liquidación de horas extras se considera la planilla que autoriza cada Director constatándose que, en algunos casos, se superan los topes del C</w:t>
      </w:r>
      <w:r w:rsidR="007162B9">
        <w:rPr>
          <w:rFonts w:ascii="Arial" w:hAnsi="Arial" w:cs="Arial"/>
          <w:sz w:val="24"/>
          <w:szCs w:val="24"/>
        </w:rPr>
        <w:t>onvenio Nº 30 de la O.I.T.</w:t>
      </w:r>
    </w:p>
    <w:p w:rsidR="0075327E" w:rsidRPr="007162B9" w:rsidRDefault="0075327E" w:rsidP="0075327E">
      <w:pPr>
        <w:numPr>
          <w:ilvl w:val="0"/>
          <w:numId w:val="5"/>
        </w:numPr>
        <w:suppressAutoHyphens w:val="0"/>
        <w:spacing w:after="0" w:line="360" w:lineRule="auto"/>
        <w:jc w:val="both"/>
        <w:rPr>
          <w:rFonts w:ascii="Arial" w:hAnsi="Arial" w:cs="Arial"/>
          <w:sz w:val="24"/>
          <w:szCs w:val="24"/>
        </w:rPr>
      </w:pPr>
      <w:r w:rsidRPr="007162B9">
        <w:rPr>
          <w:rFonts w:ascii="Arial" w:hAnsi="Arial" w:cs="Arial"/>
          <w:sz w:val="24"/>
          <w:szCs w:val="24"/>
        </w:rPr>
        <w:t>La Dirección de Recursos Humanos realiza el control sobre las liquidaciones de las retribuciones de los servicios personales. No obstante, no existe un control externo a dicha oficina, por lo que no existe oposición de intereses. Tampoco existe un control posterior por parte de la Contaduría.</w:t>
      </w:r>
    </w:p>
    <w:p w:rsidR="0075327E" w:rsidRPr="007162B9" w:rsidRDefault="0075327E" w:rsidP="00B80352">
      <w:pPr>
        <w:spacing w:line="360" w:lineRule="auto"/>
        <w:ind w:left="720"/>
        <w:jc w:val="both"/>
        <w:rPr>
          <w:rFonts w:ascii="Arial" w:hAnsi="Arial" w:cs="Arial"/>
          <w:sz w:val="24"/>
          <w:szCs w:val="24"/>
        </w:rPr>
      </w:pPr>
    </w:p>
    <w:p w:rsidR="0075327E" w:rsidRPr="007162B9" w:rsidRDefault="0075327E" w:rsidP="00B80352">
      <w:pPr>
        <w:spacing w:line="360" w:lineRule="auto"/>
        <w:jc w:val="both"/>
        <w:rPr>
          <w:rFonts w:ascii="Arial" w:hAnsi="Arial" w:cs="Arial"/>
          <w:b/>
          <w:bCs/>
          <w:sz w:val="24"/>
          <w:szCs w:val="24"/>
        </w:rPr>
      </w:pPr>
      <w:bookmarkStart w:id="41" w:name="_Toc147733824"/>
      <w:bookmarkStart w:id="42" w:name="_Toc176148653"/>
      <w:bookmarkStart w:id="43" w:name="_Toc176148752"/>
      <w:bookmarkStart w:id="44" w:name="_Toc176149136"/>
      <w:bookmarkStart w:id="45" w:name="_Toc177548583"/>
      <w:bookmarkStart w:id="46" w:name="_Toc312054399"/>
      <w:r w:rsidRPr="007162B9">
        <w:rPr>
          <w:rFonts w:ascii="Arial" w:hAnsi="Arial" w:cs="Arial"/>
          <w:b/>
          <w:bCs/>
          <w:sz w:val="24"/>
          <w:szCs w:val="24"/>
        </w:rPr>
        <w:t>2.3 Sistema de compras</w:t>
      </w:r>
    </w:p>
    <w:p w:rsidR="0075327E" w:rsidRPr="007162B9" w:rsidRDefault="0075327E" w:rsidP="0075327E">
      <w:pPr>
        <w:numPr>
          <w:ilvl w:val="0"/>
          <w:numId w:val="6"/>
        </w:numPr>
        <w:suppressAutoHyphens w:val="0"/>
        <w:spacing w:after="0" w:line="360" w:lineRule="auto"/>
        <w:jc w:val="both"/>
        <w:rPr>
          <w:rFonts w:ascii="Arial" w:hAnsi="Arial" w:cs="Arial"/>
          <w:sz w:val="24"/>
          <w:szCs w:val="24"/>
        </w:rPr>
      </w:pPr>
      <w:r w:rsidRPr="007162B9">
        <w:rPr>
          <w:rFonts w:ascii="Arial" w:hAnsi="Arial" w:cs="Arial"/>
          <w:sz w:val="24"/>
          <w:szCs w:val="24"/>
        </w:rPr>
        <w:t>No está centralizado el contralor de la recepción de las mercaderías.</w:t>
      </w:r>
    </w:p>
    <w:p w:rsidR="0075327E" w:rsidRPr="007162B9" w:rsidRDefault="0075327E" w:rsidP="0075327E">
      <w:pPr>
        <w:numPr>
          <w:ilvl w:val="0"/>
          <w:numId w:val="6"/>
        </w:numPr>
        <w:suppressAutoHyphens w:val="0"/>
        <w:spacing w:after="0" w:line="360" w:lineRule="auto"/>
        <w:jc w:val="both"/>
        <w:rPr>
          <w:rFonts w:ascii="Arial" w:hAnsi="Arial" w:cs="Arial"/>
          <w:sz w:val="24"/>
          <w:szCs w:val="24"/>
        </w:rPr>
      </w:pPr>
      <w:r w:rsidRPr="007162B9">
        <w:rPr>
          <w:rFonts w:ascii="Arial" w:hAnsi="Arial" w:cs="Arial"/>
          <w:sz w:val="24"/>
          <w:szCs w:val="24"/>
        </w:rPr>
        <w:t>Proveeduría no tiene control sobre todas las compras que se realizan, ya que no centralizan el total de compras de la Intendencia. Las compras sin Orden de Pedido de Suministros, se gestionan  directamente con la firma del ordenador y se abonan sin pasar por Proveeduría.</w:t>
      </w:r>
    </w:p>
    <w:p w:rsidR="0075327E" w:rsidRPr="007162B9" w:rsidRDefault="0075327E" w:rsidP="00B80352">
      <w:pPr>
        <w:spacing w:line="360" w:lineRule="auto"/>
        <w:jc w:val="both"/>
        <w:rPr>
          <w:rFonts w:ascii="Arial" w:hAnsi="Arial" w:cs="Arial"/>
          <w:color w:val="FF0000"/>
          <w:sz w:val="24"/>
          <w:szCs w:val="24"/>
        </w:rPr>
      </w:pPr>
    </w:p>
    <w:p w:rsidR="0075327E" w:rsidRPr="007162B9" w:rsidRDefault="0075327E" w:rsidP="00B80352">
      <w:pPr>
        <w:spacing w:line="360" w:lineRule="auto"/>
        <w:jc w:val="both"/>
        <w:rPr>
          <w:rFonts w:ascii="Arial" w:hAnsi="Arial" w:cs="Arial"/>
          <w:b/>
          <w:bCs/>
          <w:sz w:val="24"/>
          <w:szCs w:val="24"/>
        </w:rPr>
      </w:pPr>
      <w:bookmarkStart w:id="47" w:name="_Toc312054397"/>
      <w:bookmarkStart w:id="48" w:name="_Toc402458007"/>
      <w:r w:rsidRPr="007162B9">
        <w:rPr>
          <w:rFonts w:ascii="Arial" w:hAnsi="Arial" w:cs="Arial"/>
          <w:b/>
          <w:bCs/>
          <w:sz w:val="24"/>
          <w:szCs w:val="24"/>
        </w:rPr>
        <w:t>2.4 Saldos de acreedores</w:t>
      </w:r>
      <w:bookmarkEnd w:id="47"/>
    </w:p>
    <w:p w:rsidR="0075327E" w:rsidRPr="00532661" w:rsidRDefault="0075327E" w:rsidP="0075327E">
      <w:pPr>
        <w:pStyle w:val="Textoindependiente"/>
        <w:numPr>
          <w:ilvl w:val="0"/>
          <w:numId w:val="2"/>
        </w:numPr>
      </w:pPr>
      <w:r w:rsidRPr="00532661">
        <w:t>No se efectúa la conciliación de los saldos de proveedores con su</w:t>
      </w:r>
      <w:r>
        <w:t xml:space="preserve">s respectivos estados de cuenta. </w:t>
      </w:r>
    </w:p>
    <w:p w:rsidR="0075327E" w:rsidRPr="007162B9" w:rsidRDefault="0075327E" w:rsidP="0075327E">
      <w:pPr>
        <w:numPr>
          <w:ilvl w:val="0"/>
          <w:numId w:val="2"/>
        </w:numPr>
        <w:suppressAutoHyphens w:val="0"/>
        <w:spacing w:after="0" w:line="360" w:lineRule="auto"/>
        <w:jc w:val="both"/>
        <w:rPr>
          <w:rFonts w:ascii="Arial" w:hAnsi="Arial" w:cs="Arial"/>
          <w:sz w:val="24"/>
          <w:szCs w:val="24"/>
        </w:rPr>
      </w:pPr>
      <w:bookmarkStart w:id="49" w:name="_Toc312054398"/>
      <w:r w:rsidRPr="007162B9">
        <w:rPr>
          <w:rFonts w:ascii="Arial" w:hAnsi="Arial" w:cs="Arial"/>
          <w:sz w:val="24"/>
          <w:szCs w:val="24"/>
        </w:rPr>
        <w:t>No se conciliaron los sald</w:t>
      </w:r>
      <w:r w:rsidR="007162B9">
        <w:rPr>
          <w:rFonts w:ascii="Arial" w:hAnsi="Arial" w:cs="Arial"/>
          <w:sz w:val="24"/>
          <w:szCs w:val="24"/>
        </w:rPr>
        <w:t>os con los organismos públicos.</w:t>
      </w:r>
    </w:p>
    <w:p w:rsidR="0075327E" w:rsidRDefault="0075327E" w:rsidP="00B80352">
      <w:pPr>
        <w:spacing w:line="360" w:lineRule="auto"/>
        <w:jc w:val="both"/>
        <w:rPr>
          <w:b/>
        </w:rPr>
      </w:pPr>
    </w:p>
    <w:bookmarkEnd w:id="49"/>
    <w:p w:rsidR="0075327E" w:rsidRPr="00885AB7" w:rsidRDefault="0075327E" w:rsidP="00B80352">
      <w:pPr>
        <w:pStyle w:val="Ttulo3"/>
        <w:jc w:val="both"/>
        <w:rPr>
          <w:rFonts w:ascii="Arial" w:hAnsi="Arial" w:cs="Arial"/>
          <w:szCs w:val="24"/>
        </w:rPr>
      </w:pPr>
      <w:r w:rsidRPr="00885AB7">
        <w:rPr>
          <w:rFonts w:ascii="Arial" w:hAnsi="Arial" w:cs="Arial"/>
          <w:szCs w:val="24"/>
        </w:rPr>
        <w:t>2.5 Procedimientos</w:t>
      </w:r>
    </w:p>
    <w:p w:rsidR="0075327E" w:rsidRPr="007162B9" w:rsidRDefault="0075327E" w:rsidP="00B80352">
      <w:pPr>
        <w:spacing w:line="360" w:lineRule="auto"/>
        <w:rPr>
          <w:rFonts w:ascii="Arial" w:hAnsi="Arial" w:cs="Arial"/>
          <w:sz w:val="24"/>
          <w:szCs w:val="24"/>
        </w:rPr>
      </w:pPr>
      <w:r w:rsidRPr="007162B9">
        <w:rPr>
          <w:rFonts w:ascii="Arial" w:hAnsi="Arial" w:cs="Arial"/>
          <w:sz w:val="24"/>
          <w:szCs w:val="24"/>
        </w:rPr>
        <w:t>Se ha constatado que la intendencia aún no  tiene manuales de procedimientos formalizados para todas las áreas</w:t>
      </w:r>
      <w:r w:rsidR="007162B9">
        <w:rPr>
          <w:rFonts w:ascii="Arial" w:hAnsi="Arial" w:cs="Arial"/>
          <w:sz w:val="24"/>
          <w:szCs w:val="24"/>
        </w:rPr>
        <w:t>.</w:t>
      </w:r>
    </w:p>
    <w:p w:rsidR="0075327E" w:rsidRPr="00D54639" w:rsidRDefault="0075327E" w:rsidP="00B80352">
      <w:pPr>
        <w:spacing w:line="360" w:lineRule="auto"/>
        <w:jc w:val="both"/>
        <w:rPr>
          <w:rFonts w:ascii="Arial" w:hAnsi="Arial" w:cs="Arial"/>
          <w:b/>
          <w:sz w:val="24"/>
          <w:szCs w:val="24"/>
        </w:rPr>
      </w:pPr>
      <w:r w:rsidRPr="00D54639">
        <w:rPr>
          <w:rFonts w:ascii="Arial" w:hAnsi="Arial" w:cs="Arial"/>
          <w:b/>
          <w:sz w:val="24"/>
          <w:szCs w:val="24"/>
        </w:rPr>
        <w:t>2.6 Acceso al  Sistema Integral de Gestión Municipal (SIGEM)</w:t>
      </w:r>
    </w:p>
    <w:p w:rsidR="0075327E" w:rsidRPr="00D54639" w:rsidRDefault="0075327E" w:rsidP="00B80352">
      <w:pPr>
        <w:spacing w:line="360" w:lineRule="auto"/>
        <w:jc w:val="both"/>
        <w:rPr>
          <w:rFonts w:ascii="Arial" w:hAnsi="Arial" w:cs="Arial"/>
          <w:b/>
          <w:sz w:val="24"/>
          <w:szCs w:val="24"/>
        </w:rPr>
      </w:pPr>
      <w:r w:rsidRPr="00D54639">
        <w:rPr>
          <w:rFonts w:ascii="Arial" w:hAnsi="Arial" w:cs="Arial"/>
          <w:sz w:val="24"/>
          <w:szCs w:val="24"/>
        </w:rPr>
        <w:t>La lista de usuarios autorizados para el acceso al SIGEM no se encuentra actualizada, ya que incluye nombres de personas que fueron dadas de baja como funcionarios de la Intendencia o cuyo contrato de arrendamiento de servicios no fue renovado</w:t>
      </w:r>
      <w:r w:rsidR="00D54639" w:rsidRPr="00D54639">
        <w:rPr>
          <w:rFonts w:ascii="Arial" w:hAnsi="Arial" w:cs="Arial"/>
          <w:sz w:val="24"/>
          <w:szCs w:val="24"/>
        </w:rPr>
        <w:t>.</w:t>
      </w:r>
    </w:p>
    <w:p w:rsidR="0075327E" w:rsidRPr="007463B7" w:rsidRDefault="0075327E" w:rsidP="00B80352">
      <w:pPr>
        <w:pStyle w:val="Ttulo2"/>
        <w:spacing w:after="0"/>
      </w:pPr>
      <w:r w:rsidRPr="007463B7">
        <w:t>3. Recomendaciones</w:t>
      </w:r>
      <w:bookmarkEnd w:id="41"/>
      <w:bookmarkEnd w:id="42"/>
      <w:bookmarkEnd w:id="43"/>
      <w:bookmarkEnd w:id="44"/>
      <w:bookmarkEnd w:id="45"/>
      <w:bookmarkEnd w:id="46"/>
      <w:bookmarkEnd w:id="48"/>
    </w:p>
    <w:p w:rsidR="0075327E" w:rsidRDefault="0075327E" w:rsidP="00B80352">
      <w:pPr>
        <w:pStyle w:val="Ttulo2"/>
      </w:pPr>
      <w:bookmarkStart w:id="50" w:name="_Toc329609853"/>
      <w:bookmarkStart w:id="51" w:name="_Toc402458008"/>
      <w:r w:rsidRPr="007463B7">
        <w:t xml:space="preserve">3.1 Recomendaciones del </w:t>
      </w:r>
      <w:r>
        <w:t>E</w:t>
      </w:r>
      <w:r w:rsidRPr="007463B7">
        <w:t>jercicio anterior cumplidas</w:t>
      </w:r>
      <w:bookmarkEnd w:id="50"/>
      <w:bookmarkEnd w:id="51"/>
    </w:p>
    <w:p w:rsidR="0075327E" w:rsidRPr="00394866" w:rsidRDefault="0075327E" w:rsidP="00B80352">
      <w:pPr>
        <w:pStyle w:val="Ttulo2"/>
      </w:pPr>
      <w:bookmarkStart w:id="52" w:name="_Toc402458029"/>
      <w:r w:rsidRPr="00394866">
        <w:t xml:space="preserve">3.1.1 </w:t>
      </w:r>
      <w:bookmarkEnd w:id="52"/>
      <w:r w:rsidR="00D54639">
        <w:t>Aportes personales al BPS</w:t>
      </w:r>
    </w:p>
    <w:p w:rsidR="0075327E" w:rsidRDefault="0075327E" w:rsidP="00B80352">
      <w:pPr>
        <w:pStyle w:val="Textoindependiente"/>
        <w:rPr>
          <w:rFonts w:cs="Times New Roman"/>
        </w:rPr>
      </w:pPr>
      <w:r w:rsidRPr="00394866">
        <w:rPr>
          <w:rFonts w:cs="Times New Roman"/>
        </w:rPr>
        <w:t>La Intendencia ha ajustado el saldo de los aportes personales al 31/12/2015 con los abonados a BPS en el mes correspondiente.</w:t>
      </w:r>
    </w:p>
    <w:p w:rsidR="0075327E" w:rsidRPr="00394866" w:rsidRDefault="0075327E" w:rsidP="00B80352">
      <w:pPr>
        <w:pStyle w:val="Textoindependiente"/>
        <w:rPr>
          <w:rFonts w:cs="Times New Roman"/>
          <w:b/>
        </w:rPr>
      </w:pPr>
    </w:p>
    <w:p w:rsidR="0075327E" w:rsidRDefault="0075327E" w:rsidP="00B80352">
      <w:pPr>
        <w:pStyle w:val="Textoindependiente"/>
        <w:rPr>
          <w:snapToGrid w:val="0"/>
        </w:rPr>
      </w:pPr>
      <w:r>
        <w:rPr>
          <w:b/>
          <w:snapToGrid w:val="0"/>
        </w:rPr>
        <w:t xml:space="preserve">3.1.2 </w:t>
      </w:r>
      <w:r w:rsidR="00D54639">
        <w:rPr>
          <w:b/>
          <w:snapToGrid w:val="0"/>
        </w:rPr>
        <w:t>Artículos 32 y 43 del TOCAF</w:t>
      </w:r>
    </w:p>
    <w:p w:rsidR="0075327E" w:rsidRDefault="0075327E" w:rsidP="00B80352">
      <w:pPr>
        <w:pStyle w:val="Textoindependiente"/>
        <w:rPr>
          <w:snapToGrid w:val="0"/>
        </w:rPr>
      </w:pPr>
      <w:r>
        <w:rPr>
          <w:snapToGrid w:val="0"/>
        </w:rPr>
        <w:t xml:space="preserve">Se aplicó el procedimiento de compra de acuerdo al monto en las </w:t>
      </w:r>
      <w:r w:rsidRPr="00650335">
        <w:rPr>
          <w:snapToGrid w:val="0"/>
        </w:rPr>
        <w:t xml:space="preserve">adquisiciones de </w:t>
      </w:r>
      <w:r>
        <w:rPr>
          <w:snapToGrid w:val="0"/>
        </w:rPr>
        <w:t xml:space="preserve">los </w:t>
      </w:r>
      <w:r w:rsidRPr="00650335">
        <w:rPr>
          <w:snapToGrid w:val="0"/>
        </w:rPr>
        <w:t>artículos y materiales con destino a donaciones</w:t>
      </w:r>
      <w:r>
        <w:rPr>
          <w:snapToGrid w:val="0"/>
        </w:rPr>
        <w:t>.</w:t>
      </w:r>
    </w:p>
    <w:p w:rsidR="0075327E" w:rsidRDefault="0075327E" w:rsidP="00B80352">
      <w:pPr>
        <w:pStyle w:val="Textoindependiente"/>
        <w:rPr>
          <w:rFonts w:cs="Times New Roman"/>
          <w:b/>
        </w:rPr>
      </w:pPr>
    </w:p>
    <w:p w:rsidR="0075327E" w:rsidRPr="00723493" w:rsidRDefault="0075327E" w:rsidP="00B80352">
      <w:pPr>
        <w:pStyle w:val="Textoindependiente"/>
        <w:rPr>
          <w:rFonts w:cs="Times New Roman"/>
          <w:b/>
        </w:rPr>
      </w:pPr>
      <w:r>
        <w:rPr>
          <w:rFonts w:cs="Times New Roman"/>
          <w:b/>
        </w:rPr>
        <w:t>3.1.3</w:t>
      </w:r>
      <w:r w:rsidRPr="00723493">
        <w:rPr>
          <w:rFonts w:cs="Times New Roman"/>
          <w:b/>
        </w:rPr>
        <w:t xml:space="preserve">  Articulo 12 numeral 3) de la ley 19.272</w:t>
      </w:r>
    </w:p>
    <w:p w:rsidR="0075327E" w:rsidRDefault="0075327E" w:rsidP="00B80352">
      <w:pPr>
        <w:pStyle w:val="Textoindependiente"/>
        <w:rPr>
          <w:rFonts w:cs="Times New Roman"/>
        </w:rPr>
      </w:pPr>
      <w:r>
        <w:rPr>
          <w:rFonts w:cs="Times New Roman"/>
        </w:rPr>
        <w:t>La Intendencia instrumentó las medidas para que los gastos de funcionamiento y de inversiones del Municipio de San Gregorio de Polanco se ajus</w:t>
      </w:r>
      <w:r w:rsidR="00D54639">
        <w:rPr>
          <w:rFonts w:cs="Times New Roman"/>
        </w:rPr>
        <w:t>ten a la norma correspondiente.</w:t>
      </w:r>
    </w:p>
    <w:p w:rsidR="0075327E" w:rsidRDefault="0075327E">
      <w:pPr>
        <w:pStyle w:val="Ttulo2"/>
        <w:spacing w:after="0"/>
        <w:jc w:val="both"/>
      </w:pPr>
      <w:bookmarkStart w:id="53" w:name="_Toc86056474"/>
      <w:bookmarkStart w:id="54" w:name="_Toc147733825"/>
      <w:bookmarkStart w:id="55" w:name="_Toc176148654"/>
      <w:bookmarkStart w:id="56" w:name="_Toc176148753"/>
      <w:bookmarkStart w:id="57" w:name="_Toc176149137"/>
      <w:bookmarkStart w:id="58" w:name="_Toc177548589"/>
      <w:bookmarkStart w:id="59" w:name="_Toc312054400"/>
      <w:bookmarkStart w:id="60" w:name="_Toc402458011"/>
    </w:p>
    <w:p w:rsidR="0075327E" w:rsidRPr="009F570C" w:rsidRDefault="0075327E">
      <w:pPr>
        <w:pStyle w:val="Ttulo2"/>
        <w:spacing w:after="0"/>
        <w:jc w:val="both"/>
      </w:pPr>
      <w:r w:rsidRPr="009F570C">
        <w:t xml:space="preserve">3.2    Recomendaciones del </w:t>
      </w:r>
      <w:r>
        <w:t>E</w:t>
      </w:r>
      <w:r w:rsidRPr="009F570C">
        <w:t>jercicio anterior no cumplidas</w:t>
      </w:r>
      <w:bookmarkEnd w:id="53"/>
      <w:bookmarkEnd w:id="54"/>
      <w:bookmarkEnd w:id="55"/>
      <w:bookmarkEnd w:id="56"/>
      <w:bookmarkEnd w:id="57"/>
      <w:bookmarkEnd w:id="58"/>
      <w:bookmarkEnd w:id="59"/>
      <w:bookmarkEnd w:id="60"/>
    </w:p>
    <w:p w:rsidR="0075327E" w:rsidRPr="009F570C" w:rsidRDefault="0075327E" w:rsidP="00B80352">
      <w:pPr>
        <w:pStyle w:val="Ttulo2"/>
      </w:pPr>
      <w:bookmarkStart w:id="61" w:name="_Toc402458012"/>
      <w:bookmarkStart w:id="62" w:name="_Toc86056475"/>
      <w:bookmarkStart w:id="63" w:name="_Toc147733826"/>
      <w:bookmarkStart w:id="64" w:name="_Toc176148655"/>
      <w:bookmarkStart w:id="65" w:name="_Toc176148754"/>
      <w:bookmarkStart w:id="66" w:name="_Toc176149138"/>
      <w:bookmarkStart w:id="67" w:name="_Toc177548590"/>
      <w:bookmarkStart w:id="68" w:name="_Toc312054401"/>
      <w:r w:rsidRPr="009F570C">
        <w:t>3.2.1</w:t>
      </w:r>
      <w:r>
        <w:t xml:space="preserve"> </w:t>
      </w:r>
      <w:r w:rsidRPr="009F570C">
        <w:rPr>
          <w:bCs/>
        </w:rPr>
        <w:t>Artículo 297 numeral 1) de la Constitución de la República</w:t>
      </w:r>
      <w:bookmarkEnd w:id="61"/>
    </w:p>
    <w:p w:rsidR="0075327E" w:rsidRPr="00D54639" w:rsidRDefault="0075327E" w:rsidP="00D54639">
      <w:pPr>
        <w:spacing w:line="360" w:lineRule="auto"/>
        <w:jc w:val="both"/>
        <w:rPr>
          <w:rFonts w:ascii="Arial" w:hAnsi="Arial" w:cs="Arial"/>
          <w:bCs/>
          <w:sz w:val="24"/>
          <w:szCs w:val="24"/>
        </w:rPr>
      </w:pPr>
      <w:r w:rsidRPr="00D54639">
        <w:rPr>
          <w:rFonts w:ascii="Arial" w:hAnsi="Arial" w:cs="Arial"/>
          <w:sz w:val="24"/>
          <w:szCs w:val="24"/>
        </w:rPr>
        <w:t>Las bonificaciones otorgadas a contribuyentes buenos pagadores y por pago contado en el tributo de contribución inmobiliaria rural deberán ajustarse a lo establecido en la norma citada</w:t>
      </w:r>
      <w:r w:rsidRPr="00D54639">
        <w:rPr>
          <w:rFonts w:ascii="Arial" w:hAnsi="Arial" w:cs="Arial"/>
          <w:bCs/>
          <w:sz w:val="24"/>
          <w:szCs w:val="24"/>
        </w:rPr>
        <w:t>.</w:t>
      </w:r>
    </w:p>
    <w:p w:rsidR="0075327E" w:rsidRDefault="0075327E" w:rsidP="00B80352">
      <w:pPr>
        <w:pStyle w:val="Textoindependiente"/>
      </w:pPr>
      <w:bookmarkStart w:id="69" w:name="_Toc402458018"/>
      <w:r>
        <w:rPr>
          <w:b/>
        </w:rPr>
        <w:t xml:space="preserve">3.2.2 </w:t>
      </w:r>
      <w:r w:rsidRPr="00650335">
        <w:rPr>
          <w:b/>
        </w:rPr>
        <w:t>Artículo 211 literal b) y Ordenanza 72 del Tribunal</w:t>
      </w:r>
      <w:r>
        <w:rPr>
          <w:b/>
        </w:rPr>
        <w:t xml:space="preserve"> de Cuentas</w:t>
      </w:r>
    </w:p>
    <w:p w:rsidR="0075327E" w:rsidRDefault="0075327E" w:rsidP="00D54639">
      <w:pPr>
        <w:pStyle w:val="Ttulo2"/>
        <w:spacing w:after="0"/>
        <w:jc w:val="both"/>
        <w:rPr>
          <w:b w:val="0"/>
        </w:rPr>
      </w:pPr>
      <w:r w:rsidRPr="00660ED5">
        <w:rPr>
          <w:b w:val="0"/>
        </w:rPr>
        <w:t>Los pagos de las remuneraciones mensuales realizados a través del BROU deberán ser sometidos a la intervención del Contador Delegado del Tribunal de Cuentas en forma</w:t>
      </w:r>
      <w:r>
        <w:rPr>
          <w:b w:val="0"/>
        </w:rPr>
        <w:t xml:space="preserve"> previa al que el cheque ingrese</w:t>
      </w:r>
      <w:r w:rsidRPr="00660ED5">
        <w:rPr>
          <w:b w:val="0"/>
        </w:rPr>
        <w:t xml:space="preserve"> al banco, en todos los casos</w:t>
      </w:r>
      <w:r>
        <w:rPr>
          <w:b w:val="0"/>
        </w:rPr>
        <w:t>.</w:t>
      </w:r>
    </w:p>
    <w:p w:rsidR="0075327E" w:rsidRDefault="0075327E" w:rsidP="00B80352">
      <w:pPr>
        <w:pStyle w:val="Textoindependiente"/>
        <w:rPr>
          <w:b/>
        </w:rPr>
      </w:pPr>
    </w:p>
    <w:p w:rsidR="00D54639" w:rsidRDefault="00D54639" w:rsidP="00B80352">
      <w:pPr>
        <w:pStyle w:val="Textoindependiente"/>
        <w:rPr>
          <w:b/>
        </w:rPr>
      </w:pPr>
    </w:p>
    <w:p w:rsidR="00D54639" w:rsidRDefault="00D54639" w:rsidP="00B80352">
      <w:pPr>
        <w:pStyle w:val="Textoindependiente"/>
        <w:rPr>
          <w:b/>
        </w:rPr>
      </w:pPr>
    </w:p>
    <w:p w:rsidR="0075327E" w:rsidRDefault="0075327E" w:rsidP="00B80352">
      <w:pPr>
        <w:pStyle w:val="Textoindependiente"/>
      </w:pPr>
      <w:r>
        <w:rPr>
          <w:b/>
        </w:rPr>
        <w:t xml:space="preserve">3.2.3 </w:t>
      </w:r>
      <w:r w:rsidR="00D54639">
        <w:rPr>
          <w:b/>
        </w:rPr>
        <w:t>Artículo 14 del TOCAF</w:t>
      </w:r>
    </w:p>
    <w:p w:rsidR="0075327E" w:rsidRDefault="0075327E" w:rsidP="00B80352">
      <w:pPr>
        <w:pStyle w:val="Textoindependiente"/>
      </w:pPr>
      <w:r>
        <w:t xml:space="preserve">Las autorizaciones por parte del ordenador competente de los </w:t>
      </w:r>
      <w:r w:rsidRPr="00650335">
        <w:t xml:space="preserve">arrendamientos de inmuebles </w:t>
      </w:r>
      <w:r>
        <w:t xml:space="preserve">deberán ser anteriores a la fecha de entrada en </w:t>
      </w:r>
      <w:r w:rsidR="00D54639">
        <w:t>vigencia de los contratos.</w:t>
      </w:r>
    </w:p>
    <w:p w:rsidR="0075327E" w:rsidRPr="00660ED5" w:rsidRDefault="0075327E" w:rsidP="00B80352">
      <w:pPr>
        <w:pStyle w:val="Textoindependiente"/>
      </w:pPr>
    </w:p>
    <w:p w:rsidR="0075327E" w:rsidRPr="009F570C" w:rsidRDefault="0075327E" w:rsidP="00B80352">
      <w:pPr>
        <w:pStyle w:val="Ttulo2"/>
      </w:pPr>
      <w:r w:rsidRPr="009F570C">
        <w:t>3.2.</w:t>
      </w:r>
      <w:r>
        <w:t>4</w:t>
      </w:r>
      <w:r w:rsidRPr="009F570C">
        <w:t xml:space="preserve"> </w:t>
      </w:r>
      <w:r>
        <w:t xml:space="preserve">Artículo </w:t>
      </w:r>
      <w:r w:rsidRPr="009F570C">
        <w:t>15 del TOCAF</w:t>
      </w:r>
      <w:bookmarkEnd w:id="69"/>
    </w:p>
    <w:p w:rsidR="0075327E" w:rsidRDefault="0075327E" w:rsidP="00D54639">
      <w:pPr>
        <w:pStyle w:val="Textoindependiente"/>
      </w:pPr>
      <w:r w:rsidRPr="009F570C">
        <w:t>A efectos de no comprometer gastos cuando no existe crédito presupuestal disponible, en oportunidad de realizar la imputación previa de los mismos y, en caso de verificar la no existencia de disponibilidad suficiente, e</w:t>
      </w:r>
      <w:r>
        <w:t>s</w:t>
      </w:r>
      <w:r w:rsidRPr="009F570C">
        <w:t xml:space="preserve"> conveniente recurrir al mecanismo de la trasposición de objetos, aplicando las normas presupuestales de la  Intendencia vigentes en la materia. Si bien dicho mecanismo ha sido utilizado, la aplicación del m</w:t>
      </w:r>
      <w:r w:rsidR="00D54639">
        <w:t>ismo ha resultado insuficiente.</w:t>
      </w:r>
    </w:p>
    <w:p w:rsidR="0075327E" w:rsidRDefault="0075327E" w:rsidP="00B80352">
      <w:pPr>
        <w:pStyle w:val="Textoindependiente"/>
      </w:pPr>
    </w:p>
    <w:p w:rsidR="0075327E" w:rsidRPr="009F570C" w:rsidRDefault="0075327E" w:rsidP="00B80352">
      <w:pPr>
        <w:pStyle w:val="Ttulo2"/>
      </w:pPr>
      <w:bookmarkStart w:id="70" w:name="_Toc402458015"/>
      <w:r w:rsidRPr="009F570C">
        <w:t>3.2.</w:t>
      </w:r>
      <w:r>
        <w:t>5</w:t>
      </w:r>
      <w:r w:rsidRPr="009F570C">
        <w:t xml:space="preserve"> </w:t>
      </w:r>
      <w:r w:rsidRPr="009F570C">
        <w:rPr>
          <w:rFonts w:cs="Arial"/>
        </w:rPr>
        <w:t>Artículo</w:t>
      </w:r>
      <w:r>
        <w:rPr>
          <w:rFonts w:cs="Arial"/>
        </w:rPr>
        <w:t>s</w:t>
      </w:r>
      <w:r w:rsidRPr="009F570C">
        <w:rPr>
          <w:rFonts w:cs="Arial"/>
        </w:rPr>
        <w:t xml:space="preserve"> 33 </w:t>
      </w:r>
      <w:r>
        <w:rPr>
          <w:rFonts w:cs="Arial"/>
        </w:rPr>
        <w:t>y</w:t>
      </w:r>
      <w:r w:rsidRPr="009F570C">
        <w:rPr>
          <w:rFonts w:cs="Arial"/>
        </w:rPr>
        <w:t xml:space="preserve"> 43 del TOCAF</w:t>
      </w:r>
      <w:bookmarkEnd w:id="70"/>
    </w:p>
    <w:p w:rsidR="0075327E" w:rsidRPr="00D54639" w:rsidRDefault="0075327E" w:rsidP="00B80352">
      <w:pPr>
        <w:spacing w:line="360" w:lineRule="auto"/>
        <w:jc w:val="both"/>
        <w:rPr>
          <w:rFonts w:ascii="Arial" w:hAnsi="Arial" w:cs="Arial"/>
          <w:sz w:val="24"/>
          <w:szCs w:val="24"/>
        </w:rPr>
      </w:pPr>
      <w:r w:rsidRPr="00D54639">
        <w:rPr>
          <w:rFonts w:ascii="Arial" w:hAnsi="Arial" w:cs="Arial"/>
          <w:sz w:val="24"/>
          <w:szCs w:val="24"/>
        </w:rPr>
        <w:t>La Intendencia deberá planificar sus compras y los requerimientos de servicios, de forma de contratar por grupo de artículos o servicios, teniendo en cuenta el procedimiento de contratación que corresponda de acuerdo a lo establecido en la citada norma, de forma de facilitar la presentación del mayor número de oferentes. Sin perjuicio de lo dispuesto precedentemente, los Ordenadores, bajo su responsabilidad, podrán fraccionar las compras dejando expresa constancia de su fundamento y de su conveniencia para el servicio, tal como lo dispone la mencionada norma.</w:t>
      </w:r>
    </w:p>
    <w:p w:rsidR="0075327E" w:rsidRPr="009F05E1" w:rsidRDefault="0075327E" w:rsidP="00B80352">
      <w:pPr>
        <w:pStyle w:val="Textoindependiente"/>
        <w:rPr>
          <w:b/>
        </w:rPr>
      </w:pPr>
      <w:r>
        <w:rPr>
          <w:b/>
        </w:rPr>
        <w:t>3.2.6</w:t>
      </w:r>
      <w:r w:rsidRPr="00095870">
        <w:rPr>
          <w:b/>
        </w:rPr>
        <w:t xml:space="preserve"> Artículo</w:t>
      </w:r>
      <w:r>
        <w:rPr>
          <w:b/>
        </w:rPr>
        <w:t>s</w:t>
      </w:r>
      <w:r w:rsidRPr="00095870">
        <w:rPr>
          <w:b/>
        </w:rPr>
        <w:t xml:space="preserve"> </w:t>
      </w:r>
      <w:r>
        <w:rPr>
          <w:b/>
        </w:rPr>
        <w:t xml:space="preserve">84 y </w:t>
      </w:r>
      <w:r w:rsidRPr="00095870">
        <w:rPr>
          <w:b/>
        </w:rPr>
        <w:t>97 del TOCAF</w:t>
      </w:r>
    </w:p>
    <w:p w:rsidR="0075327E" w:rsidRDefault="0075327E" w:rsidP="00B80352">
      <w:pPr>
        <w:pStyle w:val="Textoindependiente"/>
      </w:pPr>
      <w:r>
        <w:t>La Intendencia deberá mantener un inventario actualizado y valorado de sus bienes muebles e inmuebles y un sistema donde se registren las existencias y movimientos de bienes.</w:t>
      </w:r>
    </w:p>
    <w:p w:rsidR="0075327E" w:rsidRPr="008C5818" w:rsidRDefault="0075327E" w:rsidP="00B80352">
      <w:pPr>
        <w:spacing w:line="360" w:lineRule="auto"/>
        <w:jc w:val="both"/>
        <w:rPr>
          <w:color w:val="FF0000"/>
        </w:rPr>
      </w:pPr>
    </w:p>
    <w:p w:rsidR="0075327E" w:rsidRPr="009F570C" w:rsidRDefault="0075327E" w:rsidP="00B80352">
      <w:pPr>
        <w:pStyle w:val="Ttulo2"/>
      </w:pPr>
      <w:bookmarkStart w:id="71" w:name="_Toc78875340"/>
      <w:bookmarkStart w:id="72" w:name="_Toc79842186"/>
      <w:bookmarkStart w:id="73" w:name="_Toc86056479"/>
      <w:bookmarkStart w:id="74" w:name="_Toc147733830"/>
      <w:bookmarkStart w:id="75" w:name="_Toc176148659"/>
      <w:bookmarkStart w:id="76" w:name="_Toc176148758"/>
      <w:bookmarkStart w:id="77" w:name="_Toc176149142"/>
      <w:bookmarkStart w:id="78" w:name="_Toc177548598"/>
      <w:bookmarkStart w:id="79" w:name="_Toc312054405"/>
      <w:bookmarkStart w:id="80" w:name="_Toc402458017"/>
      <w:r w:rsidRPr="009F570C">
        <w:t>3.2</w:t>
      </w:r>
      <w:r>
        <w:t>.7</w:t>
      </w:r>
      <w:r w:rsidRPr="009F570C">
        <w:rPr>
          <w:b w:val="0"/>
        </w:rPr>
        <w:t xml:space="preserve"> </w:t>
      </w:r>
      <w:r w:rsidRPr="009F570C">
        <w:t>Artículo 94 del TO</w:t>
      </w:r>
      <w:r>
        <w:t>C</w:t>
      </w:r>
      <w:r w:rsidRPr="009F570C">
        <w:t>AF y la Ordenanza Nº 81 de este Tribunal</w:t>
      </w:r>
      <w:bookmarkEnd w:id="71"/>
      <w:bookmarkEnd w:id="72"/>
      <w:bookmarkEnd w:id="73"/>
      <w:bookmarkEnd w:id="74"/>
      <w:bookmarkEnd w:id="75"/>
      <w:bookmarkEnd w:id="76"/>
      <w:bookmarkEnd w:id="77"/>
      <w:bookmarkEnd w:id="78"/>
      <w:bookmarkEnd w:id="79"/>
      <w:bookmarkEnd w:id="80"/>
    </w:p>
    <w:p w:rsidR="0075327E" w:rsidRDefault="0075327E" w:rsidP="00B80352">
      <w:pPr>
        <w:pStyle w:val="Textoindependiente"/>
      </w:pPr>
      <w:r w:rsidRPr="009F570C">
        <w:t xml:space="preserve">La Intendencia deberá implementar el sistema de contabilidad patrimonial, conforme </w:t>
      </w:r>
      <w:r>
        <w:t>con</w:t>
      </w:r>
      <w:r w:rsidRPr="009F570C">
        <w:t xml:space="preserve"> lo establecido </w:t>
      </w:r>
      <w:r>
        <w:t>en las citadas normas.</w:t>
      </w:r>
    </w:p>
    <w:p w:rsidR="0075327E" w:rsidRDefault="0075327E" w:rsidP="00B80352">
      <w:pPr>
        <w:pStyle w:val="Textoindependiente"/>
      </w:pPr>
    </w:p>
    <w:p w:rsidR="0075327E" w:rsidRDefault="0075327E" w:rsidP="00A25B77">
      <w:pPr>
        <w:pStyle w:val="Ttulo2"/>
        <w:jc w:val="both"/>
      </w:pPr>
      <w:r w:rsidRPr="00D83F68">
        <w:t>3.2.</w:t>
      </w:r>
      <w:r>
        <w:t>8</w:t>
      </w:r>
      <w:r w:rsidRPr="00D83F68">
        <w:t xml:space="preserve"> </w:t>
      </w:r>
      <w:r>
        <w:t xml:space="preserve">Artículo 128 del TOCAF y </w:t>
      </w:r>
      <w:r w:rsidRPr="000911B1">
        <w:t>Resolución de</w:t>
      </w:r>
      <w:r>
        <w:t xml:space="preserve"> fecha</w:t>
      </w:r>
      <w:r w:rsidRPr="000911B1">
        <w:t xml:space="preserve"> 28/01/</w:t>
      </w:r>
      <w:r>
        <w:t>20</w:t>
      </w:r>
      <w:r w:rsidRPr="000911B1">
        <w:t>04</w:t>
      </w:r>
      <w:r>
        <w:t xml:space="preserve"> </w:t>
      </w:r>
      <w:r w:rsidRPr="000911B1">
        <w:t>del Tribunal</w:t>
      </w:r>
      <w:r>
        <w:t xml:space="preserve"> de Cuentas</w:t>
      </w:r>
    </w:p>
    <w:p w:rsidR="0075327E" w:rsidRPr="00D54639" w:rsidRDefault="0075327E" w:rsidP="00B80352">
      <w:pPr>
        <w:spacing w:line="360" w:lineRule="auto"/>
        <w:jc w:val="both"/>
        <w:rPr>
          <w:rFonts w:ascii="Arial" w:hAnsi="Arial" w:cs="Arial"/>
          <w:sz w:val="24"/>
          <w:szCs w:val="24"/>
        </w:rPr>
      </w:pPr>
      <w:r w:rsidRPr="00D54639">
        <w:rPr>
          <w:rFonts w:ascii="Arial" w:hAnsi="Arial" w:cs="Arial"/>
          <w:bCs/>
          <w:sz w:val="24"/>
          <w:szCs w:val="24"/>
        </w:rPr>
        <w:t xml:space="preserve">Se deberá especificar en el </w:t>
      </w:r>
      <w:r w:rsidRPr="00D54639">
        <w:rPr>
          <w:rFonts w:ascii="Arial" w:hAnsi="Arial" w:cs="Arial"/>
          <w:sz w:val="24"/>
          <w:szCs w:val="24"/>
        </w:rPr>
        <w:t>Estado demostrativo del grado de cumplimiento de los objetivos y metas</w:t>
      </w:r>
      <w:r w:rsidRPr="00D54639">
        <w:rPr>
          <w:rFonts w:ascii="Arial" w:hAnsi="Arial" w:cs="Arial"/>
          <w:bCs/>
          <w:sz w:val="24"/>
          <w:szCs w:val="24"/>
        </w:rPr>
        <w:t xml:space="preserve">, por </w:t>
      </w:r>
      <w:r w:rsidRPr="00D54639">
        <w:rPr>
          <w:rFonts w:ascii="Arial" w:hAnsi="Arial" w:cs="Arial"/>
          <w:sz w:val="24"/>
          <w:szCs w:val="24"/>
        </w:rPr>
        <w:t>cada programa, las metas previstas y alcanzadas y su costo resultante.</w:t>
      </w:r>
    </w:p>
    <w:p w:rsidR="0075327E" w:rsidRPr="0031123D" w:rsidRDefault="0075327E" w:rsidP="00B80352">
      <w:pPr>
        <w:pStyle w:val="Textoindependiente"/>
        <w:rPr>
          <w:b/>
          <w:color w:val="FF0000"/>
        </w:rPr>
      </w:pPr>
    </w:p>
    <w:bookmarkEnd w:id="62"/>
    <w:bookmarkEnd w:id="63"/>
    <w:bookmarkEnd w:id="64"/>
    <w:bookmarkEnd w:id="65"/>
    <w:bookmarkEnd w:id="66"/>
    <w:bookmarkEnd w:id="67"/>
    <w:bookmarkEnd w:id="68"/>
    <w:p w:rsidR="0075327E" w:rsidRPr="00D54639" w:rsidRDefault="0075327E" w:rsidP="00B80352">
      <w:pPr>
        <w:spacing w:line="360" w:lineRule="auto"/>
        <w:jc w:val="both"/>
        <w:rPr>
          <w:rFonts w:ascii="Arial" w:hAnsi="Arial" w:cs="Arial"/>
          <w:b/>
          <w:bCs/>
          <w:sz w:val="24"/>
          <w:szCs w:val="24"/>
        </w:rPr>
      </w:pPr>
      <w:r w:rsidRPr="00D54639">
        <w:rPr>
          <w:rFonts w:ascii="Arial" w:hAnsi="Arial" w:cs="Arial"/>
          <w:b/>
          <w:bCs/>
          <w:sz w:val="24"/>
          <w:szCs w:val="24"/>
        </w:rPr>
        <w:t>3.2.9 Cláusula 4</w:t>
      </w:r>
      <w:r w:rsidRPr="00D54639">
        <w:rPr>
          <w:rFonts w:ascii="Arial" w:hAnsi="Arial" w:cs="Arial"/>
          <w:b/>
          <w:bCs/>
          <w:sz w:val="24"/>
          <w:szCs w:val="24"/>
          <w:vertAlign w:val="superscript"/>
        </w:rPr>
        <w:t>a</w:t>
      </w:r>
      <w:r w:rsidRPr="00D54639">
        <w:rPr>
          <w:rFonts w:ascii="Arial" w:hAnsi="Arial" w:cs="Arial"/>
          <w:b/>
          <w:bCs/>
          <w:sz w:val="24"/>
          <w:szCs w:val="24"/>
        </w:rPr>
        <w:t xml:space="preserve"> de C</w:t>
      </w:r>
      <w:r w:rsidR="00D54639">
        <w:rPr>
          <w:rFonts w:ascii="Arial" w:hAnsi="Arial" w:cs="Arial"/>
          <w:b/>
          <w:bCs/>
          <w:sz w:val="24"/>
          <w:szCs w:val="24"/>
        </w:rPr>
        <w:t>onvenios suscritos con deudores</w:t>
      </w:r>
    </w:p>
    <w:p w:rsidR="0075327E" w:rsidRPr="00D54639" w:rsidRDefault="0075327E" w:rsidP="00B80352">
      <w:pPr>
        <w:spacing w:line="360" w:lineRule="auto"/>
        <w:jc w:val="both"/>
        <w:rPr>
          <w:rFonts w:ascii="Arial" w:hAnsi="Arial" w:cs="Arial"/>
          <w:sz w:val="24"/>
          <w:szCs w:val="24"/>
        </w:rPr>
      </w:pPr>
      <w:r w:rsidRPr="00D54639">
        <w:rPr>
          <w:rFonts w:ascii="Arial" w:hAnsi="Arial" w:cs="Arial"/>
          <w:sz w:val="24"/>
          <w:szCs w:val="24"/>
        </w:rPr>
        <w:t>La Intendencia deberá cumplir con los términos de caducidad  dispuestos en las diferentes modalidades  de convenios que se realizan con sus deudores. La anulación de los Convenios por incumplimiento y el cómputo de las cuotas abonadas como pagos a cuenta de los tributos originalmente adeudados, no se efectiviza en forma regular ni sistemática.</w:t>
      </w:r>
    </w:p>
    <w:p w:rsidR="0075327E" w:rsidRPr="000911B1" w:rsidRDefault="0075327E" w:rsidP="00B80352">
      <w:pPr>
        <w:pStyle w:val="Ttulo2"/>
      </w:pPr>
      <w:bookmarkStart w:id="81" w:name="_Toc177548597"/>
      <w:bookmarkStart w:id="82" w:name="_Toc312054404"/>
      <w:bookmarkStart w:id="83" w:name="_Toc402458019"/>
      <w:bookmarkStart w:id="84" w:name="_Toc79842179"/>
      <w:bookmarkStart w:id="85" w:name="_Toc86056477"/>
      <w:bookmarkStart w:id="86" w:name="_Toc147733828"/>
      <w:bookmarkStart w:id="87" w:name="_Toc176148657"/>
      <w:bookmarkStart w:id="88" w:name="_Toc176148756"/>
      <w:bookmarkStart w:id="89" w:name="_Toc176149140"/>
      <w:r w:rsidRPr="000911B1">
        <w:t>3.2.</w:t>
      </w:r>
      <w:r>
        <w:t>10</w:t>
      </w:r>
      <w:r w:rsidRPr="000911B1">
        <w:t xml:space="preserve"> Resolución de</w:t>
      </w:r>
      <w:r>
        <w:t xml:space="preserve"> fecha</w:t>
      </w:r>
      <w:r w:rsidRPr="000911B1">
        <w:t xml:space="preserve"> 28/01/</w:t>
      </w:r>
      <w:r>
        <w:t>20</w:t>
      </w:r>
      <w:r w:rsidRPr="000911B1">
        <w:t>04</w:t>
      </w:r>
      <w:r>
        <w:t xml:space="preserve"> </w:t>
      </w:r>
      <w:r w:rsidRPr="000911B1">
        <w:t>del Tribunal</w:t>
      </w:r>
      <w:r>
        <w:t xml:space="preserve"> de Cuentas</w:t>
      </w:r>
      <w:bookmarkEnd w:id="81"/>
      <w:bookmarkEnd w:id="82"/>
      <w:bookmarkEnd w:id="83"/>
    </w:p>
    <w:p w:rsidR="0075327E" w:rsidRPr="000911B1" w:rsidRDefault="0075327E" w:rsidP="0075327E">
      <w:pPr>
        <w:pStyle w:val="Textoindependiente"/>
        <w:numPr>
          <w:ilvl w:val="0"/>
          <w:numId w:val="7"/>
        </w:numPr>
      </w:pPr>
      <w:r>
        <w:t xml:space="preserve">En el Estado Nº 4 de ejecución del prepuesto en relación a los recursos se deben exponer </w:t>
      </w:r>
      <w:r w:rsidRPr="000911B1">
        <w:t xml:space="preserve">todos los </w:t>
      </w:r>
      <w:proofErr w:type="spellStart"/>
      <w:r>
        <w:t>ingresoso</w:t>
      </w:r>
      <w:proofErr w:type="spellEnd"/>
      <w:r>
        <w:t xml:space="preserve"> de origen nacional.</w:t>
      </w:r>
    </w:p>
    <w:p w:rsidR="0075327E" w:rsidRPr="000911B1" w:rsidRDefault="0075327E" w:rsidP="0075327E">
      <w:pPr>
        <w:pStyle w:val="Textoindependiente"/>
        <w:numPr>
          <w:ilvl w:val="0"/>
          <w:numId w:val="7"/>
        </w:numPr>
      </w:pPr>
      <w:r w:rsidRPr="008A43EE">
        <w:t>En el Estado Nº</w:t>
      </w:r>
      <w:r>
        <w:t xml:space="preserve"> </w:t>
      </w:r>
      <w:r w:rsidRPr="008A43EE">
        <w:t>8 de la evolución de las obligaciones presupuestales impagas se deben exponer, en forma separada, las deudas presupuestales de las extrapresupuestales y presentar</w:t>
      </w:r>
      <w:r w:rsidRPr="000911B1">
        <w:t xml:space="preserve"> el listado de acreedores con los saldos discriminados por </w:t>
      </w:r>
      <w:r>
        <w:t>E</w:t>
      </w:r>
      <w:r w:rsidRPr="000911B1">
        <w:t>jercicio.</w:t>
      </w:r>
    </w:p>
    <w:p w:rsidR="0075327E" w:rsidRPr="00E36013" w:rsidRDefault="0075327E" w:rsidP="0075327E">
      <w:pPr>
        <w:pStyle w:val="Textoindependiente"/>
        <w:numPr>
          <w:ilvl w:val="0"/>
          <w:numId w:val="7"/>
        </w:numPr>
      </w:pPr>
      <w:r w:rsidRPr="00E36013">
        <w:t xml:space="preserve">En el cuadro de evolución de indisponibles se deberán incluir partidas que corresponden a retenciones efectuadas por la Intendencia </w:t>
      </w:r>
      <w:r w:rsidR="00D54639">
        <w:t>por cuenta y orden de terceros.</w:t>
      </w:r>
    </w:p>
    <w:p w:rsidR="0075327E" w:rsidRPr="000911B1" w:rsidRDefault="0075327E" w:rsidP="00B80352">
      <w:pPr>
        <w:pStyle w:val="Ttulo2"/>
      </w:pPr>
      <w:bookmarkStart w:id="90" w:name="_Toc177548603"/>
      <w:bookmarkStart w:id="91" w:name="_Toc312054408"/>
      <w:bookmarkStart w:id="92" w:name="_Toc402458020"/>
      <w:r w:rsidRPr="000911B1">
        <w:t>3.2.</w:t>
      </w:r>
      <w:r>
        <w:t>11</w:t>
      </w:r>
      <w:r w:rsidRPr="000911B1">
        <w:t xml:space="preserve"> Artículo 298 de la Constitución</w:t>
      </w:r>
      <w:bookmarkEnd w:id="90"/>
      <w:bookmarkEnd w:id="91"/>
      <w:r w:rsidRPr="000911B1">
        <w:t xml:space="preserve"> de la República</w:t>
      </w:r>
      <w:bookmarkEnd w:id="92"/>
    </w:p>
    <w:p w:rsidR="0075327E" w:rsidRPr="000911B1" w:rsidRDefault="0075327E" w:rsidP="00B80352">
      <w:pPr>
        <w:pStyle w:val="Textoindependiente"/>
      </w:pPr>
      <w:r w:rsidRPr="000911B1">
        <w:t>Los ingresos correspondientes al mencionado concepto, así como la utilización de estos fondos deben exponerse en la contabilidad presupuestal como ingresos de origen nacional y como gastos en los Programas respectivos.</w:t>
      </w:r>
    </w:p>
    <w:p w:rsidR="0075327E" w:rsidRPr="008C5818" w:rsidRDefault="0075327E">
      <w:pPr>
        <w:pStyle w:val="Textoindependiente"/>
        <w:rPr>
          <w:color w:val="FF0000"/>
        </w:rPr>
      </w:pPr>
    </w:p>
    <w:p w:rsidR="0075327E" w:rsidRPr="000911B1" w:rsidRDefault="0075327E" w:rsidP="00B80352">
      <w:pPr>
        <w:pStyle w:val="Ttulo2"/>
      </w:pPr>
      <w:bookmarkStart w:id="93" w:name="_Toc402458022"/>
      <w:r w:rsidRPr="000911B1">
        <w:t>3.2.1</w:t>
      </w:r>
      <w:r>
        <w:t>2</w:t>
      </w:r>
      <w:r w:rsidRPr="000911B1">
        <w:t xml:space="preserve"> Contabilización de sueldos, aportes al BPS y retenciones de IRPF</w:t>
      </w:r>
      <w:bookmarkEnd w:id="93"/>
    </w:p>
    <w:p w:rsidR="0075327E" w:rsidRPr="000911B1" w:rsidRDefault="0075327E">
      <w:pPr>
        <w:pStyle w:val="Textoindependiente"/>
      </w:pPr>
      <w:r w:rsidRPr="000911B1">
        <w:t>Se deberán ajustar los saldos de los aportes</w:t>
      </w:r>
      <w:r>
        <w:t xml:space="preserve"> patronales</w:t>
      </w:r>
      <w:r w:rsidRPr="000911B1">
        <w:t xml:space="preserve"> al BPS y retenciones de IRPF correspondientes a diciembre de cada año con los importes declarados y abonados  a dicho </w:t>
      </w:r>
      <w:r>
        <w:t>O</w:t>
      </w:r>
      <w:r w:rsidRPr="000911B1">
        <w:t>rganismo.</w:t>
      </w:r>
    </w:p>
    <w:p w:rsidR="0075327E" w:rsidRPr="008C5818" w:rsidRDefault="0075327E">
      <w:pPr>
        <w:pStyle w:val="Textoindependiente"/>
        <w:rPr>
          <w:color w:val="FF0000"/>
        </w:rPr>
      </w:pPr>
    </w:p>
    <w:p w:rsidR="0075327E" w:rsidRPr="00E05A42" w:rsidRDefault="0075327E" w:rsidP="00D54639">
      <w:pPr>
        <w:pStyle w:val="Ttulo2"/>
        <w:jc w:val="both"/>
      </w:pPr>
      <w:bookmarkStart w:id="94" w:name="_Toc177548604"/>
      <w:bookmarkStart w:id="95" w:name="_Toc312054409"/>
      <w:bookmarkStart w:id="96" w:name="_Toc402458023"/>
      <w:r w:rsidRPr="00E05A42">
        <w:t>3.2.1</w:t>
      </w:r>
      <w:r>
        <w:t>3</w:t>
      </w:r>
      <w:r w:rsidRPr="00E05A42">
        <w:t xml:space="preserve"> Debilidades de control interno respecto a recursos o manejo de fondos</w:t>
      </w:r>
      <w:bookmarkEnd w:id="94"/>
      <w:bookmarkEnd w:id="95"/>
      <w:bookmarkEnd w:id="96"/>
    </w:p>
    <w:p w:rsidR="0075327E" w:rsidRPr="00E05A42" w:rsidRDefault="0075327E">
      <w:pPr>
        <w:pStyle w:val="Textoindependiente"/>
      </w:pPr>
      <w:r w:rsidRPr="00E05A42">
        <w:t>La Intendencia ha cumplido parcialmente con esta recomendación ya que, si bien ha elaborado manuales de procedimiento de Gestión de Cobranza, Administración de Inmuebles, Administración de Automotores y Semovientes aún no se ha constatado su implementación. Además, es aconsejable contar con un Digesto actualizado de las normas relativas a tributos que se recaudan así como de las facilidades de pag</w:t>
      </w:r>
      <w:r w:rsidR="00D54639">
        <w:t>o otorgadas por la Intendencia.</w:t>
      </w:r>
    </w:p>
    <w:p w:rsidR="0075327E" w:rsidRPr="00E05A42" w:rsidRDefault="0075327E" w:rsidP="00B80352">
      <w:pPr>
        <w:pStyle w:val="Textoindependiente"/>
      </w:pPr>
      <w:r w:rsidRPr="00E05A42">
        <w:t xml:space="preserve">Asimismo, deberá </w:t>
      </w:r>
      <w:r>
        <w:t xml:space="preserve">implementar los controles </w:t>
      </w:r>
      <w:r w:rsidRPr="00E05A42">
        <w:t>establecido</w:t>
      </w:r>
      <w:r>
        <w:t>s</w:t>
      </w:r>
      <w:r w:rsidRPr="00E05A42">
        <w:t xml:space="preserve"> en el punto 2.1 del Informe a la Administración respecto al control interno de recursos y manejo de fondos.</w:t>
      </w:r>
    </w:p>
    <w:p w:rsidR="0075327E" w:rsidRDefault="0075327E" w:rsidP="00B80352">
      <w:pPr>
        <w:pStyle w:val="Ttulo2"/>
        <w:spacing w:after="0"/>
      </w:pPr>
      <w:bookmarkStart w:id="97" w:name="_Toc177548605"/>
      <w:bookmarkStart w:id="98" w:name="_Toc312054410"/>
      <w:bookmarkStart w:id="99" w:name="_Toc402458024"/>
    </w:p>
    <w:p w:rsidR="0075327E" w:rsidRPr="00E05A42" w:rsidRDefault="0075327E" w:rsidP="00B80352">
      <w:pPr>
        <w:pStyle w:val="Ttulo2"/>
        <w:spacing w:after="0"/>
      </w:pPr>
      <w:r w:rsidRPr="00E05A42">
        <w:t>3.2.1</w:t>
      </w:r>
      <w:r>
        <w:t>4</w:t>
      </w:r>
      <w:r w:rsidRPr="00E05A42">
        <w:t xml:space="preserve"> Debilidades</w:t>
      </w:r>
      <w:r w:rsidRPr="00E05A42">
        <w:rPr>
          <w:kern w:val="0"/>
        </w:rPr>
        <w:t xml:space="preserve"> de control interno r</w:t>
      </w:r>
      <w:r w:rsidRPr="00E05A42">
        <w:t>especto a retribuciones personales</w:t>
      </w:r>
      <w:bookmarkEnd w:id="97"/>
      <w:bookmarkEnd w:id="98"/>
      <w:bookmarkEnd w:id="99"/>
    </w:p>
    <w:p w:rsidR="0075327E" w:rsidRPr="00D54639" w:rsidRDefault="0075327E">
      <w:pPr>
        <w:spacing w:line="360" w:lineRule="auto"/>
        <w:jc w:val="both"/>
        <w:rPr>
          <w:rFonts w:ascii="Arial" w:hAnsi="Arial" w:cs="Arial"/>
          <w:sz w:val="24"/>
          <w:szCs w:val="24"/>
        </w:rPr>
      </w:pPr>
      <w:r w:rsidRPr="00D54639">
        <w:rPr>
          <w:rFonts w:ascii="Arial" w:hAnsi="Arial" w:cs="Arial"/>
          <w:sz w:val="24"/>
          <w:szCs w:val="24"/>
        </w:rPr>
        <w:t>Las liquidaciones de sueldos no deben realizarse por la Oficina de Personal. Asimismo, deberá realizarse un contralor externo y periódico de dichas liquidaciones por C</w:t>
      </w:r>
      <w:r w:rsidR="00D54639">
        <w:rPr>
          <w:rFonts w:ascii="Arial" w:hAnsi="Arial" w:cs="Arial"/>
          <w:sz w:val="24"/>
          <w:szCs w:val="24"/>
        </w:rPr>
        <w:t>ontaduría o Auditoría Interna.</w:t>
      </w:r>
    </w:p>
    <w:p w:rsidR="0075327E" w:rsidRDefault="0075327E" w:rsidP="00B80352">
      <w:pPr>
        <w:pStyle w:val="Textoindependiente"/>
      </w:pPr>
      <w:r w:rsidRPr="009F570C">
        <w:t>La Intendencia debe implementar un sistema que permita conocer en forma fehaciente el núm</w:t>
      </w:r>
      <w:r w:rsidR="00A25B77">
        <w:t>ero de horas extras realizadas.</w:t>
      </w:r>
    </w:p>
    <w:p w:rsidR="0075327E" w:rsidRDefault="0075327E" w:rsidP="00B80352">
      <w:pPr>
        <w:pStyle w:val="Textoindependiente"/>
      </w:pPr>
    </w:p>
    <w:p w:rsidR="0075327E" w:rsidRPr="00E05A42" w:rsidRDefault="0075327E" w:rsidP="00B80352">
      <w:pPr>
        <w:pStyle w:val="Ttulo2"/>
      </w:pPr>
      <w:bookmarkStart w:id="100" w:name="_Toc312054414"/>
      <w:bookmarkStart w:id="101" w:name="_Toc402458026"/>
      <w:bookmarkEnd w:id="84"/>
      <w:bookmarkEnd w:id="85"/>
      <w:bookmarkEnd w:id="86"/>
      <w:bookmarkEnd w:id="87"/>
      <w:bookmarkEnd w:id="88"/>
      <w:bookmarkEnd w:id="89"/>
      <w:r w:rsidRPr="00E05A42">
        <w:t>3.</w:t>
      </w:r>
      <w:r>
        <w:t>2</w:t>
      </w:r>
      <w:r w:rsidRPr="00E05A42">
        <w:t>.1</w:t>
      </w:r>
      <w:r>
        <w:t>5</w:t>
      </w:r>
      <w:r w:rsidRPr="00E05A42">
        <w:t xml:space="preserve"> Controles de acceso al SIGEM</w:t>
      </w:r>
      <w:bookmarkEnd w:id="100"/>
      <w:bookmarkEnd w:id="101"/>
    </w:p>
    <w:p w:rsidR="0075327E" w:rsidRPr="00E05A42" w:rsidRDefault="0075327E">
      <w:pPr>
        <w:pStyle w:val="Continuarlista3"/>
        <w:spacing w:after="0" w:line="360" w:lineRule="auto"/>
        <w:ind w:left="0"/>
        <w:jc w:val="both"/>
      </w:pPr>
      <w:r w:rsidRPr="00E05A42">
        <w:rPr>
          <w:rFonts w:cs="Arial"/>
        </w:rPr>
        <w:t>Los permisos de usuarios para el acceso al SIGEM deben actualizarse en función de las altas y bajas de funcionarios o personal contratado. Asimismo, en caso de realizarse traslados de funcionarios a otras reparticiones, dichos</w:t>
      </w:r>
      <w:r w:rsidRPr="008C5818">
        <w:rPr>
          <w:rFonts w:cs="Arial"/>
          <w:color w:val="FF0000"/>
        </w:rPr>
        <w:t xml:space="preserve"> </w:t>
      </w:r>
      <w:r w:rsidRPr="00E05A42">
        <w:rPr>
          <w:rFonts w:cs="Arial"/>
        </w:rPr>
        <w:t>permisos deberán modificarse según corresponda.</w:t>
      </w:r>
    </w:p>
    <w:p w:rsidR="0075327E" w:rsidRPr="008C5818" w:rsidRDefault="0075327E">
      <w:pPr>
        <w:pStyle w:val="Textoindependiente"/>
        <w:rPr>
          <w:color w:val="FF0000"/>
        </w:rPr>
      </w:pPr>
      <w:bookmarkStart w:id="102" w:name="_Toc309652968"/>
      <w:bookmarkStart w:id="103" w:name="_Toc312054415"/>
      <w:bookmarkStart w:id="104" w:name="_Toc147733843"/>
    </w:p>
    <w:bookmarkEnd w:id="102"/>
    <w:bookmarkEnd w:id="103"/>
    <w:p w:rsidR="0075327E" w:rsidRPr="000F318A" w:rsidRDefault="0075327E" w:rsidP="00B80352">
      <w:pPr>
        <w:pStyle w:val="Textoindependiente"/>
        <w:rPr>
          <w:b/>
        </w:rPr>
      </w:pPr>
      <w:r w:rsidRPr="000F318A">
        <w:rPr>
          <w:b/>
        </w:rPr>
        <w:t>3.</w:t>
      </w:r>
      <w:r w:rsidR="00D54639">
        <w:rPr>
          <w:b/>
        </w:rPr>
        <w:t>3 Recomendaciones del Ejercicio</w:t>
      </w:r>
    </w:p>
    <w:p w:rsidR="0075327E" w:rsidRDefault="0075327E" w:rsidP="00B80352">
      <w:pPr>
        <w:pStyle w:val="Textoindependiente"/>
      </w:pPr>
      <w:r>
        <w:t>Se reiteran las recomendaciones indicadas en el Apartado 3.2, y se agregan la siguiente:</w:t>
      </w:r>
    </w:p>
    <w:p w:rsidR="0075327E" w:rsidRDefault="0075327E" w:rsidP="00B80352">
      <w:pPr>
        <w:pStyle w:val="Ttulo2"/>
      </w:pPr>
      <w:bookmarkStart w:id="105" w:name="_Toc177548596"/>
      <w:bookmarkStart w:id="106" w:name="_Toc312054403"/>
      <w:bookmarkStart w:id="107" w:name="_Toc402458016"/>
    </w:p>
    <w:p w:rsidR="0075327E" w:rsidRDefault="0075327E" w:rsidP="00B80352">
      <w:pPr>
        <w:pStyle w:val="Ttulo2"/>
      </w:pPr>
      <w:r w:rsidRPr="009F570C">
        <w:t>3.</w:t>
      </w:r>
      <w:r>
        <w:t>3</w:t>
      </w:r>
      <w:r w:rsidRPr="009F570C">
        <w:t>.</w:t>
      </w:r>
      <w:r>
        <w:t>1</w:t>
      </w:r>
      <w:r w:rsidRPr="009F570C">
        <w:t xml:space="preserve"> </w:t>
      </w:r>
      <w:r w:rsidRPr="00723493">
        <w:rPr>
          <w:bCs/>
        </w:rPr>
        <w:t>Convenio No. 30 de la O.I.T.</w:t>
      </w:r>
    </w:p>
    <w:p w:rsidR="0075327E" w:rsidRPr="00723493" w:rsidRDefault="0075327E" w:rsidP="00B80352">
      <w:pPr>
        <w:pStyle w:val="Ttulo2"/>
        <w:rPr>
          <w:b w:val="0"/>
        </w:rPr>
      </w:pPr>
      <w:r w:rsidRPr="00723493">
        <w:rPr>
          <w:b w:val="0"/>
        </w:rPr>
        <w:t>La cantidad de horas extras</w:t>
      </w:r>
      <w:bookmarkEnd w:id="105"/>
      <w:bookmarkEnd w:id="106"/>
      <w:bookmarkEnd w:id="107"/>
      <w:r w:rsidRPr="00723493">
        <w:rPr>
          <w:b w:val="0"/>
        </w:rPr>
        <w:t xml:space="preserve"> realizadas no podrá superar lo establecido en esta norma.</w:t>
      </w:r>
    </w:p>
    <w:p w:rsidR="0075327E" w:rsidRPr="00D54639" w:rsidRDefault="0075327E" w:rsidP="00B80352">
      <w:pPr>
        <w:spacing w:line="360" w:lineRule="auto"/>
        <w:jc w:val="both"/>
        <w:rPr>
          <w:rFonts w:ascii="Arial" w:hAnsi="Arial" w:cs="Arial"/>
          <w:b/>
          <w:sz w:val="24"/>
          <w:szCs w:val="24"/>
        </w:rPr>
      </w:pPr>
      <w:r w:rsidRPr="00D54639">
        <w:rPr>
          <w:rFonts w:ascii="Arial" w:hAnsi="Arial" w:cs="Arial"/>
          <w:b/>
          <w:sz w:val="24"/>
          <w:szCs w:val="24"/>
        </w:rPr>
        <w:t>3.3.2 Saldos de acreedores</w:t>
      </w:r>
    </w:p>
    <w:p w:rsidR="0075327E" w:rsidRPr="00D54639" w:rsidRDefault="0075327E" w:rsidP="00B80352">
      <w:pPr>
        <w:spacing w:line="360" w:lineRule="auto"/>
        <w:jc w:val="both"/>
        <w:rPr>
          <w:rFonts w:ascii="Arial" w:hAnsi="Arial" w:cs="Arial"/>
          <w:sz w:val="24"/>
          <w:szCs w:val="24"/>
        </w:rPr>
      </w:pPr>
      <w:r w:rsidRPr="00D54639">
        <w:rPr>
          <w:rFonts w:ascii="Arial" w:hAnsi="Arial" w:cs="Arial"/>
          <w:sz w:val="24"/>
          <w:szCs w:val="24"/>
        </w:rPr>
        <w:t>La Intendencia deberá conciliar los saldos de sus proveedores y deudas con organismos públicos, con sus respectivos estados de cuentas.</w:t>
      </w:r>
    </w:p>
    <w:bookmarkEnd w:id="104"/>
    <w:p w:rsidR="0075327E" w:rsidRDefault="0075327E" w:rsidP="00B80352">
      <w:pPr>
        <w:pStyle w:val="Textoindependiente"/>
        <w:jc w:val="right"/>
      </w:pPr>
      <w:r>
        <w:t>Monte</w:t>
      </w:r>
      <w:r w:rsidR="00D54639">
        <w:t>video, 23 de noviembre de 2016</w:t>
      </w:r>
    </w:p>
    <w:p w:rsidR="0075327E" w:rsidRDefault="0075327E" w:rsidP="00B80352">
      <w:pPr>
        <w:pStyle w:val="Textoindependiente"/>
      </w:pPr>
    </w:p>
    <w:p w:rsidR="0075327E" w:rsidRPr="0075327E" w:rsidRDefault="0075327E" w:rsidP="0075327E">
      <w:pPr>
        <w:pStyle w:val="Textoindependiente"/>
        <w:rPr>
          <w:color w:val="FF0000"/>
          <w:lang w:val="es-ES_tradnl"/>
        </w:rPr>
      </w:pPr>
      <w:proofErr w:type="spellStart"/>
      <w:proofErr w:type="gramStart"/>
      <w:r>
        <w:t>ag</w:t>
      </w:r>
      <w:proofErr w:type="spellEnd"/>
      <w:proofErr w:type="gramEnd"/>
    </w:p>
    <w:sectPr w:rsidR="0075327E" w:rsidRPr="0075327E" w:rsidSect="005E7D80">
      <w:pgSz w:w="11906" w:h="16838" w:code="9"/>
      <w:pgMar w:top="3289"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8377C"/>
    <w:multiLevelType w:val="hybridMultilevel"/>
    <w:tmpl w:val="C40A30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9DE37D5"/>
    <w:multiLevelType w:val="hybridMultilevel"/>
    <w:tmpl w:val="5380C508"/>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
    <w:nsid w:val="2E912D47"/>
    <w:multiLevelType w:val="hybridMultilevel"/>
    <w:tmpl w:val="4D72715A"/>
    <w:lvl w:ilvl="0" w:tplc="38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F464076"/>
    <w:multiLevelType w:val="singleLevel"/>
    <w:tmpl w:val="AEF0E456"/>
    <w:lvl w:ilvl="0">
      <w:start w:val="1"/>
      <w:numFmt w:val="decimal"/>
      <w:lvlText w:val="%1)"/>
      <w:lvlJc w:val="left"/>
      <w:pPr>
        <w:tabs>
          <w:tab w:val="num" w:pos="360"/>
        </w:tabs>
        <w:ind w:left="360" w:hanging="360"/>
      </w:pPr>
      <w:rPr>
        <w:rFonts w:ascii="Arial" w:eastAsia="Calibri" w:hAnsi="Arial" w:cs="Arial"/>
        <w:b/>
      </w:rPr>
    </w:lvl>
  </w:abstractNum>
  <w:abstractNum w:abstractNumId="4">
    <w:nsid w:val="363248FF"/>
    <w:multiLevelType w:val="hybridMultilevel"/>
    <w:tmpl w:val="49C20C0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nsid w:val="3BB12E26"/>
    <w:multiLevelType w:val="hybridMultilevel"/>
    <w:tmpl w:val="335EF5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644209B2"/>
    <w:multiLevelType w:val="hybridMultilevel"/>
    <w:tmpl w:val="86B0956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306"/>
    <w:rsid w:val="0008578D"/>
    <w:rsid w:val="001D1364"/>
    <w:rsid w:val="004D6606"/>
    <w:rsid w:val="005363EB"/>
    <w:rsid w:val="00541957"/>
    <w:rsid w:val="005E7D80"/>
    <w:rsid w:val="007162B9"/>
    <w:rsid w:val="0075327E"/>
    <w:rsid w:val="008B2007"/>
    <w:rsid w:val="009B7070"/>
    <w:rsid w:val="00A25B77"/>
    <w:rsid w:val="00A94486"/>
    <w:rsid w:val="00AD38A9"/>
    <w:rsid w:val="00B80352"/>
    <w:rsid w:val="00C55E63"/>
    <w:rsid w:val="00CF2F7D"/>
    <w:rsid w:val="00D54639"/>
    <w:rsid w:val="00E12FC0"/>
    <w:rsid w:val="00E21306"/>
    <w:rsid w:val="00F7643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List Continue 3"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306"/>
    <w:pPr>
      <w:suppressAutoHyphens/>
    </w:pPr>
    <w:rPr>
      <w:rFonts w:ascii="Calibri" w:eastAsia="Calibri" w:hAnsi="Calibri" w:cs="Calibri"/>
      <w:lang w:eastAsia="ar-SA"/>
    </w:rPr>
  </w:style>
  <w:style w:type="paragraph" w:styleId="Ttulo1">
    <w:name w:val="heading 1"/>
    <w:basedOn w:val="Normal"/>
    <w:next w:val="Normal"/>
    <w:link w:val="Ttulo1Car"/>
    <w:qFormat/>
    <w:rsid w:val="0075327E"/>
    <w:pPr>
      <w:keepNext/>
      <w:suppressAutoHyphens w:val="0"/>
      <w:spacing w:before="240" w:after="60" w:line="240" w:lineRule="auto"/>
      <w:outlineLvl w:val="0"/>
    </w:pPr>
    <w:rPr>
      <w:rFonts w:ascii="Arial" w:eastAsia="Times New Roman" w:hAnsi="Arial" w:cs="Arial"/>
      <w:b/>
      <w:bCs/>
      <w:kern w:val="32"/>
      <w:sz w:val="32"/>
      <w:szCs w:val="32"/>
      <w:lang w:val="es-ES" w:eastAsia="es-ES"/>
    </w:rPr>
  </w:style>
  <w:style w:type="paragraph" w:styleId="Ttulo2">
    <w:name w:val="heading 2"/>
    <w:basedOn w:val="Normal"/>
    <w:next w:val="Textoindependiente"/>
    <w:link w:val="Ttulo2Car"/>
    <w:qFormat/>
    <w:rsid w:val="0075327E"/>
    <w:pPr>
      <w:suppressAutoHyphens w:val="0"/>
      <w:spacing w:after="170" w:line="360" w:lineRule="auto"/>
      <w:outlineLvl w:val="1"/>
    </w:pPr>
    <w:rPr>
      <w:rFonts w:ascii="Arial" w:eastAsia="Times New Roman" w:hAnsi="Arial" w:cs="Times New Roman"/>
      <w:b/>
      <w:kern w:val="18"/>
      <w:sz w:val="24"/>
      <w:szCs w:val="20"/>
      <w:lang w:val="es-ES" w:eastAsia="es-ES"/>
    </w:rPr>
  </w:style>
  <w:style w:type="paragraph" w:styleId="Ttulo3">
    <w:name w:val="heading 3"/>
    <w:basedOn w:val="Normal"/>
    <w:next w:val="Normal"/>
    <w:link w:val="Ttulo3Car"/>
    <w:uiPriority w:val="9"/>
    <w:semiHidden/>
    <w:unhideWhenUsed/>
    <w:qFormat/>
    <w:rsid w:val="0075327E"/>
    <w:pPr>
      <w:keepNext/>
      <w:suppressAutoHyphens w:val="0"/>
      <w:spacing w:before="240" w:after="60" w:line="240" w:lineRule="auto"/>
      <w:outlineLvl w:val="2"/>
    </w:pPr>
    <w:rPr>
      <w:rFonts w:ascii="Cambria" w:eastAsia="Times New Roman" w:hAnsi="Cambria" w:cs="Times New Roman"/>
      <w:b/>
      <w:bCs/>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12FC0"/>
    <w:pPr>
      <w:ind w:left="720"/>
      <w:contextualSpacing/>
    </w:pPr>
  </w:style>
  <w:style w:type="paragraph" w:styleId="Textodeglobo">
    <w:name w:val="Balloon Text"/>
    <w:basedOn w:val="Normal"/>
    <w:link w:val="TextodegloboCar"/>
    <w:uiPriority w:val="99"/>
    <w:semiHidden/>
    <w:unhideWhenUsed/>
    <w:rsid w:val="005E7D8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E7D80"/>
    <w:rPr>
      <w:rFonts w:ascii="Tahoma" w:eastAsia="Calibri" w:hAnsi="Tahoma" w:cs="Tahoma"/>
      <w:sz w:val="16"/>
      <w:szCs w:val="16"/>
      <w:lang w:eastAsia="ar-SA"/>
    </w:rPr>
  </w:style>
  <w:style w:type="character" w:customStyle="1" w:styleId="Ttulo1Car">
    <w:name w:val="Título 1 Car"/>
    <w:basedOn w:val="Fuentedeprrafopredeter"/>
    <w:link w:val="Ttulo1"/>
    <w:rsid w:val="0075327E"/>
    <w:rPr>
      <w:rFonts w:ascii="Arial" w:eastAsia="Times New Roman" w:hAnsi="Arial" w:cs="Arial"/>
      <w:b/>
      <w:bCs/>
      <w:kern w:val="32"/>
      <w:sz w:val="32"/>
      <w:szCs w:val="32"/>
      <w:lang w:val="es-ES" w:eastAsia="es-ES"/>
    </w:rPr>
  </w:style>
  <w:style w:type="paragraph" w:styleId="Textoindependiente">
    <w:name w:val="Body Text"/>
    <w:basedOn w:val="Normal"/>
    <w:link w:val="TextoindependienteCar"/>
    <w:semiHidden/>
    <w:rsid w:val="0075327E"/>
    <w:pPr>
      <w:suppressAutoHyphens w:val="0"/>
      <w:spacing w:after="0" w:line="360" w:lineRule="auto"/>
      <w:jc w:val="both"/>
    </w:pPr>
    <w:rPr>
      <w:rFonts w:ascii="Arial" w:eastAsia="Times New Roman" w:hAnsi="Arial" w:cs="Arial"/>
      <w:sz w:val="24"/>
      <w:szCs w:val="24"/>
      <w:lang w:val="es-ES" w:eastAsia="es-ES"/>
    </w:rPr>
  </w:style>
  <w:style w:type="character" w:customStyle="1" w:styleId="TextoindependienteCar">
    <w:name w:val="Texto independiente Car"/>
    <w:basedOn w:val="Fuentedeprrafopredeter"/>
    <w:link w:val="Textoindependiente"/>
    <w:semiHidden/>
    <w:rsid w:val="0075327E"/>
    <w:rPr>
      <w:rFonts w:ascii="Arial" w:eastAsia="Times New Roman" w:hAnsi="Arial" w:cs="Arial"/>
      <w:sz w:val="24"/>
      <w:szCs w:val="24"/>
      <w:lang w:val="es-ES" w:eastAsia="es-ES"/>
    </w:rPr>
  </w:style>
  <w:style w:type="paragraph" w:styleId="Subttulo">
    <w:name w:val="Subtitle"/>
    <w:basedOn w:val="Normal"/>
    <w:link w:val="SubttuloCar"/>
    <w:qFormat/>
    <w:rsid w:val="0075327E"/>
    <w:pPr>
      <w:suppressAutoHyphens w:val="0"/>
      <w:spacing w:after="0" w:line="360" w:lineRule="auto"/>
      <w:jc w:val="both"/>
    </w:pPr>
    <w:rPr>
      <w:rFonts w:ascii="Bookman Old Style" w:eastAsia="Times New Roman" w:hAnsi="Bookman Old Style" w:cs="Times New Roman"/>
      <w:b/>
      <w:kern w:val="18"/>
      <w:sz w:val="24"/>
      <w:szCs w:val="20"/>
      <w:lang w:val="es-ES" w:eastAsia="es-ES"/>
    </w:rPr>
  </w:style>
  <w:style w:type="character" w:customStyle="1" w:styleId="SubttuloCar">
    <w:name w:val="Subtítulo Car"/>
    <w:basedOn w:val="Fuentedeprrafopredeter"/>
    <w:link w:val="Subttulo"/>
    <w:rsid w:val="0075327E"/>
    <w:rPr>
      <w:rFonts w:ascii="Bookman Old Style" w:eastAsia="Times New Roman" w:hAnsi="Bookman Old Style" w:cs="Times New Roman"/>
      <w:b/>
      <w:kern w:val="18"/>
      <w:sz w:val="24"/>
      <w:szCs w:val="20"/>
      <w:lang w:val="es-ES" w:eastAsia="es-ES"/>
    </w:rPr>
  </w:style>
  <w:style w:type="paragraph" w:styleId="Textoindependiente2">
    <w:name w:val="Body Text 2"/>
    <w:basedOn w:val="Normal"/>
    <w:link w:val="Textoindependiente2Car"/>
    <w:semiHidden/>
    <w:rsid w:val="0075327E"/>
    <w:pPr>
      <w:spacing w:after="0" w:line="360" w:lineRule="auto"/>
      <w:jc w:val="both"/>
    </w:pPr>
    <w:rPr>
      <w:rFonts w:ascii="Arial" w:eastAsia="Times New Roman" w:hAnsi="Arial" w:cs="Times New Roman"/>
      <w:b/>
      <w:bCs/>
      <w:spacing w:val="-3"/>
      <w:sz w:val="24"/>
      <w:szCs w:val="24"/>
      <w:lang w:val="es-ES_tradnl" w:eastAsia="es-ES"/>
    </w:rPr>
  </w:style>
  <w:style w:type="character" w:customStyle="1" w:styleId="Textoindependiente2Car">
    <w:name w:val="Texto independiente 2 Car"/>
    <w:basedOn w:val="Fuentedeprrafopredeter"/>
    <w:link w:val="Textoindependiente2"/>
    <w:semiHidden/>
    <w:rsid w:val="0075327E"/>
    <w:rPr>
      <w:rFonts w:ascii="Arial" w:eastAsia="Times New Roman" w:hAnsi="Arial" w:cs="Times New Roman"/>
      <w:b/>
      <w:bCs/>
      <w:spacing w:val="-3"/>
      <w:sz w:val="24"/>
      <w:szCs w:val="24"/>
      <w:lang w:val="es-ES_tradnl" w:eastAsia="es-ES"/>
    </w:rPr>
  </w:style>
  <w:style w:type="character" w:customStyle="1" w:styleId="Ttulo2Car">
    <w:name w:val="Título 2 Car"/>
    <w:basedOn w:val="Fuentedeprrafopredeter"/>
    <w:link w:val="Ttulo2"/>
    <w:rsid w:val="0075327E"/>
    <w:rPr>
      <w:rFonts w:ascii="Arial" w:eastAsia="Times New Roman" w:hAnsi="Arial" w:cs="Times New Roman"/>
      <w:b/>
      <w:kern w:val="18"/>
      <w:sz w:val="24"/>
      <w:szCs w:val="20"/>
      <w:lang w:val="es-ES" w:eastAsia="es-ES"/>
    </w:rPr>
  </w:style>
  <w:style w:type="character" w:customStyle="1" w:styleId="Ttulo3Car">
    <w:name w:val="Título 3 Car"/>
    <w:basedOn w:val="Fuentedeprrafopredeter"/>
    <w:link w:val="Ttulo3"/>
    <w:uiPriority w:val="9"/>
    <w:semiHidden/>
    <w:rsid w:val="0075327E"/>
    <w:rPr>
      <w:rFonts w:ascii="Cambria" w:eastAsia="Times New Roman" w:hAnsi="Cambria" w:cs="Times New Roman"/>
      <w:b/>
      <w:bCs/>
      <w:sz w:val="26"/>
      <w:szCs w:val="26"/>
      <w:lang w:val="es-ES" w:eastAsia="es-ES"/>
    </w:rPr>
  </w:style>
  <w:style w:type="paragraph" w:styleId="Continuarlista3">
    <w:name w:val="List Continue 3"/>
    <w:basedOn w:val="Normal"/>
    <w:semiHidden/>
    <w:rsid w:val="0075327E"/>
    <w:pPr>
      <w:suppressAutoHyphens w:val="0"/>
      <w:spacing w:after="120" w:line="240" w:lineRule="auto"/>
      <w:ind w:left="849"/>
    </w:pPr>
    <w:rPr>
      <w:rFonts w:ascii="Arial" w:eastAsia="Times New Roman" w:hAnsi="Arial" w:cs="Times New Roman"/>
      <w:sz w:val="24"/>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List Continue 3"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306"/>
    <w:pPr>
      <w:suppressAutoHyphens/>
    </w:pPr>
    <w:rPr>
      <w:rFonts w:ascii="Calibri" w:eastAsia="Calibri" w:hAnsi="Calibri" w:cs="Calibri"/>
      <w:lang w:eastAsia="ar-SA"/>
    </w:rPr>
  </w:style>
  <w:style w:type="paragraph" w:styleId="Ttulo1">
    <w:name w:val="heading 1"/>
    <w:basedOn w:val="Normal"/>
    <w:next w:val="Normal"/>
    <w:link w:val="Ttulo1Car"/>
    <w:qFormat/>
    <w:rsid w:val="0075327E"/>
    <w:pPr>
      <w:keepNext/>
      <w:suppressAutoHyphens w:val="0"/>
      <w:spacing w:before="240" w:after="60" w:line="240" w:lineRule="auto"/>
      <w:outlineLvl w:val="0"/>
    </w:pPr>
    <w:rPr>
      <w:rFonts w:ascii="Arial" w:eastAsia="Times New Roman" w:hAnsi="Arial" w:cs="Arial"/>
      <w:b/>
      <w:bCs/>
      <w:kern w:val="32"/>
      <w:sz w:val="32"/>
      <w:szCs w:val="32"/>
      <w:lang w:val="es-ES" w:eastAsia="es-ES"/>
    </w:rPr>
  </w:style>
  <w:style w:type="paragraph" w:styleId="Ttulo2">
    <w:name w:val="heading 2"/>
    <w:basedOn w:val="Normal"/>
    <w:next w:val="Textoindependiente"/>
    <w:link w:val="Ttulo2Car"/>
    <w:qFormat/>
    <w:rsid w:val="0075327E"/>
    <w:pPr>
      <w:suppressAutoHyphens w:val="0"/>
      <w:spacing w:after="170" w:line="360" w:lineRule="auto"/>
      <w:outlineLvl w:val="1"/>
    </w:pPr>
    <w:rPr>
      <w:rFonts w:ascii="Arial" w:eastAsia="Times New Roman" w:hAnsi="Arial" w:cs="Times New Roman"/>
      <w:b/>
      <w:kern w:val="18"/>
      <w:sz w:val="24"/>
      <w:szCs w:val="20"/>
      <w:lang w:val="es-ES" w:eastAsia="es-ES"/>
    </w:rPr>
  </w:style>
  <w:style w:type="paragraph" w:styleId="Ttulo3">
    <w:name w:val="heading 3"/>
    <w:basedOn w:val="Normal"/>
    <w:next w:val="Normal"/>
    <w:link w:val="Ttulo3Car"/>
    <w:uiPriority w:val="9"/>
    <w:semiHidden/>
    <w:unhideWhenUsed/>
    <w:qFormat/>
    <w:rsid w:val="0075327E"/>
    <w:pPr>
      <w:keepNext/>
      <w:suppressAutoHyphens w:val="0"/>
      <w:spacing w:before="240" w:after="60" w:line="240" w:lineRule="auto"/>
      <w:outlineLvl w:val="2"/>
    </w:pPr>
    <w:rPr>
      <w:rFonts w:ascii="Cambria" w:eastAsia="Times New Roman" w:hAnsi="Cambria" w:cs="Times New Roman"/>
      <w:b/>
      <w:bCs/>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12FC0"/>
    <w:pPr>
      <w:ind w:left="720"/>
      <w:contextualSpacing/>
    </w:pPr>
  </w:style>
  <w:style w:type="paragraph" w:styleId="Textodeglobo">
    <w:name w:val="Balloon Text"/>
    <w:basedOn w:val="Normal"/>
    <w:link w:val="TextodegloboCar"/>
    <w:uiPriority w:val="99"/>
    <w:semiHidden/>
    <w:unhideWhenUsed/>
    <w:rsid w:val="005E7D8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E7D80"/>
    <w:rPr>
      <w:rFonts w:ascii="Tahoma" w:eastAsia="Calibri" w:hAnsi="Tahoma" w:cs="Tahoma"/>
      <w:sz w:val="16"/>
      <w:szCs w:val="16"/>
      <w:lang w:eastAsia="ar-SA"/>
    </w:rPr>
  </w:style>
  <w:style w:type="character" w:customStyle="1" w:styleId="Ttulo1Car">
    <w:name w:val="Título 1 Car"/>
    <w:basedOn w:val="Fuentedeprrafopredeter"/>
    <w:link w:val="Ttulo1"/>
    <w:rsid w:val="0075327E"/>
    <w:rPr>
      <w:rFonts w:ascii="Arial" w:eastAsia="Times New Roman" w:hAnsi="Arial" w:cs="Arial"/>
      <w:b/>
      <w:bCs/>
      <w:kern w:val="32"/>
      <w:sz w:val="32"/>
      <w:szCs w:val="32"/>
      <w:lang w:val="es-ES" w:eastAsia="es-ES"/>
    </w:rPr>
  </w:style>
  <w:style w:type="paragraph" w:styleId="Textoindependiente">
    <w:name w:val="Body Text"/>
    <w:basedOn w:val="Normal"/>
    <w:link w:val="TextoindependienteCar"/>
    <w:semiHidden/>
    <w:rsid w:val="0075327E"/>
    <w:pPr>
      <w:suppressAutoHyphens w:val="0"/>
      <w:spacing w:after="0" w:line="360" w:lineRule="auto"/>
      <w:jc w:val="both"/>
    </w:pPr>
    <w:rPr>
      <w:rFonts w:ascii="Arial" w:eastAsia="Times New Roman" w:hAnsi="Arial" w:cs="Arial"/>
      <w:sz w:val="24"/>
      <w:szCs w:val="24"/>
      <w:lang w:val="es-ES" w:eastAsia="es-ES"/>
    </w:rPr>
  </w:style>
  <w:style w:type="character" w:customStyle="1" w:styleId="TextoindependienteCar">
    <w:name w:val="Texto independiente Car"/>
    <w:basedOn w:val="Fuentedeprrafopredeter"/>
    <w:link w:val="Textoindependiente"/>
    <w:semiHidden/>
    <w:rsid w:val="0075327E"/>
    <w:rPr>
      <w:rFonts w:ascii="Arial" w:eastAsia="Times New Roman" w:hAnsi="Arial" w:cs="Arial"/>
      <w:sz w:val="24"/>
      <w:szCs w:val="24"/>
      <w:lang w:val="es-ES" w:eastAsia="es-ES"/>
    </w:rPr>
  </w:style>
  <w:style w:type="paragraph" w:styleId="Subttulo">
    <w:name w:val="Subtitle"/>
    <w:basedOn w:val="Normal"/>
    <w:link w:val="SubttuloCar"/>
    <w:qFormat/>
    <w:rsid w:val="0075327E"/>
    <w:pPr>
      <w:suppressAutoHyphens w:val="0"/>
      <w:spacing w:after="0" w:line="360" w:lineRule="auto"/>
      <w:jc w:val="both"/>
    </w:pPr>
    <w:rPr>
      <w:rFonts w:ascii="Bookman Old Style" w:eastAsia="Times New Roman" w:hAnsi="Bookman Old Style" w:cs="Times New Roman"/>
      <w:b/>
      <w:kern w:val="18"/>
      <w:sz w:val="24"/>
      <w:szCs w:val="20"/>
      <w:lang w:val="es-ES" w:eastAsia="es-ES"/>
    </w:rPr>
  </w:style>
  <w:style w:type="character" w:customStyle="1" w:styleId="SubttuloCar">
    <w:name w:val="Subtítulo Car"/>
    <w:basedOn w:val="Fuentedeprrafopredeter"/>
    <w:link w:val="Subttulo"/>
    <w:rsid w:val="0075327E"/>
    <w:rPr>
      <w:rFonts w:ascii="Bookman Old Style" w:eastAsia="Times New Roman" w:hAnsi="Bookman Old Style" w:cs="Times New Roman"/>
      <w:b/>
      <w:kern w:val="18"/>
      <w:sz w:val="24"/>
      <w:szCs w:val="20"/>
      <w:lang w:val="es-ES" w:eastAsia="es-ES"/>
    </w:rPr>
  </w:style>
  <w:style w:type="paragraph" w:styleId="Textoindependiente2">
    <w:name w:val="Body Text 2"/>
    <w:basedOn w:val="Normal"/>
    <w:link w:val="Textoindependiente2Car"/>
    <w:semiHidden/>
    <w:rsid w:val="0075327E"/>
    <w:pPr>
      <w:spacing w:after="0" w:line="360" w:lineRule="auto"/>
      <w:jc w:val="both"/>
    </w:pPr>
    <w:rPr>
      <w:rFonts w:ascii="Arial" w:eastAsia="Times New Roman" w:hAnsi="Arial" w:cs="Times New Roman"/>
      <w:b/>
      <w:bCs/>
      <w:spacing w:val="-3"/>
      <w:sz w:val="24"/>
      <w:szCs w:val="24"/>
      <w:lang w:val="es-ES_tradnl" w:eastAsia="es-ES"/>
    </w:rPr>
  </w:style>
  <w:style w:type="character" w:customStyle="1" w:styleId="Textoindependiente2Car">
    <w:name w:val="Texto independiente 2 Car"/>
    <w:basedOn w:val="Fuentedeprrafopredeter"/>
    <w:link w:val="Textoindependiente2"/>
    <w:semiHidden/>
    <w:rsid w:val="0075327E"/>
    <w:rPr>
      <w:rFonts w:ascii="Arial" w:eastAsia="Times New Roman" w:hAnsi="Arial" w:cs="Times New Roman"/>
      <w:b/>
      <w:bCs/>
      <w:spacing w:val="-3"/>
      <w:sz w:val="24"/>
      <w:szCs w:val="24"/>
      <w:lang w:val="es-ES_tradnl" w:eastAsia="es-ES"/>
    </w:rPr>
  </w:style>
  <w:style w:type="character" w:customStyle="1" w:styleId="Ttulo2Car">
    <w:name w:val="Título 2 Car"/>
    <w:basedOn w:val="Fuentedeprrafopredeter"/>
    <w:link w:val="Ttulo2"/>
    <w:rsid w:val="0075327E"/>
    <w:rPr>
      <w:rFonts w:ascii="Arial" w:eastAsia="Times New Roman" w:hAnsi="Arial" w:cs="Times New Roman"/>
      <w:b/>
      <w:kern w:val="18"/>
      <w:sz w:val="24"/>
      <w:szCs w:val="20"/>
      <w:lang w:val="es-ES" w:eastAsia="es-ES"/>
    </w:rPr>
  </w:style>
  <w:style w:type="character" w:customStyle="1" w:styleId="Ttulo3Car">
    <w:name w:val="Título 3 Car"/>
    <w:basedOn w:val="Fuentedeprrafopredeter"/>
    <w:link w:val="Ttulo3"/>
    <w:uiPriority w:val="9"/>
    <w:semiHidden/>
    <w:rsid w:val="0075327E"/>
    <w:rPr>
      <w:rFonts w:ascii="Cambria" w:eastAsia="Times New Roman" w:hAnsi="Cambria" w:cs="Times New Roman"/>
      <w:b/>
      <w:bCs/>
      <w:sz w:val="26"/>
      <w:szCs w:val="26"/>
      <w:lang w:val="es-ES" w:eastAsia="es-ES"/>
    </w:rPr>
  </w:style>
  <w:style w:type="paragraph" w:styleId="Continuarlista3">
    <w:name w:val="List Continue 3"/>
    <w:basedOn w:val="Normal"/>
    <w:semiHidden/>
    <w:rsid w:val="0075327E"/>
    <w:pPr>
      <w:suppressAutoHyphens w:val="0"/>
      <w:spacing w:after="120" w:line="240" w:lineRule="auto"/>
      <w:ind w:left="849"/>
    </w:pPr>
    <w:rPr>
      <w:rFonts w:ascii="Arial" w:eastAsia="Times New Roman" w:hAnsi="Arial" w:cs="Times New Roman"/>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14</Pages>
  <Words>3060</Words>
  <Characters>16835</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Balseiro</dc:creator>
  <cp:lastModifiedBy> </cp:lastModifiedBy>
  <cp:revision>11</cp:revision>
  <cp:lastPrinted>2016-12-01T15:25:00Z</cp:lastPrinted>
  <dcterms:created xsi:type="dcterms:W3CDTF">2016-12-01T14:11:00Z</dcterms:created>
  <dcterms:modified xsi:type="dcterms:W3CDTF">2017-05-12T15:06:00Z</dcterms:modified>
</cp:coreProperties>
</file>