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004" w:rsidRPr="00786EEB" w:rsidRDefault="00E13004" w:rsidP="000B3466">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3825</w:t>
      </w:r>
      <w:r w:rsidRPr="00786EEB">
        <w:rPr>
          <w:rFonts w:cs="Arial"/>
          <w:b/>
          <w:sz w:val="28"/>
          <w:szCs w:val="28"/>
          <w:lang w:val="es-ES_tradnl"/>
        </w:rPr>
        <w:t>/16</w:t>
      </w:r>
    </w:p>
    <w:p w:rsidR="00E13004" w:rsidRDefault="00E13004" w:rsidP="000B3466">
      <w:pPr>
        <w:tabs>
          <w:tab w:val="center" w:pos="4253"/>
        </w:tabs>
        <w:suppressAutoHyphens/>
        <w:jc w:val="right"/>
        <w:rPr>
          <w:rFonts w:cs="Arial"/>
          <w:b/>
          <w:lang w:val="es-ES_tradnl"/>
        </w:rPr>
      </w:pPr>
    </w:p>
    <w:p w:rsidR="00E13004" w:rsidRPr="00762B34" w:rsidRDefault="00E13004">
      <w:pPr>
        <w:tabs>
          <w:tab w:val="center" w:pos="4253"/>
        </w:tabs>
        <w:suppressAutoHyphens/>
        <w:jc w:val="center"/>
        <w:rPr>
          <w:rFonts w:cs="Arial"/>
          <w:b/>
          <w:lang w:val="es-ES_tradnl"/>
        </w:rPr>
      </w:pPr>
      <w:r w:rsidRPr="00762B34">
        <w:rPr>
          <w:rFonts w:cs="Arial"/>
          <w:b/>
          <w:lang w:val="es-ES_tradnl"/>
        </w:rPr>
        <w:t>RESOLUCION ADOPTADA POR EL</w:t>
      </w:r>
    </w:p>
    <w:p w:rsidR="00E13004" w:rsidRPr="00762B34" w:rsidRDefault="00E13004">
      <w:pPr>
        <w:tabs>
          <w:tab w:val="left" w:pos="-720"/>
        </w:tabs>
        <w:suppressAutoHyphens/>
        <w:jc w:val="center"/>
        <w:rPr>
          <w:rFonts w:cs="Arial"/>
          <w:b/>
          <w:lang w:val="es-ES_tradnl"/>
        </w:rPr>
      </w:pPr>
    </w:p>
    <w:p w:rsidR="00E13004" w:rsidRPr="00762B34" w:rsidRDefault="00E13004">
      <w:pPr>
        <w:tabs>
          <w:tab w:val="center" w:pos="4253"/>
        </w:tabs>
        <w:suppressAutoHyphens/>
        <w:jc w:val="center"/>
        <w:rPr>
          <w:rFonts w:cs="Arial"/>
          <w:b/>
          <w:lang w:val="es-ES_tradnl"/>
        </w:rPr>
      </w:pPr>
      <w:r w:rsidRPr="00762B34">
        <w:rPr>
          <w:rFonts w:cs="Arial"/>
          <w:b/>
          <w:lang w:val="es-ES_tradnl"/>
        </w:rPr>
        <w:t>TRIBUNAL DE CUENTAS</w:t>
      </w:r>
    </w:p>
    <w:p w:rsidR="00E13004" w:rsidRPr="00762B34" w:rsidRDefault="00E13004">
      <w:pPr>
        <w:tabs>
          <w:tab w:val="left" w:pos="-720"/>
        </w:tabs>
        <w:suppressAutoHyphens/>
        <w:jc w:val="center"/>
        <w:rPr>
          <w:rFonts w:cs="Arial"/>
          <w:b/>
          <w:lang w:val="es-ES_tradnl"/>
        </w:rPr>
      </w:pPr>
    </w:p>
    <w:p w:rsidR="00E13004" w:rsidRPr="00762B34" w:rsidRDefault="00E13004">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3 DE NOVIEMBRE DE 2016</w:t>
      </w:r>
    </w:p>
    <w:p w:rsidR="00E13004" w:rsidRPr="00762B34" w:rsidRDefault="00E13004">
      <w:pPr>
        <w:tabs>
          <w:tab w:val="center" w:pos="4253"/>
        </w:tabs>
        <w:suppressAutoHyphens/>
        <w:jc w:val="center"/>
        <w:rPr>
          <w:rFonts w:cs="Arial"/>
          <w:b/>
          <w:lang w:val="es-ES_tradnl"/>
        </w:rPr>
      </w:pPr>
    </w:p>
    <w:p w:rsidR="00E13004" w:rsidRPr="00E13004" w:rsidRDefault="00E13004">
      <w:pPr>
        <w:tabs>
          <w:tab w:val="center" w:pos="4253"/>
        </w:tabs>
        <w:suppressAutoHyphens/>
        <w:jc w:val="center"/>
        <w:rPr>
          <w:rFonts w:cs="Arial"/>
          <w:b/>
          <w:lang w:val="es-AR"/>
        </w:rPr>
      </w:pPr>
      <w:r w:rsidRPr="00E13004">
        <w:rPr>
          <w:rFonts w:cs="Arial"/>
          <w:b/>
          <w:lang w:val="es-AR"/>
        </w:rPr>
        <w:t xml:space="preserve">(E. E. Nº 2016-17-1-0004659, </w:t>
      </w:r>
      <w:proofErr w:type="spellStart"/>
      <w:r w:rsidRPr="00E13004">
        <w:rPr>
          <w:rFonts w:cs="Arial"/>
          <w:b/>
          <w:lang w:val="es-AR"/>
        </w:rPr>
        <w:t>Ents</w:t>
      </w:r>
      <w:proofErr w:type="spellEnd"/>
      <w:r w:rsidRPr="00E13004">
        <w:rPr>
          <w:rFonts w:cs="Arial"/>
          <w:b/>
          <w:lang w:val="es-AR"/>
        </w:rPr>
        <w:t xml:space="preserve">. </w:t>
      </w:r>
      <w:r>
        <w:rPr>
          <w:rFonts w:cs="Arial"/>
          <w:b/>
          <w:lang w:val="es-AR"/>
        </w:rPr>
        <w:t>3565/16 y 4249/16</w:t>
      </w:r>
      <w:r w:rsidRPr="00E13004">
        <w:rPr>
          <w:rFonts w:cs="Arial"/>
          <w:b/>
          <w:lang w:val="es-AR"/>
        </w:rPr>
        <w:t>)</w:t>
      </w:r>
    </w:p>
    <w:p w:rsidR="00E13004" w:rsidRPr="00E13004" w:rsidRDefault="00E13004">
      <w:pPr>
        <w:rPr>
          <w:lang w:val="es-AR"/>
        </w:rPr>
      </w:pPr>
    </w:p>
    <w:p w:rsidR="00E13004" w:rsidRPr="00E13004" w:rsidRDefault="00E13004">
      <w:pPr>
        <w:rPr>
          <w:lang w:val="es-AR"/>
        </w:rPr>
      </w:pPr>
    </w:p>
    <w:p w:rsidR="001A0427" w:rsidRPr="009D27AB" w:rsidRDefault="00561B16" w:rsidP="001A0427">
      <w:pPr>
        <w:autoSpaceDE w:val="0"/>
        <w:autoSpaceDN w:val="0"/>
        <w:adjustRightInd w:val="0"/>
        <w:spacing w:line="360" w:lineRule="auto"/>
        <w:ind w:firstLine="851"/>
        <w:jc w:val="both"/>
        <w:rPr>
          <w:rFonts w:cs="Arial"/>
        </w:rPr>
      </w:pPr>
      <w:r>
        <w:rPr>
          <w:rFonts w:cs="Arial"/>
          <w:b/>
          <w:bCs/>
        </w:rPr>
        <w:t>V</w:t>
      </w:r>
      <w:r w:rsidR="001A0427" w:rsidRPr="009D27AB">
        <w:rPr>
          <w:rFonts w:cs="Arial"/>
          <w:b/>
          <w:bCs/>
        </w:rPr>
        <w:t xml:space="preserve">ISTO: </w:t>
      </w:r>
      <w:r w:rsidR="001A0427" w:rsidRPr="009D27AB">
        <w:rPr>
          <w:rFonts w:cs="Arial"/>
        </w:rPr>
        <w:t xml:space="preserve">la Rendición de Cuentas y Balance de Ejecución Presupuestal de la Intendencia de </w:t>
      </w:r>
      <w:r w:rsidR="004F4134">
        <w:rPr>
          <w:rFonts w:cs="Arial"/>
        </w:rPr>
        <w:t>Soriano</w:t>
      </w:r>
      <w:r w:rsidR="00E13004">
        <w:rPr>
          <w:rFonts w:cs="Arial"/>
        </w:rPr>
        <w:t xml:space="preserve"> correspondiente al E</w:t>
      </w:r>
      <w:r w:rsidR="001A0427" w:rsidRPr="009D27AB">
        <w:rPr>
          <w:rFonts w:cs="Arial"/>
        </w:rPr>
        <w:t>jercicio 2015;</w:t>
      </w:r>
    </w:p>
    <w:p w:rsidR="001A0427" w:rsidRPr="009D27AB" w:rsidRDefault="001A0427" w:rsidP="001A0427">
      <w:pPr>
        <w:tabs>
          <w:tab w:val="left" w:pos="284"/>
        </w:tabs>
        <w:autoSpaceDE w:val="0"/>
        <w:autoSpaceDN w:val="0"/>
        <w:adjustRightInd w:val="0"/>
        <w:spacing w:line="360" w:lineRule="auto"/>
        <w:ind w:firstLine="851"/>
        <w:jc w:val="both"/>
        <w:rPr>
          <w:rFonts w:cs="Arial"/>
        </w:rPr>
      </w:pPr>
      <w:r w:rsidRPr="009D27AB">
        <w:rPr>
          <w:rFonts w:cs="Arial"/>
          <w:b/>
          <w:bCs/>
        </w:rPr>
        <w:t xml:space="preserve">RESULTANDO: </w:t>
      </w:r>
      <w:r w:rsidRPr="009D27AB">
        <w:rPr>
          <w:rFonts w:cs="Arial"/>
        </w:rPr>
        <w:t xml:space="preserve">que el examen se efectuó de acuerdo con los Principios Fundamentales de Auditoría (ISSAI 100 y 200) y las Directrices de Auditoría Financiera (ISSAI </w:t>
      </w:r>
      <w:smartTag w:uri="urn:schemas-microsoft-com:office:smarttags" w:element="metricconverter">
        <w:smartTagPr>
          <w:attr w:name="ProductID" w:val="1000 a"/>
        </w:smartTagPr>
        <w:r w:rsidRPr="009D27AB">
          <w:rPr>
            <w:rFonts w:cs="Arial"/>
          </w:rPr>
          <w:t>1000 a</w:t>
        </w:r>
      </w:smartTag>
      <w:r w:rsidRPr="009D27AB">
        <w:rPr>
          <w:rFonts w:cs="Arial"/>
        </w:rPr>
        <w:t xml:space="preserve"> 1810) de la Organización Internacional de Entidades Fiscalizadoras Superiores (INTOSAI), habiéndose llevado a cabo los procedimientos considerados necesarios en las circunstancias;</w:t>
      </w:r>
    </w:p>
    <w:p w:rsidR="001A0427" w:rsidRPr="009D27AB" w:rsidRDefault="001A0427" w:rsidP="001A0427">
      <w:pPr>
        <w:autoSpaceDE w:val="0"/>
        <w:autoSpaceDN w:val="0"/>
        <w:adjustRightInd w:val="0"/>
        <w:spacing w:line="360" w:lineRule="auto"/>
        <w:ind w:firstLine="851"/>
        <w:jc w:val="both"/>
        <w:rPr>
          <w:rFonts w:cs="Arial"/>
        </w:rPr>
      </w:pPr>
      <w:r w:rsidRPr="009D27AB">
        <w:rPr>
          <w:rFonts w:cs="Arial"/>
          <w:b/>
          <w:bCs/>
        </w:rPr>
        <w:t xml:space="preserve">CONSIDERANDO: </w:t>
      </w:r>
      <w:r w:rsidRPr="009D27AB">
        <w:rPr>
          <w:rFonts w:cs="Arial"/>
        </w:rPr>
        <w:t>que las conclusiones y evidencias obtenidas son las que se expresan en el Informe de Auditoría, que incluye Dictamen e Informe a la Administración;</w:t>
      </w:r>
    </w:p>
    <w:p w:rsidR="001A0427" w:rsidRPr="009D27AB" w:rsidRDefault="001A0427" w:rsidP="001A0427">
      <w:pPr>
        <w:autoSpaceDE w:val="0"/>
        <w:autoSpaceDN w:val="0"/>
        <w:adjustRightInd w:val="0"/>
        <w:spacing w:line="360" w:lineRule="auto"/>
        <w:ind w:firstLine="851"/>
        <w:jc w:val="both"/>
        <w:rPr>
          <w:rFonts w:cs="Arial"/>
        </w:rPr>
      </w:pPr>
      <w:r w:rsidRPr="009D27AB">
        <w:rPr>
          <w:rFonts w:cs="Arial"/>
          <w:b/>
          <w:bCs/>
        </w:rPr>
        <w:t xml:space="preserve">ATENTO: </w:t>
      </w:r>
      <w:r w:rsidRPr="009D27AB">
        <w:rPr>
          <w:rFonts w:cs="Arial"/>
        </w:rPr>
        <w:t>a lo dispuesto por el Artículo 211 Literal C) de la Constitución de la República;</w:t>
      </w:r>
    </w:p>
    <w:p w:rsidR="001A0427" w:rsidRPr="009D27AB" w:rsidRDefault="001A0427" w:rsidP="001A0427">
      <w:pPr>
        <w:autoSpaceDE w:val="0"/>
        <w:autoSpaceDN w:val="0"/>
        <w:adjustRightInd w:val="0"/>
        <w:spacing w:line="360" w:lineRule="auto"/>
        <w:jc w:val="center"/>
        <w:rPr>
          <w:rFonts w:cs="Arial"/>
          <w:b/>
          <w:bCs/>
        </w:rPr>
      </w:pPr>
      <w:r w:rsidRPr="009D27AB">
        <w:rPr>
          <w:rFonts w:cs="Arial"/>
          <w:b/>
          <w:bCs/>
        </w:rPr>
        <w:t>EL TRIBUNAL ACUERDA</w:t>
      </w:r>
    </w:p>
    <w:p w:rsidR="001A0427" w:rsidRPr="00561B16" w:rsidRDefault="001A0427" w:rsidP="00764E88">
      <w:pPr>
        <w:pStyle w:val="Prrafodelista"/>
        <w:numPr>
          <w:ilvl w:val="0"/>
          <w:numId w:val="1"/>
        </w:numPr>
        <w:tabs>
          <w:tab w:val="left" w:pos="426"/>
        </w:tabs>
        <w:autoSpaceDE w:val="0"/>
        <w:autoSpaceDN w:val="0"/>
        <w:adjustRightInd w:val="0"/>
        <w:spacing w:line="360" w:lineRule="auto"/>
        <w:ind w:left="0" w:firstLine="0"/>
        <w:jc w:val="both"/>
        <w:rPr>
          <w:rFonts w:cs="Arial"/>
        </w:rPr>
      </w:pPr>
      <w:r w:rsidRPr="00561B16">
        <w:rPr>
          <w:rFonts w:cs="Arial"/>
        </w:rPr>
        <w:t>Expedirse en los términos del Informe de Auditoría que se adjunta</w:t>
      </w:r>
      <w:r w:rsidR="00E13004">
        <w:rPr>
          <w:rFonts w:cs="Arial"/>
        </w:rPr>
        <w:t>;</w:t>
      </w:r>
    </w:p>
    <w:p w:rsidR="001A0427" w:rsidRPr="009D27AB" w:rsidRDefault="001A0427" w:rsidP="00E13004">
      <w:pPr>
        <w:autoSpaceDE w:val="0"/>
        <w:autoSpaceDN w:val="0"/>
        <w:adjustRightInd w:val="0"/>
        <w:spacing w:line="360" w:lineRule="auto"/>
        <w:ind w:left="426" w:hanging="426"/>
        <w:jc w:val="both"/>
        <w:rPr>
          <w:rFonts w:cs="Arial"/>
        </w:rPr>
      </w:pPr>
      <w:r w:rsidRPr="009D27AB">
        <w:rPr>
          <w:rFonts w:cs="Arial"/>
          <w:b/>
          <w:bCs/>
        </w:rPr>
        <w:t xml:space="preserve">2) </w:t>
      </w:r>
      <w:r w:rsidRPr="009D27AB">
        <w:rPr>
          <w:rFonts w:cs="Arial"/>
        </w:rPr>
        <w:t xml:space="preserve">Comunicar la presente Resolución a la Intendencia y a la Junta </w:t>
      </w:r>
      <w:r w:rsidR="00561B16">
        <w:rPr>
          <w:rFonts w:cs="Arial"/>
        </w:rPr>
        <w:t xml:space="preserve"> </w:t>
      </w:r>
      <w:r w:rsidRPr="009D27AB">
        <w:rPr>
          <w:rFonts w:cs="Arial"/>
        </w:rPr>
        <w:t xml:space="preserve">Departamental de </w:t>
      </w:r>
      <w:r w:rsidR="004F4134">
        <w:rPr>
          <w:rFonts w:cs="Arial"/>
        </w:rPr>
        <w:t>Soriano</w:t>
      </w:r>
      <w:r w:rsidR="00E13004">
        <w:rPr>
          <w:rFonts w:cs="Arial"/>
        </w:rPr>
        <w:t>;</w:t>
      </w:r>
    </w:p>
    <w:p w:rsidR="00561B16" w:rsidRDefault="001A0427" w:rsidP="00E13004">
      <w:pPr>
        <w:autoSpaceDE w:val="0"/>
        <w:autoSpaceDN w:val="0"/>
        <w:adjustRightInd w:val="0"/>
        <w:spacing w:line="360" w:lineRule="auto"/>
        <w:jc w:val="both"/>
        <w:rPr>
          <w:rFonts w:cs="Arial"/>
        </w:rPr>
      </w:pPr>
      <w:r w:rsidRPr="009D27AB">
        <w:rPr>
          <w:rFonts w:cs="Arial"/>
          <w:b/>
          <w:bCs/>
        </w:rPr>
        <w:t xml:space="preserve">3) </w:t>
      </w:r>
      <w:r w:rsidRPr="009D27AB">
        <w:rPr>
          <w:rFonts w:cs="Arial"/>
        </w:rPr>
        <w:t>Dar cuenta a la Asamblea General.</w:t>
      </w:r>
    </w:p>
    <w:p w:rsidR="00E13004" w:rsidRDefault="00E13004" w:rsidP="00E13004">
      <w:pPr>
        <w:autoSpaceDE w:val="0"/>
        <w:autoSpaceDN w:val="0"/>
        <w:adjustRightInd w:val="0"/>
        <w:spacing w:line="360" w:lineRule="auto"/>
        <w:jc w:val="both"/>
        <w:rPr>
          <w:rFonts w:cs="Arial"/>
        </w:rPr>
      </w:pPr>
    </w:p>
    <w:p w:rsidR="00E13004" w:rsidRDefault="00E13004" w:rsidP="00E13004">
      <w:pPr>
        <w:autoSpaceDE w:val="0"/>
        <w:autoSpaceDN w:val="0"/>
        <w:adjustRightInd w:val="0"/>
        <w:spacing w:line="360" w:lineRule="auto"/>
        <w:jc w:val="both"/>
        <w:rPr>
          <w:rFonts w:cs="Arial"/>
        </w:rPr>
      </w:pPr>
    </w:p>
    <w:p w:rsidR="00E13004" w:rsidRDefault="00E13004" w:rsidP="00E13004">
      <w:pPr>
        <w:autoSpaceDE w:val="0"/>
        <w:autoSpaceDN w:val="0"/>
        <w:adjustRightInd w:val="0"/>
        <w:spacing w:line="360" w:lineRule="auto"/>
        <w:jc w:val="both"/>
        <w:rPr>
          <w:rFonts w:cs="Arial"/>
        </w:rPr>
      </w:pPr>
    </w:p>
    <w:p w:rsidR="00E13004" w:rsidRDefault="00E13004" w:rsidP="00E13004">
      <w:pPr>
        <w:autoSpaceDE w:val="0"/>
        <w:autoSpaceDN w:val="0"/>
        <w:adjustRightInd w:val="0"/>
        <w:spacing w:line="360" w:lineRule="auto"/>
        <w:ind w:hanging="567"/>
        <w:jc w:val="both"/>
        <w:rPr>
          <w:rFonts w:cs="Arial"/>
        </w:rPr>
      </w:pPr>
      <w:proofErr w:type="gramStart"/>
      <w:r>
        <w:rPr>
          <w:rFonts w:cs="Arial"/>
        </w:rPr>
        <w:t>dc</w:t>
      </w:r>
      <w:proofErr w:type="gramEnd"/>
    </w:p>
    <w:p w:rsidR="007769FD" w:rsidRDefault="007769FD" w:rsidP="00E13004">
      <w:pPr>
        <w:autoSpaceDE w:val="0"/>
        <w:autoSpaceDN w:val="0"/>
        <w:adjustRightInd w:val="0"/>
        <w:spacing w:line="360" w:lineRule="auto"/>
        <w:ind w:hanging="567"/>
        <w:jc w:val="both"/>
        <w:rPr>
          <w:sz w:val="18"/>
          <w:szCs w:val="18"/>
        </w:rPr>
      </w:pPr>
    </w:p>
    <w:p w:rsidR="007769FD" w:rsidRDefault="007769FD" w:rsidP="000B3466">
      <w:pPr>
        <w:pStyle w:val="Ttulo1"/>
        <w:spacing w:before="0" w:after="0" w:line="360" w:lineRule="auto"/>
        <w:jc w:val="center"/>
      </w:pPr>
      <w:bookmarkStart w:id="1" w:name="_Toc400023262"/>
      <w:bookmarkStart w:id="2" w:name="_Toc207615170"/>
      <w:r w:rsidRPr="002A1E9D">
        <w:lastRenderedPageBreak/>
        <w:t>DICTAMEN</w:t>
      </w:r>
      <w:bookmarkEnd w:id="1"/>
    </w:p>
    <w:p w:rsidR="007769FD" w:rsidRDefault="007769FD" w:rsidP="000B3466">
      <w:pPr>
        <w:pStyle w:val="Subttulo"/>
        <w:ind w:firstLine="851"/>
        <w:rPr>
          <w:rFonts w:ascii="Arial" w:hAnsi="Arial"/>
          <w:b w:val="0"/>
        </w:rPr>
      </w:pPr>
      <w:r w:rsidRPr="00391F9E">
        <w:rPr>
          <w:rFonts w:ascii="Arial" w:hAnsi="Arial"/>
          <w:b w:val="0"/>
        </w:rPr>
        <w:t xml:space="preserve">El Tribunal de Cuentas ha examinado la Rendición de Cuentas y Balance de Ejecución Presupuestal de la Intendencia de Soriano, que comprende los siguientes estados: </w:t>
      </w:r>
      <w:r>
        <w:rPr>
          <w:rFonts w:ascii="Arial" w:hAnsi="Arial"/>
          <w:b w:val="0"/>
        </w:rPr>
        <w:t>de Ejecución presupuestal con relación a los recursos y a los créditos, Resultado del Ejercicio, Resultado acumulado y otros estados complementarios, correspondientes al E</w:t>
      </w:r>
      <w:r w:rsidRPr="00391F9E">
        <w:rPr>
          <w:rFonts w:ascii="Arial" w:hAnsi="Arial"/>
          <w:b w:val="0"/>
        </w:rPr>
        <w:t>jercicio finalizado el 31/12/201</w:t>
      </w:r>
      <w:r>
        <w:rPr>
          <w:rFonts w:ascii="Arial" w:hAnsi="Arial"/>
          <w:b w:val="0"/>
        </w:rPr>
        <w:t>5</w:t>
      </w:r>
      <w:r w:rsidRPr="00391F9E">
        <w:rPr>
          <w:rFonts w:ascii="Arial" w:hAnsi="Arial"/>
          <w:b w:val="0"/>
        </w:rPr>
        <w:t>.</w:t>
      </w:r>
    </w:p>
    <w:p w:rsidR="007769FD" w:rsidRPr="00695C1E" w:rsidRDefault="007769FD" w:rsidP="000B3466">
      <w:pPr>
        <w:pStyle w:val="Subttulo"/>
        <w:ind w:firstLine="851"/>
        <w:rPr>
          <w:rFonts w:ascii="Arial" w:hAnsi="Arial" w:cs="Arial"/>
          <w:b w:val="0"/>
        </w:rPr>
      </w:pPr>
      <w:r w:rsidRPr="00695C1E">
        <w:rPr>
          <w:rFonts w:ascii="Arial" w:hAnsi="Arial" w:cs="Arial"/>
          <w:b w:val="0"/>
        </w:rPr>
        <w:t>También se presentan, en caso de corresponder, los incumplimientos legales constatados por el Tribunal de Cuentas en el curso de la auditoría efectuada.</w:t>
      </w:r>
    </w:p>
    <w:p w:rsidR="007769FD" w:rsidRPr="00695C1E" w:rsidRDefault="007769FD">
      <w:pPr>
        <w:pStyle w:val="Subttulo"/>
        <w:rPr>
          <w:rFonts w:ascii="Arial" w:hAnsi="Arial" w:cs="Arial"/>
          <w:b w:val="0"/>
          <w:bCs/>
        </w:rPr>
      </w:pPr>
    </w:p>
    <w:p w:rsidR="007769FD" w:rsidRDefault="007769FD">
      <w:pPr>
        <w:pStyle w:val="Subttulo"/>
        <w:rPr>
          <w:rFonts w:ascii="Arial" w:hAnsi="Arial"/>
          <w:bCs/>
        </w:rPr>
      </w:pPr>
      <w:r w:rsidRPr="002A1E9D">
        <w:rPr>
          <w:rFonts w:ascii="Arial" w:hAnsi="Arial"/>
          <w:bCs/>
        </w:rPr>
        <w:t>Responsabilidad de la Intendencia</w:t>
      </w:r>
    </w:p>
    <w:p w:rsidR="007769FD" w:rsidRPr="002A1E9D" w:rsidRDefault="007769FD" w:rsidP="000B3466">
      <w:pPr>
        <w:autoSpaceDE w:val="0"/>
        <w:autoSpaceDN w:val="0"/>
        <w:adjustRightInd w:val="0"/>
        <w:spacing w:line="360" w:lineRule="auto"/>
        <w:ind w:firstLine="851"/>
        <w:jc w:val="both"/>
        <w:rPr>
          <w:kern w:val="18"/>
          <w:szCs w:val="20"/>
        </w:rPr>
      </w:pPr>
      <w:r w:rsidRPr="002A1E9D">
        <w:rPr>
          <w:kern w:val="18"/>
          <w:szCs w:val="20"/>
        </w:rPr>
        <w:t xml:space="preserve">La </w:t>
      </w:r>
      <w:r>
        <w:rPr>
          <w:kern w:val="18"/>
          <w:szCs w:val="20"/>
        </w:rPr>
        <w:t>Intendencia</w:t>
      </w:r>
      <w:r w:rsidRPr="002A1E9D">
        <w:rPr>
          <w:kern w:val="18"/>
          <w:szCs w:val="20"/>
        </w:rPr>
        <w:t xml:space="preserve"> es responsable por la preparación y la razonable</w:t>
      </w:r>
      <w:r>
        <w:rPr>
          <w:kern w:val="18"/>
          <w:szCs w:val="20"/>
        </w:rPr>
        <w:t xml:space="preserve"> </w:t>
      </w:r>
      <w:r w:rsidRPr="002A1E9D">
        <w:rPr>
          <w:kern w:val="18"/>
          <w:szCs w:val="20"/>
        </w:rPr>
        <w:t>presentación de estos estados de acuerdo con la normativa vigente y con la</w:t>
      </w:r>
      <w:r>
        <w:rPr>
          <w:kern w:val="18"/>
          <w:szCs w:val="20"/>
        </w:rPr>
        <w:t xml:space="preserve"> </w:t>
      </w:r>
      <w:r w:rsidRPr="002A1E9D">
        <w:rPr>
          <w:kern w:val="18"/>
          <w:szCs w:val="20"/>
        </w:rPr>
        <w:t>Resolución de este Tribunal de fecha 28/01/04. Esta responsabilidad incluye</w:t>
      </w:r>
      <w:r>
        <w:rPr>
          <w:kern w:val="18"/>
          <w:szCs w:val="20"/>
        </w:rPr>
        <w:t xml:space="preserve"> </w:t>
      </w:r>
      <w:r w:rsidRPr="002A1E9D">
        <w:rPr>
          <w:kern w:val="18"/>
          <w:szCs w:val="20"/>
        </w:rPr>
        <w:t>diseñar, implementar y mantener un sistema de control interno adecuado para la</w:t>
      </w:r>
      <w:r>
        <w:rPr>
          <w:kern w:val="18"/>
          <w:szCs w:val="20"/>
        </w:rPr>
        <w:t xml:space="preserve"> </w:t>
      </w:r>
      <w:r w:rsidRPr="002A1E9D">
        <w:rPr>
          <w:kern w:val="18"/>
          <w:szCs w:val="20"/>
        </w:rPr>
        <w:t>preparación y presentación razonable de estados que estén libres de errores</w:t>
      </w:r>
      <w:r>
        <w:rPr>
          <w:kern w:val="18"/>
          <w:szCs w:val="20"/>
        </w:rPr>
        <w:t xml:space="preserve"> </w:t>
      </w:r>
      <w:r w:rsidRPr="002A1E9D">
        <w:rPr>
          <w:kern w:val="18"/>
          <w:szCs w:val="20"/>
        </w:rPr>
        <w:t>significativos, ya sea debido a fraude o error, seleccionar y aplicar políticas</w:t>
      </w:r>
      <w:r>
        <w:rPr>
          <w:kern w:val="18"/>
          <w:szCs w:val="20"/>
        </w:rPr>
        <w:t xml:space="preserve"> </w:t>
      </w:r>
      <w:r w:rsidRPr="002A1E9D">
        <w:rPr>
          <w:kern w:val="18"/>
          <w:szCs w:val="20"/>
        </w:rPr>
        <w:t>contables apropiadas.</w:t>
      </w:r>
    </w:p>
    <w:p w:rsidR="007769FD" w:rsidRPr="002A1E9D" w:rsidRDefault="007769FD">
      <w:pPr>
        <w:pStyle w:val="Subttulo"/>
        <w:rPr>
          <w:rFonts w:ascii="Arial" w:hAnsi="Arial"/>
          <w:bCs/>
        </w:rPr>
      </w:pPr>
    </w:p>
    <w:p w:rsidR="007769FD" w:rsidRDefault="007769FD">
      <w:pPr>
        <w:pStyle w:val="Subttulo"/>
        <w:rPr>
          <w:rFonts w:ascii="Arial" w:hAnsi="Arial"/>
          <w:bCs/>
        </w:rPr>
      </w:pPr>
      <w:r w:rsidRPr="002A1E9D">
        <w:rPr>
          <w:rFonts w:ascii="Arial" w:hAnsi="Arial"/>
          <w:bCs/>
        </w:rPr>
        <w:t>Responsabilidad del auditor</w:t>
      </w:r>
    </w:p>
    <w:p w:rsidR="007769FD" w:rsidRPr="002A1E9D" w:rsidRDefault="007769FD" w:rsidP="000B3466">
      <w:pPr>
        <w:autoSpaceDE w:val="0"/>
        <w:autoSpaceDN w:val="0"/>
        <w:adjustRightInd w:val="0"/>
        <w:spacing w:line="360" w:lineRule="auto"/>
        <w:ind w:firstLine="708"/>
        <w:jc w:val="both"/>
        <w:rPr>
          <w:kern w:val="18"/>
          <w:szCs w:val="20"/>
        </w:rPr>
      </w:pPr>
      <w:r w:rsidRPr="002A1E9D">
        <w:rPr>
          <w:kern w:val="18"/>
          <w:szCs w:val="20"/>
        </w:rPr>
        <w:t>La responsabilidad del Tribunal de Cuentas es expresar una opinión sobre</w:t>
      </w:r>
      <w:r>
        <w:rPr>
          <w:kern w:val="18"/>
          <w:szCs w:val="20"/>
        </w:rPr>
        <w:t xml:space="preserve"> </w:t>
      </w:r>
      <w:r w:rsidRPr="002A1E9D">
        <w:rPr>
          <w:kern w:val="18"/>
          <w:szCs w:val="20"/>
        </w:rPr>
        <w:t>dichos estados contables basada en la auditoría realizada. Esta auditoría fue</w:t>
      </w:r>
      <w:r>
        <w:rPr>
          <w:kern w:val="18"/>
          <w:szCs w:val="20"/>
        </w:rPr>
        <w:t xml:space="preserve"> </w:t>
      </w:r>
      <w:r w:rsidRPr="002A1E9D">
        <w:rPr>
          <w:kern w:val="18"/>
          <w:szCs w:val="20"/>
        </w:rPr>
        <w:t>practicada de acuerdo con los Principios Fundamentales de Auditoría (ISSAI 100</w:t>
      </w:r>
      <w:r>
        <w:rPr>
          <w:kern w:val="18"/>
          <w:szCs w:val="20"/>
        </w:rPr>
        <w:t xml:space="preserve"> </w:t>
      </w:r>
      <w:r w:rsidRPr="002A1E9D">
        <w:rPr>
          <w:kern w:val="18"/>
          <w:szCs w:val="20"/>
        </w:rPr>
        <w:t>y 200) y las Directrices de Auditoría Financiera (ISSAI 1000 a 1810) de la</w:t>
      </w:r>
      <w:r>
        <w:rPr>
          <w:kern w:val="18"/>
          <w:szCs w:val="20"/>
        </w:rPr>
        <w:t xml:space="preserve"> </w:t>
      </w:r>
      <w:r w:rsidRPr="002A1E9D">
        <w:rPr>
          <w:kern w:val="18"/>
          <w:szCs w:val="20"/>
        </w:rPr>
        <w:t>Organización Internacional de Entidades Fiscalizadoras Superiores (INTOSAI).</w:t>
      </w:r>
      <w:r>
        <w:rPr>
          <w:kern w:val="18"/>
          <w:szCs w:val="20"/>
        </w:rPr>
        <w:t xml:space="preserve"> </w:t>
      </w:r>
      <w:r w:rsidRPr="002A1E9D">
        <w:rPr>
          <w:kern w:val="18"/>
          <w:szCs w:val="20"/>
        </w:rPr>
        <w:t>Estas normas requieren que se cumpla con requisitos éticos, se planifique y se</w:t>
      </w:r>
      <w:r>
        <w:rPr>
          <w:kern w:val="18"/>
          <w:szCs w:val="20"/>
        </w:rPr>
        <w:t xml:space="preserve"> </w:t>
      </w:r>
      <w:r w:rsidRPr="002A1E9D">
        <w:rPr>
          <w:kern w:val="18"/>
          <w:szCs w:val="20"/>
        </w:rPr>
        <w:t>realice la auditoría para obtener seguridad razonable acerca de si los estados</w:t>
      </w:r>
      <w:r>
        <w:rPr>
          <w:kern w:val="18"/>
          <w:szCs w:val="20"/>
        </w:rPr>
        <w:t xml:space="preserve"> </w:t>
      </w:r>
      <w:r w:rsidRPr="002A1E9D">
        <w:rPr>
          <w:kern w:val="18"/>
          <w:szCs w:val="20"/>
        </w:rPr>
        <w:t>contables están libres de errores significativos.</w:t>
      </w:r>
    </w:p>
    <w:p w:rsidR="007769FD" w:rsidRPr="002A1E9D" w:rsidRDefault="007769FD" w:rsidP="000B3466">
      <w:pPr>
        <w:autoSpaceDE w:val="0"/>
        <w:autoSpaceDN w:val="0"/>
        <w:adjustRightInd w:val="0"/>
        <w:spacing w:line="360" w:lineRule="auto"/>
        <w:ind w:firstLine="851"/>
        <w:jc w:val="both"/>
        <w:rPr>
          <w:kern w:val="18"/>
          <w:szCs w:val="20"/>
        </w:rPr>
      </w:pPr>
      <w:r w:rsidRPr="002A1E9D">
        <w:rPr>
          <w:kern w:val="18"/>
          <w:szCs w:val="20"/>
        </w:rPr>
        <w:lastRenderedPageBreak/>
        <w:t>Una auditoría implica realizar procedimientos para obtener evidencia</w:t>
      </w:r>
      <w:r>
        <w:rPr>
          <w:kern w:val="18"/>
          <w:szCs w:val="20"/>
        </w:rPr>
        <w:t xml:space="preserve"> </w:t>
      </w:r>
      <w:r w:rsidRPr="002A1E9D">
        <w:rPr>
          <w:kern w:val="18"/>
          <w:szCs w:val="20"/>
        </w:rPr>
        <w:t>acerca de los montos y revelaciones contables. Los procedimientos</w:t>
      </w:r>
      <w:r>
        <w:rPr>
          <w:kern w:val="18"/>
          <w:szCs w:val="20"/>
        </w:rPr>
        <w:t xml:space="preserve"> </w:t>
      </w:r>
      <w:r w:rsidRPr="002A1E9D">
        <w:rPr>
          <w:kern w:val="18"/>
          <w:szCs w:val="20"/>
        </w:rPr>
        <w:t>seleccionados dependen del juicio profesional, incluyen la evaluación de los</w:t>
      </w:r>
      <w:r>
        <w:rPr>
          <w:kern w:val="18"/>
          <w:szCs w:val="20"/>
        </w:rPr>
        <w:t xml:space="preserve"> </w:t>
      </w:r>
      <w:r w:rsidRPr="002A1E9D">
        <w:rPr>
          <w:kern w:val="18"/>
          <w:szCs w:val="20"/>
        </w:rPr>
        <w:t>riesgos de existencia de errores significativos en los estados, ya sea debido a</w:t>
      </w:r>
      <w:r>
        <w:rPr>
          <w:kern w:val="18"/>
          <w:szCs w:val="20"/>
        </w:rPr>
        <w:t xml:space="preserve"> </w:t>
      </w:r>
      <w:r w:rsidRPr="002A1E9D">
        <w:rPr>
          <w:kern w:val="18"/>
          <w:szCs w:val="20"/>
        </w:rPr>
        <w:t>fraude o error. Al efectuar la evaluación de riesgo, el auditor considera los</w:t>
      </w:r>
      <w:r>
        <w:rPr>
          <w:kern w:val="18"/>
          <w:szCs w:val="20"/>
        </w:rPr>
        <w:t xml:space="preserve"> </w:t>
      </w:r>
      <w:r w:rsidRPr="002A1E9D">
        <w:rPr>
          <w:kern w:val="18"/>
          <w:szCs w:val="20"/>
        </w:rPr>
        <w:t>aspectos de control interno de la entidad relevantes para la preparación y</w:t>
      </w:r>
      <w:r>
        <w:rPr>
          <w:kern w:val="18"/>
          <w:szCs w:val="20"/>
        </w:rPr>
        <w:t xml:space="preserve"> </w:t>
      </w:r>
      <w:r w:rsidRPr="002A1E9D">
        <w:rPr>
          <w:kern w:val="18"/>
          <w:szCs w:val="20"/>
        </w:rPr>
        <w:t>presentación razonable de los estados, con el fin de diseñar los procedimientos</w:t>
      </w:r>
    </w:p>
    <w:p w:rsidR="007769FD" w:rsidRDefault="007769FD" w:rsidP="000B3466">
      <w:pPr>
        <w:autoSpaceDE w:val="0"/>
        <w:autoSpaceDN w:val="0"/>
        <w:adjustRightInd w:val="0"/>
        <w:spacing w:line="360" w:lineRule="auto"/>
        <w:jc w:val="both"/>
        <w:rPr>
          <w:kern w:val="18"/>
          <w:szCs w:val="20"/>
        </w:rPr>
      </w:pPr>
      <w:proofErr w:type="gramStart"/>
      <w:r w:rsidRPr="002A1E9D">
        <w:rPr>
          <w:kern w:val="18"/>
          <w:szCs w:val="20"/>
        </w:rPr>
        <w:t>de</w:t>
      </w:r>
      <w:proofErr w:type="gramEnd"/>
      <w:r w:rsidRPr="002A1E9D">
        <w:rPr>
          <w:kern w:val="18"/>
          <w:szCs w:val="20"/>
        </w:rPr>
        <w:t xml:space="preserve"> auditoría que sean apropiados en las circunstancias, pero no con el propósito</w:t>
      </w:r>
      <w:r>
        <w:rPr>
          <w:kern w:val="18"/>
          <w:szCs w:val="20"/>
        </w:rPr>
        <w:t xml:space="preserve"> </w:t>
      </w:r>
      <w:r w:rsidRPr="002A1E9D">
        <w:rPr>
          <w:kern w:val="18"/>
          <w:szCs w:val="20"/>
        </w:rPr>
        <w:t>de expresar una opinión acerca de la eficacia del control interno de la entidad.</w:t>
      </w:r>
    </w:p>
    <w:p w:rsidR="007769FD" w:rsidRPr="002A1E9D" w:rsidRDefault="007769FD" w:rsidP="000B3466">
      <w:pPr>
        <w:autoSpaceDE w:val="0"/>
        <w:autoSpaceDN w:val="0"/>
        <w:adjustRightInd w:val="0"/>
        <w:spacing w:line="360" w:lineRule="auto"/>
        <w:ind w:firstLine="851"/>
        <w:jc w:val="both"/>
        <w:rPr>
          <w:kern w:val="18"/>
          <w:szCs w:val="20"/>
        </w:rPr>
      </w:pPr>
      <w:r w:rsidRPr="002A1E9D">
        <w:rPr>
          <w:kern w:val="18"/>
          <w:szCs w:val="20"/>
        </w:rPr>
        <w:t>Una auditoría también implica evaluar lo apropiado de las políticas</w:t>
      </w:r>
      <w:r>
        <w:rPr>
          <w:kern w:val="18"/>
          <w:szCs w:val="20"/>
        </w:rPr>
        <w:t xml:space="preserve"> </w:t>
      </w:r>
      <w:r w:rsidRPr="002A1E9D">
        <w:rPr>
          <w:kern w:val="18"/>
          <w:szCs w:val="20"/>
        </w:rPr>
        <w:t>contables utilizadas y la presentación general de los estados financieros.</w:t>
      </w:r>
      <w:r>
        <w:rPr>
          <w:kern w:val="18"/>
          <w:szCs w:val="20"/>
        </w:rPr>
        <w:t xml:space="preserve"> </w:t>
      </w:r>
      <w:r w:rsidRPr="002A1E9D">
        <w:rPr>
          <w:kern w:val="18"/>
          <w:szCs w:val="20"/>
        </w:rPr>
        <w:t>Se considera que la evidencia de auditoría obtenida brinda una base</w:t>
      </w:r>
      <w:r>
        <w:rPr>
          <w:kern w:val="18"/>
          <w:szCs w:val="20"/>
        </w:rPr>
        <w:t xml:space="preserve"> </w:t>
      </w:r>
      <w:r w:rsidRPr="002A1E9D">
        <w:rPr>
          <w:kern w:val="18"/>
          <w:szCs w:val="20"/>
        </w:rPr>
        <w:t>suficiente y apropiada para sustentar la opinión.</w:t>
      </w:r>
    </w:p>
    <w:p w:rsidR="007769FD" w:rsidRDefault="007769FD">
      <w:pPr>
        <w:pStyle w:val="Textoindependiente"/>
        <w:spacing w:after="0" w:line="360" w:lineRule="auto"/>
        <w:rPr>
          <w:b/>
          <w:bCs/>
          <w:highlight w:val="green"/>
        </w:rPr>
      </w:pPr>
    </w:p>
    <w:p w:rsidR="007769FD" w:rsidRDefault="007769FD">
      <w:pPr>
        <w:pStyle w:val="Textoindependiente"/>
        <w:spacing w:after="0" w:line="360" w:lineRule="auto"/>
        <w:rPr>
          <w:b/>
          <w:bCs/>
        </w:rPr>
      </w:pPr>
      <w:r w:rsidRPr="009E41F6">
        <w:rPr>
          <w:b/>
          <w:bCs/>
        </w:rPr>
        <w:t>Opinión</w:t>
      </w:r>
    </w:p>
    <w:p w:rsidR="007769FD" w:rsidRPr="00F16BF4" w:rsidRDefault="007769FD" w:rsidP="000B3466">
      <w:pPr>
        <w:autoSpaceDE w:val="0"/>
        <w:autoSpaceDN w:val="0"/>
        <w:adjustRightInd w:val="0"/>
        <w:spacing w:line="360" w:lineRule="auto"/>
        <w:ind w:firstLine="708"/>
        <w:jc w:val="both"/>
        <w:rPr>
          <w:kern w:val="18"/>
          <w:szCs w:val="20"/>
        </w:rPr>
      </w:pPr>
      <w:r w:rsidRPr="00F16BF4">
        <w:rPr>
          <w:kern w:val="18"/>
          <w:szCs w:val="20"/>
        </w:rPr>
        <w:t>En opinión del Tribunal de Cuentas, los estados mencionados presentan</w:t>
      </w:r>
      <w:r>
        <w:rPr>
          <w:kern w:val="18"/>
          <w:szCs w:val="20"/>
        </w:rPr>
        <w:t xml:space="preserve"> </w:t>
      </w:r>
      <w:r w:rsidRPr="00F16BF4">
        <w:rPr>
          <w:kern w:val="18"/>
          <w:szCs w:val="20"/>
        </w:rPr>
        <w:t xml:space="preserve">razonablemente, en todos sus aspectos importantes, </w:t>
      </w:r>
      <w:r>
        <w:rPr>
          <w:rFonts w:cs="Arial"/>
        </w:rPr>
        <w:t>la</w:t>
      </w:r>
      <w:r>
        <w:t xml:space="preserve"> ejecución presupuestal en relación a los recursos y a los créditos, el resultado del Ejercicio 2015 y el resultado acumulado al 31 de diciembre de 2015</w:t>
      </w:r>
      <w:r>
        <w:rPr>
          <w:kern w:val="18"/>
          <w:szCs w:val="20"/>
        </w:rPr>
        <w:t>, de acuerdo con</w:t>
      </w:r>
      <w:r w:rsidRPr="00F16BF4">
        <w:rPr>
          <w:kern w:val="18"/>
          <w:szCs w:val="20"/>
        </w:rPr>
        <w:t xml:space="preserve"> las normas del TOCAF y a la Resolución de</w:t>
      </w:r>
      <w:r>
        <w:rPr>
          <w:kern w:val="18"/>
          <w:szCs w:val="20"/>
        </w:rPr>
        <w:t xml:space="preserve"> este Tribunal</w:t>
      </w:r>
      <w:r w:rsidRPr="00F16BF4">
        <w:rPr>
          <w:kern w:val="18"/>
          <w:szCs w:val="20"/>
        </w:rPr>
        <w:t xml:space="preserve"> de 28/01/04.</w:t>
      </w:r>
    </w:p>
    <w:p w:rsidR="007769FD" w:rsidRPr="00F16BF4" w:rsidRDefault="007769FD" w:rsidP="000B3466">
      <w:pPr>
        <w:autoSpaceDE w:val="0"/>
        <w:autoSpaceDN w:val="0"/>
        <w:adjustRightInd w:val="0"/>
        <w:spacing w:line="360" w:lineRule="auto"/>
        <w:ind w:firstLine="851"/>
        <w:jc w:val="both"/>
      </w:pPr>
      <w:r w:rsidRPr="00F16BF4">
        <w:rPr>
          <w:kern w:val="18"/>
          <w:szCs w:val="20"/>
        </w:rPr>
        <w:t xml:space="preserve">Con relación </w:t>
      </w:r>
      <w:r>
        <w:rPr>
          <w:kern w:val="18"/>
          <w:szCs w:val="20"/>
        </w:rPr>
        <w:t>a la normativa vigente, en el curso de la auditoría realizada se ha constatado que:</w:t>
      </w:r>
    </w:p>
    <w:p w:rsidR="007769FD" w:rsidRPr="00D22B44" w:rsidRDefault="007769FD" w:rsidP="007769FD">
      <w:pPr>
        <w:pStyle w:val="Encabezado"/>
        <w:numPr>
          <w:ilvl w:val="0"/>
          <w:numId w:val="2"/>
        </w:numPr>
        <w:tabs>
          <w:tab w:val="num" w:pos="0"/>
          <w:tab w:val="left" w:pos="360"/>
          <w:tab w:val="num" w:pos="809"/>
        </w:tabs>
        <w:spacing w:line="360" w:lineRule="auto"/>
        <w:ind w:left="0" w:firstLine="0"/>
        <w:jc w:val="both"/>
        <w:rPr>
          <w:rFonts w:cs="Arial"/>
          <w:bCs/>
          <w:kern w:val="18"/>
          <w:lang w:val="es-ES_tradnl"/>
        </w:rPr>
      </w:pPr>
      <w:r w:rsidRPr="00D22B44">
        <w:rPr>
          <w:rFonts w:cs="Arial"/>
          <w:b/>
          <w:bCs/>
          <w:kern w:val="18"/>
          <w:lang w:val="es-ES_tradnl"/>
        </w:rPr>
        <w:t xml:space="preserve">Artículo 86 de la Constitución de la República, Modificación Presupuestal 2012-2015 de la Intendencia y Artículo 9 Presupuesto 2006-2010: </w:t>
      </w:r>
      <w:r>
        <w:rPr>
          <w:rFonts w:cs="Arial"/>
          <w:bCs/>
          <w:kern w:val="18"/>
          <w:lang w:val="es-ES_tradnl"/>
        </w:rPr>
        <w:t>No se dio cumplimiento con</w:t>
      </w:r>
      <w:r w:rsidRPr="00D22B44">
        <w:rPr>
          <w:rFonts w:cs="Arial"/>
          <w:bCs/>
          <w:kern w:val="18"/>
          <w:lang w:val="es-ES_tradnl"/>
        </w:rPr>
        <w:t xml:space="preserve"> la estructura orgánica establecida en la instancia presupuestal, al no respetarse en su totalidad la estructura de escalafones y cargos funcionales aprobados. Los grados laborales no se </w:t>
      </w:r>
      <w:r w:rsidRPr="00D22B44">
        <w:rPr>
          <w:rFonts w:cs="Arial"/>
          <w:bCs/>
          <w:kern w:val="18"/>
          <w:lang w:val="es-ES_tradnl"/>
        </w:rPr>
        <w:lastRenderedPageBreak/>
        <w:t>ajustaron a lo indicado por la normativa en algunos casos. La Contadora Delegada o</w:t>
      </w:r>
      <w:r w:rsidR="000B3466">
        <w:rPr>
          <w:rFonts w:cs="Arial"/>
          <w:bCs/>
          <w:kern w:val="18"/>
          <w:lang w:val="es-ES_tradnl"/>
        </w:rPr>
        <w:t>bservó gastos por este motivo.</w:t>
      </w:r>
    </w:p>
    <w:p w:rsidR="007769FD" w:rsidRPr="00171645" w:rsidRDefault="007769FD" w:rsidP="007769FD">
      <w:pPr>
        <w:pStyle w:val="Encabezado"/>
        <w:numPr>
          <w:ilvl w:val="0"/>
          <w:numId w:val="2"/>
        </w:numPr>
        <w:tabs>
          <w:tab w:val="num" w:pos="0"/>
          <w:tab w:val="left" w:pos="360"/>
          <w:tab w:val="num" w:pos="809"/>
        </w:tabs>
        <w:spacing w:line="360" w:lineRule="auto"/>
        <w:ind w:left="0" w:firstLine="0"/>
        <w:jc w:val="both"/>
        <w:rPr>
          <w:rFonts w:cs="Arial"/>
        </w:rPr>
      </w:pPr>
      <w:r w:rsidRPr="00171645">
        <w:rPr>
          <w:rFonts w:cs="Arial"/>
          <w:b/>
          <w:bCs/>
          <w:kern w:val="18"/>
          <w:lang w:val="es-ES_tradnl"/>
        </w:rPr>
        <w:t xml:space="preserve">Artículo 211 Literal B) de la Constitución de la República y </w:t>
      </w:r>
      <w:r w:rsidRPr="00171645">
        <w:rPr>
          <w:rFonts w:cs="Arial"/>
          <w:b/>
          <w:bCs/>
        </w:rPr>
        <w:t xml:space="preserve">Artículo 87 del TOCAF: </w:t>
      </w:r>
      <w:r w:rsidRPr="00171645">
        <w:rPr>
          <w:rFonts w:cs="Arial"/>
        </w:rPr>
        <w:t xml:space="preserve">La Intendencia y los Municipios efectuaron gastos y pagos que no fueron sometidos a la intervención del Tribunal de Cuentas. La Delegada </w:t>
      </w:r>
      <w:r w:rsidR="000B3466">
        <w:rPr>
          <w:rFonts w:cs="Arial"/>
        </w:rPr>
        <w:t>observó gastos por este motivo.</w:t>
      </w:r>
    </w:p>
    <w:p w:rsidR="007769FD" w:rsidRPr="00171645" w:rsidRDefault="007769FD" w:rsidP="007769FD">
      <w:pPr>
        <w:pStyle w:val="Encabezado"/>
        <w:numPr>
          <w:ilvl w:val="0"/>
          <w:numId w:val="2"/>
        </w:numPr>
        <w:tabs>
          <w:tab w:val="num" w:pos="0"/>
          <w:tab w:val="left" w:pos="360"/>
          <w:tab w:val="num" w:pos="809"/>
        </w:tabs>
        <w:spacing w:line="360" w:lineRule="auto"/>
        <w:ind w:left="0" w:firstLine="0"/>
        <w:jc w:val="both"/>
        <w:rPr>
          <w:rFonts w:cs="Arial"/>
        </w:rPr>
      </w:pPr>
      <w:r w:rsidRPr="00171645">
        <w:rPr>
          <w:rFonts w:cs="Arial"/>
          <w:b/>
        </w:rPr>
        <w:t>Artículo 225 de la Constitución de la República, Ordenanza N° 71 y Resolución del Tribunal de Cuentas de 01/07/98:</w:t>
      </w:r>
      <w:r w:rsidRPr="00171645">
        <w:rPr>
          <w:rFonts w:cs="Arial"/>
        </w:rPr>
        <w:t xml:space="preserve"> La Junta Departamental aceptó las observaciones formuladas por este Tribunal respecto de la Modificación Presupuestal 2012-2015, pero no se efectuaron los ajustes correspondientes con la finalidad de dar correcto tratamiento a</w:t>
      </w:r>
      <w:r w:rsidR="000B3466">
        <w:rPr>
          <w:rFonts w:cs="Arial"/>
        </w:rPr>
        <w:t xml:space="preserve"> las mencionadas observaciones.</w:t>
      </w:r>
    </w:p>
    <w:p w:rsidR="007769FD" w:rsidRPr="00171645" w:rsidRDefault="007769FD" w:rsidP="007769FD">
      <w:pPr>
        <w:pStyle w:val="Encabezado"/>
        <w:numPr>
          <w:ilvl w:val="0"/>
          <w:numId w:val="2"/>
        </w:numPr>
        <w:tabs>
          <w:tab w:val="num" w:pos="0"/>
          <w:tab w:val="left" w:pos="360"/>
          <w:tab w:val="num" w:pos="809"/>
        </w:tabs>
        <w:spacing w:line="360" w:lineRule="auto"/>
        <w:ind w:left="0" w:firstLine="0"/>
        <w:jc w:val="both"/>
        <w:rPr>
          <w:rFonts w:cs="Arial"/>
        </w:rPr>
      </w:pPr>
      <w:r w:rsidRPr="00171645">
        <w:rPr>
          <w:rFonts w:cs="Arial"/>
          <w:b/>
          <w:bCs/>
        </w:rPr>
        <w:t xml:space="preserve">Artículo 297 </w:t>
      </w:r>
      <w:r w:rsidRPr="00171645">
        <w:rPr>
          <w:rFonts w:cs="Arial"/>
          <w:b/>
        </w:rPr>
        <w:t xml:space="preserve">Numeral 1) </w:t>
      </w:r>
      <w:r w:rsidRPr="00171645">
        <w:rPr>
          <w:rFonts w:cs="Arial"/>
          <w:b/>
          <w:bCs/>
        </w:rPr>
        <w:t>de la Constitución de la República</w:t>
      </w:r>
      <w:r w:rsidRPr="00171645">
        <w:rPr>
          <w:rFonts w:cs="Arial"/>
          <w:b/>
        </w:rPr>
        <w:t>:</w:t>
      </w:r>
      <w:r w:rsidRPr="00171645">
        <w:rPr>
          <w:rFonts w:cs="Arial"/>
        </w:rPr>
        <w:t xml:space="preserve"> Se efectuaron bonificaciones a la Contribución Inmobiliaria Rural y al Impuesto a las Ventas de Semovientes creado por la Ley N° 12.700, lo que contraviene la normativa constitucional mencionada dado que dicha facultad no es competencia de </w:t>
      </w:r>
      <w:r w:rsidR="000B3466">
        <w:rPr>
          <w:rFonts w:cs="Arial"/>
        </w:rPr>
        <w:t>los Gobiernos Departamentales.</w:t>
      </w:r>
    </w:p>
    <w:p w:rsidR="007769FD" w:rsidRPr="00171645" w:rsidRDefault="007769FD" w:rsidP="007769FD">
      <w:pPr>
        <w:pStyle w:val="Encabezado"/>
        <w:numPr>
          <w:ilvl w:val="0"/>
          <w:numId w:val="2"/>
        </w:numPr>
        <w:tabs>
          <w:tab w:val="num" w:pos="0"/>
          <w:tab w:val="left" w:pos="360"/>
          <w:tab w:val="num" w:pos="809"/>
        </w:tabs>
        <w:spacing w:line="360" w:lineRule="auto"/>
        <w:ind w:left="0" w:firstLine="0"/>
        <w:jc w:val="both"/>
        <w:rPr>
          <w:rFonts w:cs="Arial"/>
        </w:rPr>
      </w:pPr>
      <w:r w:rsidRPr="00171645">
        <w:rPr>
          <w:rFonts w:cs="Arial"/>
          <w:b/>
          <w:bCs/>
        </w:rPr>
        <w:t>Artículos 4, 5 y 11 del TOCAF:</w:t>
      </w:r>
      <w:r>
        <w:rPr>
          <w:rFonts w:cs="Arial"/>
        </w:rPr>
        <w:t xml:space="preserve"> No se dio cumplimiento con</w:t>
      </w:r>
      <w:r w:rsidRPr="00171645">
        <w:rPr>
          <w:rFonts w:cs="Arial"/>
        </w:rPr>
        <w:t xml:space="preserve"> lo dispuesto por las referidas normas, al no depositarse íntegramente las recaudaciones y re</w:t>
      </w:r>
      <w:r w:rsidR="000B3466">
        <w:rPr>
          <w:rFonts w:cs="Arial"/>
        </w:rPr>
        <w:t>alizar pagos con dichos fondos.</w:t>
      </w:r>
    </w:p>
    <w:p w:rsidR="007769FD" w:rsidRPr="008D2EBB" w:rsidRDefault="007769FD" w:rsidP="007769FD">
      <w:pPr>
        <w:pStyle w:val="Encabezado"/>
        <w:numPr>
          <w:ilvl w:val="0"/>
          <w:numId w:val="2"/>
        </w:numPr>
        <w:tabs>
          <w:tab w:val="num" w:pos="0"/>
          <w:tab w:val="left" w:pos="360"/>
          <w:tab w:val="num" w:pos="809"/>
        </w:tabs>
        <w:spacing w:line="360" w:lineRule="auto"/>
        <w:ind w:left="0" w:firstLine="0"/>
        <w:jc w:val="both"/>
        <w:rPr>
          <w:rFonts w:cs="Arial"/>
          <w:b/>
          <w:bCs/>
        </w:rPr>
      </w:pPr>
      <w:r w:rsidRPr="008D2EBB">
        <w:rPr>
          <w:rFonts w:cs="Arial"/>
          <w:b/>
          <w:bCs/>
        </w:rPr>
        <w:t xml:space="preserve">Artículo 12 del TOCAF: </w:t>
      </w:r>
      <w:r w:rsidRPr="008D2EBB">
        <w:rPr>
          <w:rFonts w:cs="Arial"/>
          <w:bCs/>
        </w:rPr>
        <w:t>Se incluyeron integrando el saldo de disponibilidades, cheques diferidos a cobrar por un importe de $ 3:272.974, los cuales constituyen créditos a favor de la Intendencia y no ingresos efectivos al 31 de diciembre de 2015, incumpliéndose lo dispuesto por el Artículo 12 del TOCAF.</w:t>
      </w:r>
    </w:p>
    <w:p w:rsidR="007769FD" w:rsidRPr="00171645" w:rsidRDefault="007769FD" w:rsidP="007769FD">
      <w:pPr>
        <w:pStyle w:val="Encabezado"/>
        <w:numPr>
          <w:ilvl w:val="0"/>
          <w:numId w:val="2"/>
        </w:numPr>
        <w:tabs>
          <w:tab w:val="num" w:pos="0"/>
          <w:tab w:val="left" w:pos="360"/>
          <w:tab w:val="num" w:pos="809"/>
        </w:tabs>
        <w:spacing w:line="360" w:lineRule="auto"/>
        <w:ind w:left="0" w:firstLine="0"/>
        <w:jc w:val="both"/>
        <w:rPr>
          <w:rFonts w:cs="Arial"/>
          <w:b/>
          <w:bCs/>
        </w:rPr>
      </w:pPr>
      <w:r w:rsidRPr="00171645">
        <w:rPr>
          <w:rFonts w:cs="Arial"/>
          <w:b/>
          <w:bCs/>
        </w:rPr>
        <w:t xml:space="preserve">Artículo 14 del TOCAF: </w:t>
      </w:r>
      <w:r w:rsidRPr="00171645">
        <w:rPr>
          <w:rFonts w:cs="Arial"/>
        </w:rPr>
        <w:t xml:space="preserve">Se ejecutaron gastos que no fueron ordenados previamente por la autoridad competente, contraviniendo lo dispuesto por esta norma, lo </w:t>
      </w:r>
      <w:r>
        <w:rPr>
          <w:rFonts w:cs="Arial"/>
        </w:rPr>
        <w:t>que</w:t>
      </w:r>
      <w:r w:rsidRPr="00171645">
        <w:rPr>
          <w:rFonts w:cs="Arial"/>
        </w:rPr>
        <w:t xml:space="preserve"> fue observ</w:t>
      </w:r>
      <w:r w:rsidR="000B3466">
        <w:rPr>
          <w:rFonts w:cs="Arial"/>
        </w:rPr>
        <w:t>ado por la Contadora Delegada.</w:t>
      </w:r>
    </w:p>
    <w:p w:rsidR="007769FD" w:rsidRPr="008D2EBB" w:rsidRDefault="007769FD" w:rsidP="007769FD">
      <w:pPr>
        <w:pStyle w:val="Encabezado"/>
        <w:numPr>
          <w:ilvl w:val="0"/>
          <w:numId w:val="2"/>
        </w:numPr>
        <w:tabs>
          <w:tab w:val="num" w:pos="0"/>
          <w:tab w:val="left" w:pos="360"/>
          <w:tab w:val="num" w:pos="809"/>
        </w:tabs>
        <w:spacing w:line="360" w:lineRule="auto"/>
        <w:ind w:left="0" w:firstLine="0"/>
        <w:jc w:val="both"/>
        <w:rPr>
          <w:rFonts w:cs="Arial"/>
          <w:b/>
          <w:bCs/>
        </w:rPr>
      </w:pPr>
      <w:r w:rsidRPr="008D2EBB">
        <w:rPr>
          <w:rFonts w:cs="Arial"/>
          <w:b/>
          <w:bCs/>
        </w:rPr>
        <w:lastRenderedPageBreak/>
        <w:t xml:space="preserve">Artículo 23 del TOCAF: </w:t>
      </w:r>
      <w:r w:rsidRPr="008D2EBB">
        <w:rPr>
          <w:rFonts w:cs="Arial"/>
        </w:rPr>
        <w:t>Durante</w:t>
      </w:r>
      <w:r w:rsidRPr="008D2EBB">
        <w:rPr>
          <w:rFonts w:cs="Arial"/>
          <w:b/>
          <w:bCs/>
        </w:rPr>
        <w:t xml:space="preserve"> </w:t>
      </w:r>
      <w:r>
        <w:rPr>
          <w:rFonts w:cs="Arial"/>
        </w:rPr>
        <w:t>el E</w:t>
      </w:r>
      <w:r w:rsidRPr="008D2EBB">
        <w:rPr>
          <w:rFonts w:cs="Arial"/>
        </w:rPr>
        <w:t xml:space="preserve">jercicio 2015 se realizaron pagos cuyas órdenes de pago no contaban con las </w:t>
      </w:r>
      <w:r>
        <w:rPr>
          <w:rFonts w:cs="Arial"/>
        </w:rPr>
        <w:t>formalidades exigidas por este A</w:t>
      </w:r>
      <w:r w:rsidRPr="008D2EBB">
        <w:rPr>
          <w:rFonts w:cs="Arial"/>
        </w:rPr>
        <w:t>rtículo</w:t>
      </w:r>
      <w:r>
        <w:rPr>
          <w:rFonts w:cs="Arial"/>
        </w:rPr>
        <w:t>.</w:t>
      </w:r>
    </w:p>
    <w:p w:rsidR="007769FD" w:rsidRPr="008D2EBB" w:rsidRDefault="007769FD" w:rsidP="007769FD">
      <w:pPr>
        <w:pStyle w:val="Encabezado"/>
        <w:numPr>
          <w:ilvl w:val="0"/>
          <w:numId w:val="2"/>
        </w:numPr>
        <w:tabs>
          <w:tab w:val="num" w:pos="0"/>
          <w:tab w:val="left" w:pos="360"/>
          <w:tab w:val="num" w:pos="809"/>
        </w:tabs>
        <w:spacing w:line="360" w:lineRule="auto"/>
        <w:ind w:left="0" w:firstLine="0"/>
        <w:jc w:val="both"/>
        <w:rPr>
          <w:rFonts w:cs="Arial"/>
          <w:b/>
          <w:bCs/>
        </w:rPr>
      </w:pPr>
      <w:r w:rsidRPr="008D2EBB">
        <w:rPr>
          <w:rFonts w:cs="Arial"/>
          <w:b/>
          <w:bCs/>
        </w:rPr>
        <w:t xml:space="preserve">Artículo 33 del TOCAF: </w:t>
      </w:r>
      <w:r w:rsidRPr="008D2EBB">
        <w:rPr>
          <w:rFonts w:cs="Arial"/>
          <w:bCs/>
        </w:rPr>
        <w:t>En algunos casos n</w:t>
      </w:r>
      <w:r>
        <w:rPr>
          <w:rFonts w:cs="Arial"/>
        </w:rPr>
        <w:t>o se dio cumplimiento con</w:t>
      </w:r>
      <w:r w:rsidRPr="008D2EBB">
        <w:rPr>
          <w:rFonts w:cs="Arial"/>
        </w:rPr>
        <w:t xml:space="preserve"> lo establecido por esta norma, al efectuarse adquisiciones de bienes y servicios en forma directa sin dejar constancia de sus </w:t>
      </w:r>
      <w:r>
        <w:rPr>
          <w:rFonts w:cs="Arial"/>
        </w:rPr>
        <w:t>fundamentos cuando, de acuerdo con el</w:t>
      </w:r>
      <w:r w:rsidRPr="008D2EBB">
        <w:rPr>
          <w:rFonts w:cs="Arial"/>
        </w:rPr>
        <w:t xml:space="preserve"> monto</w:t>
      </w:r>
      <w:r>
        <w:rPr>
          <w:rFonts w:cs="Arial"/>
        </w:rPr>
        <w:t>,</w:t>
      </w:r>
      <w:r w:rsidRPr="008D2EBB">
        <w:rPr>
          <w:rFonts w:cs="Arial"/>
        </w:rPr>
        <w:t xml:space="preserve"> hubiera correspondido otra forma  de contratación. La Contadora Delegada </w:t>
      </w:r>
      <w:r w:rsidR="000B3466">
        <w:rPr>
          <w:rFonts w:cs="Arial"/>
        </w:rPr>
        <w:t>observó gastos por este motivo.</w:t>
      </w:r>
    </w:p>
    <w:p w:rsidR="007769FD" w:rsidRPr="00171645" w:rsidRDefault="007769FD" w:rsidP="007769FD">
      <w:pPr>
        <w:pStyle w:val="Encabezado"/>
        <w:numPr>
          <w:ilvl w:val="0"/>
          <w:numId w:val="2"/>
        </w:numPr>
        <w:tabs>
          <w:tab w:val="num" w:pos="0"/>
          <w:tab w:val="left" w:pos="360"/>
          <w:tab w:val="num" w:pos="809"/>
        </w:tabs>
        <w:spacing w:line="360" w:lineRule="auto"/>
        <w:ind w:left="0" w:firstLine="0"/>
        <w:jc w:val="both"/>
        <w:rPr>
          <w:rFonts w:cs="Arial"/>
          <w:b/>
          <w:bCs/>
        </w:rPr>
      </w:pPr>
      <w:r w:rsidRPr="00171645">
        <w:rPr>
          <w:rFonts w:cs="Arial"/>
          <w:b/>
        </w:rPr>
        <w:t>Artículos 90 y 154 del TOCAF</w:t>
      </w:r>
      <w:r w:rsidRPr="00171645">
        <w:rPr>
          <w:rFonts w:cs="Arial"/>
          <w:b/>
          <w:bCs/>
        </w:rPr>
        <w:t>:</w:t>
      </w:r>
      <w:r w:rsidRPr="00171645">
        <w:rPr>
          <w:rFonts w:cs="Arial"/>
          <w:b/>
        </w:rPr>
        <w:t xml:space="preserve"> </w:t>
      </w:r>
      <w:r w:rsidRPr="00171645">
        <w:rPr>
          <w:rFonts w:cs="Arial"/>
        </w:rPr>
        <w:t xml:space="preserve">La Administración no ha efectuado contrato de fianza o seguro de caución de fidelidad respecto de la totalidad de los funcionarios </w:t>
      </w:r>
      <w:r w:rsidR="000B3466">
        <w:rPr>
          <w:rFonts w:cs="Arial"/>
        </w:rPr>
        <w:t>que custodian fondos o valores.</w:t>
      </w:r>
    </w:p>
    <w:p w:rsidR="007769FD" w:rsidRPr="00171645" w:rsidRDefault="007769FD" w:rsidP="007769FD">
      <w:pPr>
        <w:numPr>
          <w:ilvl w:val="0"/>
          <w:numId w:val="2"/>
        </w:numPr>
        <w:tabs>
          <w:tab w:val="num" w:pos="0"/>
          <w:tab w:val="left" w:pos="360"/>
          <w:tab w:val="num" w:pos="809"/>
        </w:tabs>
        <w:spacing w:line="360" w:lineRule="auto"/>
        <w:ind w:left="0" w:firstLine="0"/>
        <w:jc w:val="both"/>
        <w:rPr>
          <w:rFonts w:cs="Arial"/>
        </w:rPr>
      </w:pPr>
      <w:r w:rsidRPr="00171645">
        <w:rPr>
          <w:rFonts w:cs="Arial"/>
          <w:b/>
        </w:rPr>
        <w:t>Artículo 94 del TOCAF</w:t>
      </w:r>
      <w:r w:rsidRPr="00171645">
        <w:rPr>
          <w:rFonts w:cs="Arial"/>
          <w:b/>
          <w:bCs/>
        </w:rPr>
        <w:t xml:space="preserve"> </w:t>
      </w:r>
      <w:r w:rsidRPr="00171645">
        <w:rPr>
          <w:rFonts w:cs="Arial"/>
          <w:b/>
        </w:rPr>
        <w:t>y Ordenanza N° 81 del Tribunal de Cuentas:</w:t>
      </w:r>
      <w:r w:rsidRPr="00171645">
        <w:rPr>
          <w:rFonts w:cs="Arial"/>
        </w:rPr>
        <w:t xml:space="preserve"> No se ha implementado en la Intendencia un sistema de contabilidad patrimonial, </w:t>
      </w:r>
      <w:r>
        <w:rPr>
          <w:rFonts w:cs="Arial"/>
        </w:rPr>
        <w:t xml:space="preserve"> </w:t>
      </w:r>
      <w:r w:rsidRPr="00171645">
        <w:rPr>
          <w:rFonts w:cs="Arial"/>
        </w:rPr>
        <w:t>que permita cumplir con lo establecido por estas normas.</w:t>
      </w:r>
    </w:p>
    <w:p w:rsidR="007769FD" w:rsidRPr="00171645" w:rsidRDefault="007769FD" w:rsidP="007769FD">
      <w:pPr>
        <w:numPr>
          <w:ilvl w:val="0"/>
          <w:numId w:val="2"/>
        </w:numPr>
        <w:tabs>
          <w:tab w:val="num" w:pos="0"/>
          <w:tab w:val="left" w:pos="360"/>
          <w:tab w:val="num" w:pos="809"/>
        </w:tabs>
        <w:spacing w:line="360" w:lineRule="auto"/>
        <w:ind w:left="0" w:firstLine="0"/>
        <w:jc w:val="both"/>
        <w:rPr>
          <w:rFonts w:cs="Arial"/>
          <w:b/>
          <w:bCs/>
        </w:rPr>
      </w:pPr>
      <w:r w:rsidRPr="00171645">
        <w:rPr>
          <w:rFonts w:cs="Arial"/>
          <w:b/>
          <w:bCs/>
        </w:rPr>
        <w:t>Artículo</w:t>
      </w:r>
      <w:r>
        <w:rPr>
          <w:rFonts w:cs="Arial"/>
          <w:b/>
          <w:bCs/>
        </w:rPr>
        <w:t>s</w:t>
      </w:r>
      <w:r w:rsidRPr="00171645">
        <w:rPr>
          <w:rFonts w:cs="Arial"/>
          <w:b/>
          <w:bCs/>
        </w:rPr>
        <w:t xml:space="preserve"> 84 y 97 del TOCAF: </w:t>
      </w:r>
      <w:r w:rsidRPr="00171645">
        <w:rPr>
          <w:rFonts w:cs="Arial"/>
        </w:rPr>
        <w:t xml:space="preserve">El inventario de la Intendencia no se encuentra actualizado por lo que no incluye la totalidad de los bienes. Asimismo, no se identifica la fecha de incorporación </w:t>
      </w:r>
      <w:r w:rsidR="000B3466">
        <w:rPr>
          <w:rFonts w:cs="Arial"/>
        </w:rPr>
        <w:t>de los mismos ni su valuación.</w:t>
      </w:r>
    </w:p>
    <w:p w:rsidR="007769FD" w:rsidRPr="00171645" w:rsidRDefault="007769FD" w:rsidP="007769FD">
      <w:pPr>
        <w:numPr>
          <w:ilvl w:val="0"/>
          <w:numId w:val="2"/>
        </w:numPr>
        <w:tabs>
          <w:tab w:val="num" w:pos="0"/>
          <w:tab w:val="left" w:pos="360"/>
          <w:tab w:val="num" w:pos="809"/>
        </w:tabs>
        <w:spacing w:line="360" w:lineRule="auto"/>
        <w:ind w:left="0" w:firstLine="0"/>
        <w:jc w:val="both"/>
        <w:rPr>
          <w:rFonts w:cs="Arial"/>
          <w:b/>
          <w:bCs/>
        </w:rPr>
      </w:pPr>
      <w:r w:rsidRPr="00171645">
        <w:rPr>
          <w:rFonts w:cs="Arial"/>
          <w:b/>
          <w:bCs/>
        </w:rPr>
        <w:t>Artículo 99 del TOCAF:</w:t>
      </w:r>
      <w:r w:rsidRPr="00171645">
        <w:rPr>
          <w:rFonts w:cs="Arial"/>
          <w:b/>
        </w:rPr>
        <w:t xml:space="preserve"> </w:t>
      </w:r>
      <w:r w:rsidRPr="00171645">
        <w:rPr>
          <w:rFonts w:cs="Arial"/>
        </w:rPr>
        <w:t>La Intendencia no</w:t>
      </w:r>
      <w:r w:rsidRPr="00171645">
        <w:rPr>
          <w:rFonts w:cs="Arial"/>
          <w:b/>
          <w:bCs/>
        </w:rPr>
        <w:t xml:space="preserve"> </w:t>
      </w:r>
      <w:r w:rsidRPr="00171645">
        <w:rPr>
          <w:rFonts w:cs="Arial"/>
        </w:rPr>
        <w:t>cuenta con un registro permanente de fondos y valores por lo</w:t>
      </w:r>
      <w:r w:rsidR="000B3466">
        <w:rPr>
          <w:rFonts w:cs="Arial"/>
        </w:rPr>
        <w:t>s cuales deba rendirse cuentas.</w:t>
      </w:r>
    </w:p>
    <w:p w:rsidR="007769FD" w:rsidRPr="00171645" w:rsidRDefault="007769FD" w:rsidP="007769FD">
      <w:pPr>
        <w:numPr>
          <w:ilvl w:val="0"/>
          <w:numId w:val="2"/>
        </w:numPr>
        <w:tabs>
          <w:tab w:val="num" w:pos="0"/>
          <w:tab w:val="left" w:pos="360"/>
          <w:tab w:val="num" w:pos="809"/>
        </w:tabs>
        <w:spacing w:line="360" w:lineRule="auto"/>
        <w:ind w:left="0" w:firstLine="0"/>
        <w:jc w:val="both"/>
        <w:rPr>
          <w:rFonts w:cs="Arial"/>
        </w:rPr>
      </w:pPr>
      <w:r w:rsidRPr="00171645">
        <w:rPr>
          <w:rFonts w:cs="Arial"/>
          <w:b/>
          <w:bCs/>
        </w:rPr>
        <w:t xml:space="preserve">Artículo 102 Numeral 3) del TOCAF: </w:t>
      </w:r>
      <w:r w:rsidRPr="00171645">
        <w:rPr>
          <w:rFonts w:cs="Arial"/>
        </w:rPr>
        <w:t>Al comprometerse los gastos, no se efectuó la afectación previa de los objetos correspondientes, incumplien</w:t>
      </w:r>
      <w:r w:rsidR="000B3466">
        <w:rPr>
          <w:rFonts w:cs="Arial"/>
        </w:rPr>
        <w:t>do lo dispuesto por esta norma.</w:t>
      </w:r>
    </w:p>
    <w:p w:rsidR="007769FD" w:rsidRPr="00171645" w:rsidRDefault="007769FD" w:rsidP="007769FD">
      <w:pPr>
        <w:numPr>
          <w:ilvl w:val="0"/>
          <w:numId w:val="2"/>
        </w:numPr>
        <w:tabs>
          <w:tab w:val="num" w:pos="0"/>
          <w:tab w:val="left" w:pos="360"/>
          <w:tab w:val="num" w:pos="809"/>
        </w:tabs>
        <w:spacing w:line="360" w:lineRule="auto"/>
        <w:ind w:left="0" w:firstLine="0"/>
        <w:jc w:val="both"/>
        <w:rPr>
          <w:rFonts w:cs="Arial"/>
          <w:b/>
          <w:bCs/>
        </w:rPr>
      </w:pPr>
      <w:r w:rsidRPr="00171645">
        <w:rPr>
          <w:rFonts w:cs="Arial"/>
          <w:b/>
          <w:bCs/>
        </w:rPr>
        <w:t xml:space="preserve">Artículo 111 Numeral 6) del TOCAF: </w:t>
      </w:r>
      <w:r w:rsidRPr="00171645">
        <w:rPr>
          <w:rFonts w:cs="Arial"/>
        </w:rPr>
        <w:t>No se dio cumplim</w:t>
      </w:r>
      <w:r>
        <w:rPr>
          <w:rFonts w:cs="Arial"/>
        </w:rPr>
        <w:t>iento con</w:t>
      </w:r>
      <w:r w:rsidRPr="00171645">
        <w:rPr>
          <w:rFonts w:cs="Arial"/>
        </w:rPr>
        <w:t xml:space="preserve"> lo dispuesto por esta norma</w:t>
      </w:r>
      <w:r>
        <w:rPr>
          <w:rFonts w:cs="Arial"/>
        </w:rPr>
        <w:t>,</w:t>
      </w:r>
      <w:r w:rsidRPr="00171645">
        <w:rPr>
          <w:rFonts w:cs="Arial"/>
        </w:rPr>
        <w:t xml:space="preserve"> ya que la unidad de Auditoría Interna no coordinó con el Tribunal de Cuentas la planificación de las </w:t>
      </w:r>
      <w:r w:rsidR="000B3466">
        <w:rPr>
          <w:rFonts w:cs="Arial"/>
        </w:rPr>
        <w:t>tareas de auditoría a realizar.</w:t>
      </w:r>
    </w:p>
    <w:p w:rsidR="007769FD" w:rsidRPr="00171645" w:rsidRDefault="007769FD" w:rsidP="007769FD">
      <w:pPr>
        <w:numPr>
          <w:ilvl w:val="0"/>
          <w:numId w:val="2"/>
        </w:numPr>
        <w:tabs>
          <w:tab w:val="num" w:pos="0"/>
          <w:tab w:val="left" w:pos="360"/>
          <w:tab w:val="num" w:pos="809"/>
        </w:tabs>
        <w:spacing w:line="360" w:lineRule="auto"/>
        <w:ind w:left="0" w:firstLine="0"/>
        <w:jc w:val="both"/>
        <w:rPr>
          <w:rFonts w:cs="Arial"/>
          <w:b/>
        </w:rPr>
      </w:pPr>
      <w:r w:rsidRPr="00171645">
        <w:rPr>
          <w:rFonts w:cs="Arial"/>
          <w:b/>
          <w:bCs/>
        </w:rPr>
        <w:t>Artículos 102 y 119 del TOCAF:</w:t>
      </w:r>
      <w:r w:rsidRPr="00171645">
        <w:rPr>
          <w:rFonts w:cs="Arial"/>
          <w:b/>
        </w:rPr>
        <w:t xml:space="preserve"> </w:t>
      </w:r>
      <w:r w:rsidRPr="00171645">
        <w:rPr>
          <w:rFonts w:cs="Arial"/>
        </w:rPr>
        <w:t>No se efectua</w:t>
      </w:r>
      <w:r w:rsidR="000B3466">
        <w:rPr>
          <w:rFonts w:cs="Arial"/>
        </w:rPr>
        <w:t>ron arqueos en forma periódica.</w:t>
      </w:r>
    </w:p>
    <w:p w:rsidR="007769FD" w:rsidRPr="00171645" w:rsidRDefault="007769FD" w:rsidP="007769FD">
      <w:pPr>
        <w:numPr>
          <w:ilvl w:val="0"/>
          <w:numId w:val="2"/>
        </w:numPr>
        <w:tabs>
          <w:tab w:val="num" w:pos="0"/>
          <w:tab w:val="left" w:pos="360"/>
          <w:tab w:val="num" w:pos="809"/>
        </w:tabs>
        <w:spacing w:line="360" w:lineRule="auto"/>
        <w:ind w:left="0" w:firstLine="0"/>
        <w:jc w:val="both"/>
        <w:rPr>
          <w:rFonts w:cs="Arial"/>
          <w:b/>
        </w:rPr>
      </w:pPr>
      <w:r w:rsidRPr="00171645">
        <w:rPr>
          <w:rFonts w:cs="Arial"/>
          <w:b/>
          <w:bCs/>
        </w:rPr>
        <w:lastRenderedPageBreak/>
        <w:t>Artículo 128 del TOCAF:</w:t>
      </w:r>
      <w:r w:rsidRPr="00171645">
        <w:rPr>
          <w:rFonts w:cs="Arial"/>
          <w:b/>
        </w:rPr>
        <w:t xml:space="preserve"> </w:t>
      </w:r>
      <w:r w:rsidRPr="00171645">
        <w:rPr>
          <w:rFonts w:cs="Arial"/>
        </w:rPr>
        <w:t>El estado demostrativo del grado de cumplimiento de los objetivos y metas programadas, incluye información parcial sobre los mismos al no identificar para cada obra, las unidades f</w:t>
      </w:r>
      <w:r w:rsidR="000B3466">
        <w:rPr>
          <w:rFonts w:cs="Arial"/>
        </w:rPr>
        <w:t>ísicas previstas y ejecutadas.</w:t>
      </w:r>
    </w:p>
    <w:p w:rsidR="007769FD" w:rsidRPr="00171645" w:rsidRDefault="007769FD" w:rsidP="007769FD">
      <w:pPr>
        <w:numPr>
          <w:ilvl w:val="0"/>
          <w:numId w:val="2"/>
        </w:numPr>
        <w:tabs>
          <w:tab w:val="num" w:pos="0"/>
          <w:tab w:val="num" w:pos="809"/>
        </w:tabs>
        <w:spacing w:line="360" w:lineRule="auto"/>
        <w:ind w:left="0" w:firstLine="0"/>
        <w:jc w:val="both"/>
        <w:rPr>
          <w:rFonts w:cs="Arial"/>
        </w:rPr>
      </w:pPr>
      <w:r w:rsidRPr="00171645">
        <w:rPr>
          <w:rFonts w:cs="Arial"/>
          <w:b/>
          <w:bCs/>
        </w:rPr>
        <w:t xml:space="preserve">Artículo 37 del Presupuesto Quinquenal 2006-2010: </w:t>
      </w:r>
      <w:r w:rsidRPr="00171645">
        <w:rPr>
          <w:rFonts w:cs="Arial"/>
          <w:bCs/>
        </w:rPr>
        <w:t>E</w:t>
      </w:r>
      <w:r w:rsidRPr="00171645">
        <w:rPr>
          <w:rFonts w:cs="Arial"/>
        </w:rPr>
        <w:t>l salario vacacional no fue siempre abonado al momento de g</w:t>
      </w:r>
      <w:r w:rsidR="000B3466">
        <w:rPr>
          <w:rFonts w:cs="Arial"/>
        </w:rPr>
        <w:t>ozar la licencia reglamentaria.</w:t>
      </w:r>
    </w:p>
    <w:p w:rsidR="007769FD" w:rsidRPr="00171645" w:rsidRDefault="007769FD" w:rsidP="007769FD">
      <w:pPr>
        <w:numPr>
          <w:ilvl w:val="0"/>
          <w:numId w:val="2"/>
        </w:numPr>
        <w:tabs>
          <w:tab w:val="num" w:pos="0"/>
          <w:tab w:val="num" w:pos="809"/>
        </w:tabs>
        <w:spacing w:line="360" w:lineRule="auto"/>
        <w:ind w:left="0" w:firstLine="0"/>
        <w:jc w:val="both"/>
        <w:rPr>
          <w:rFonts w:cs="Arial"/>
        </w:rPr>
      </w:pPr>
      <w:r w:rsidRPr="00171645">
        <w:rPr>
          <w:rFonts w:cs="Arial"/>
          <w:b/>
          <w:bCs/>
        </w:rPr>
        <w:t>Artículo 7 de la Ley N° 13.142, Artículo 1 del Decreto-Ley N° 14.632, Decreto</w:t>
      </w:r>
      <w:r w:rsidRPr="00171645">
        <w:rPr>
          <w:rFonts w:cs="Arial"/>
          <w:b/>
        </w:rPr>
        <w:t xml:space="preserve"> 342/992: </w:t>
      </w:r>
      <w:r w:rsidRPr="00171645">
        <w:rPr>
          <w:rFonts w:cs="Arial"/>
        </w:rPr>
        <w:t xml:space="preserve">En oportunidad de efectuar los pagos de los compromisos contraídos, en algunas dependencias no se constata que la totalidad de los proveedores se encuentran en situación </w:t>
      </w:r>
      <w:r w:rsidR="000B3466">
        <w:rPr>
          <w:rFonts w:cs="Arial"/>
        </w:rPr>
        <w:t>regular de pagos con BPS y DGI.</w:t>
      </w:r>
    </w:p>
    <w:p w:rsidR="007769FD" w:rsidRPr="00B07F67" w:rsidRDefault="007769FD" w:rsidP="007769FD">
      <w:pPr>
        <w:numPr>
          <w:ilvl w:val="0"/>
          <w:numId w:val="2"/>
        </w:numPr>
        <w:tabs>
          <w:tab w:val="num" w:pos="0"/>
          <w:tab w:val="num" w:pos="809"/>
        </w:tabs>
        <w:spacing w:line="360" w:lineRule="auto"/>
        <w:ind w:left="0" w:firstLine="0"/>
        <w:jc w:val="both"/>
        <w:rPr>
          <w:rFonts w:cs="Arial"/>
          <w:bCs/>
        </w:rPr>
      </w:pPr>
      <w:r>
        <w:rPr>
          <w:rFonts w:cs="Arial"/>
          <w:b/>
          <w:bCs/>
        </w:rPr>
        <w:t>Artículo 5</w:t>
      </w:r>
      <w:r w:rsidRPr="00171645">
        <w:rPr>
          <w:rFonts w:cs="Arial"/>
          <w:b/>
          <w:bCs/>
        </w:rPr>
        <w:t xml:space="preserve"> de la Ley N° 15.</w:t>
      </w:r>
      <w:r w:rsidRPr="00B07F67">
        <w:rPr>
          <w:rFonts w:cs="Arial"/>
          <w:b/>
          <w:bCs/>
        </w:rPr>
        <w:t xml:space="preserve">900 y Ley N° 16.195: </w:t>
      </w:r>
      <w:r w:rsidRPr="00B07F67">
        <w:rPr>
          <w:rFonts w:cs="Arial"/>
          <w:bCs/>
        </w:rPr>
        <w:t xml:space="preserve">Los subsidios a los cargos políticos de la mencionada norma, no fueron ajustados en la misma oportunidad que los sueldos que los originaron como hubiera correspondido. </w:t>
      </w:r>
      <w:r>
        <w:rPr>
          <w:rFonts w:cs="Arial"/>
          <w:bCs/>
        </w:rPr>
        <w:t>La Administración corrigió el error en el mes de mayo de 2015</w:t>
      </w:r>
      <w:r w:rsidR="000B3466">
        <w:rPr>
          <w:rFonts w:cs="Arial"/>
          <w:bCs/>
        </w:rPr>
        <w:t>.</w:t>
      </w:r>
    </w:p>
    <w:p w:rsidR="007769FD" w:rsidRPr="00171645" w:rsidRDefault="007769FD" w:rsidP="007769FD">
      <w:pPr>
        <w:numPr>
          <w:ilvl w:val="0"/>
          <w:numId w:val="2"/>
        </w:numPr>
        <w:tabs>
          <w:tab w:val="num" w:pos="0"/>
          <w:tab w:val="left" w:pos="360"/>
          <w:tab w:val="num" w:pos="809"/>
          <w:tab w:val="num" w:pos="885"/>
        </w:tabs>
        <w:spacing w:line="360" w:lineRule="auto"/>
        <w:ind w:left="0" w:firstLine="0"/>
        <w:jc w:val="both"/>
        <w:rPr>
          <w:rFonts w:cs="Arial"/>
          <w:bCs/>
        </w:rPr>
      </w:pPr>
      <w:r>
        <w:rPr>
          <w:rFonts w:cs="Arial"/>
          <w:b/>
          <w:bCs/>
        </w:rPr>
        <w:t>Artículo 34</w:t>
      </w:r>
      <w:r w:rsidRPr="00171645">
        <w:rPr>
          <w:rFonts w:cs="Arial"/>
          <w:b/>
          <w:bCs/>
        </w:rPr>
        <w:t xml:space="preserve"> de la Ley N° 19.210: </w:t>
      </w:r>
      <w:r w:rsidRPr="00171645">
        <w:rPr>
          <w:rFonts w:cs="Arial"/>
          <w:bCs/>
        </w:rPr>
        <w:t>Al efectuar las retenciones sobre retribuciones salariales, no siempre se cumple con los topes exigidos por</w:t>
      </w:r>
      <w:r>
        <w:rPr>
          <w:rFonts w:cs="Arial"/>
          <w:bCs/>
        </w:rPr>
        <w:t xml:space="preserve"> esta Ley (modificación del Artículo 3</w:t>
      </w:r>
      <w:r w:rsidRPr="00171645">
        <w:rPr>
          <w:rFonts w:cs="Arial"/>
          <w:bCs/>
        </w:rPr>
        <w:t xml:space="preserve"> de la Ley N° 17.829).</w:t>
      </w:r>
    </w:p>
    <w:p w:rsidR="007769FD" w:rsidRPr="00171645" w:rsidRDefault="007769FD" w:rsidP="007769FD">
      <w:pPr>
        <w:numPr>
          <w:ilvl w:val="0"/>
          <w:numId w:val="2"/>
        </w:numPr>
        <w:tabs>
          <w:tab w:val="num" w:pos="0"/>
          <w:tab w:val="left" w:pos="360"/>
          <w:tab w:val="num" w:pos="809"/>
          <w:tab w:val="num" w:pos="885"/>
        </w:tabs>
        <w:spacing w:line="360" w:lineRule="auto"/>
        <w:ind w:left="0" w:firstLine="0"/>
        <w:jc w:val="both"/>
        <w:rPr>
          <w:rFonts w:cs="Arial"/>
          <w:bCs/>
        </w:rPr>
      </w:pPr>
      <w:r w:rsidRPr="00171645">
        <w:rPr>
          <w:rFonts w:cs="Arial"/>
          <w:b/>
          <w:bCs/>
        </w:rPr>
        <w:t>Artículo 13 Numeral 18 de la Ley N°</w:t>
      </w:r>
      <w:r>
        <w:rPr>
          <w:rFonts w:cs="Arial"/>
          <w:b/>
          <w:bCs/>
        </w:rPr>
        <w:t xml:space="preserve"> </w:t>
      </w:r>
      <w:r w:rsidRPr="00171645">
        <w:rPr>
          <w:rFonts w:cs="Arial"/>
          <w:b/>
          <w:bCs/>
        </w:rPr>
        <w:t xml:space="preserve">19.272: </w:t>
      </w:r>
      <w:r w:rsidRPr="00171645">
        <w:rPr>
          <w:rFonts w:cs="Arial"/>
          <w:bCs/>
        </w:rPr>
        <w:t>Los Municipios no realizaron la Rendición de Cuentas anual ante el Gobierno Departamental dura</w:t>
      </w:r>
      <w:r>
        <w:rPr>
          <w:rFonts w:cs="Arial"/>
          <w:bCs/>
        </w:rPr>
        <w:t>nte el E</w:t>
      </w:r>
      <w:r w:rsidRPr="00171645">
        <w:rPr>
          <w:rFonts w:cs="Arial"/>
          <w:bCs/>
        </w:rPr>
        <w:t>jercici</w:t>
      </w:r>
      <w:r w:rsidR="000B3466">
        <w:rPr>
          <w:rFonts w:cs="Arial"/>
          <w:bCs/>
        </w:rPr>
        <w:t>o 2015.</w:t>
      </w:r>
    </w:p>
    <w:p w:rsidR="007769FD" w:rsidRPr="00171645" w:rsidRDefault="007769FD" w:rsidP="007769FD">
      <w:pPr>
        <w:numPr>
          <w:ilvl w:val="0"/>
          <w:numId w:val="2"/>
        </w:numPr>
        <w:tabs>
          <w:tab w:val="num" w:pos="0"/>
          <w:tab w:val="left" w:pos="360"/>
          <w:tab w:val="num" w:pos="809"/>
        </w:tabs>
        <w:spacing w:line="360" w:lineRule="auto"/>
        <w:ind w:left="0" w:firstLine="0"/>
        <w:jc w:val="both"/>
        <w:rPr>
          <w:rFonts w:cs="Arial"/>
        </w:rPr>
      </w:pPr>
      <w:r w:rsidRPr="00171645">
        <w:rPr>
          <w:rFonts w:cs="Arial"/>
          <w:b/>
        </w:rPr>
        <w:t>Decreto N° 388/92 y Resolución N° 688/92</w:t>
      </w:r>
      <w:r w:rsidRPr="00171645">
        <w:rPr>
          <w:rFonts w:cs="Arial"/>
          <w:b/>
          <w:bCs/>
        </w:rPr>
        <w:t>:</w:t>
      </w:r>
      <w:r w:rsidRPr="00171645">
        <w:rPr>
          <w:rFonts w:cs="Arial"/>
        </w:rPr>
        <w:t xml:space="preserve"> Se realizaron compras sin existir documentación oficial que las respalde. La Contadora Delegada observó gastos por este motivo.</w:t>
      </w:r>
    </w:p>
    <w:p w:rsidR="007769FD" w:rsidRPr="00BA3F34" w:rsidRDefault="007769FD" w:rsidP="007769FD">
      <w:pPr>
        <w:numPr>
          <w:ilvl w:val="0"/>
          <w:numId w:val="2"/>
        </w:numPr>
        <w:tabs>
          <w:tab w:val="num" w:pos="0"/>
          <w:tab w:val="num" w:pos="809"/>
        </w:tabs>
        <w:spacing w:line="360" w:lineRule="auto"/>
        <w:ind w:left="0" w:firstLine="0"/>
        <w:jc w:val="both"/>
        <w:rPr>
          <w:rFonts w:cs="Arial"/>
          <w:bCs/>
        </w:rPr>
      </w:pPr>
      <w:r w:rsidRPr="00171645">
        <w:rPr>
          <w:rFonts w:cs="Arial"/>
          <w:b/>
        </w:rPr>
        <w:t>Decretos de fechas 03/05/2010 y 30/06/2010 de la Junta Departamental:</w:t>
      </w:r>
      <w:r w:rsidRPr="00171645">
        <w:rPr>
          <w:rFonts w:cs="Arial"/>
        </w:rPr>
        <w:t xml:space="preserve"> Los ajustes de algunos sue</w:t>
      </w:r>
      <w:r>
        <w:rPr>
          <w:rFonts w:cs="Arial"/>
        </w:rPr>
        <w:t>ldos no se hicieron de acuerdo con el</w:t>
      </w:r>
      <w:r w:rsidRPr="00171645">
        <w:rPr>
          <w:rFonts w:cs="Arial"/>
        </w:rPr>
        <w:t xml:space="preserve"> Índice </w:t>
      </w:r>
      <w:r>
        <w:rPr>
          <w:rFonts w:cs="Arial"/>
        </w:rPr>
        <w:t xml:space="preserve"> de Precios al Consumo</w:t>
      </w:r>
      <w:r w:rsidRPr="00171645">
        <w:rPr>
          <w:rFonts w:cs="Arial"/>
        </w:rPr>
        <w:t xml:space="preserve">. </w:t>
      </w:r>
      <w:r>
        <w:rPr>
          <w:rFonts w:cs="Arial"/>
          <w:bCs/>
        </w:rPr>
        <w:t>Si bien hubo error en el ajuste</w:t>
      </w:r>
      <w:r w:rsidRPr="00B07F67">
        <w:rPr>
          <w:rFonts w:cs="Arial"/>
          <w:bCs/>
        </w:rPr>
        <w:t>, los mismos fueron subsanados por parte de la Administración, en los</w:t>
      </w:r>
      <w:r w:rsidR="000B3466">
        <w:rPr>
          <w:rFonts w:cs="Arial"/>
          <w:bCs/>
        </w:rPr>
        <w:t xml:space="preserve"> meses de marzo y mayo de 2015.</w:t>
      </w:r>
    </w:p>
    <w:p w:rsidR="007769FD" w:rsidRPr="00171645" w:rsidRDefault="007769FD" w:rsidP="007769FD">
      <w:pPr>
        <w:numPr>
          <w:ilvl w:val="0"/>
          <w:numId w:val="2"/>
        </w:numPr>
        <w:tabs>
          <w:tab w:val="num" w:pos="0"/>
          <w:tab w:val="left" w:pos="360"/>
          <w:tab w:val="num" w:pos="809"/>
        </w:tabs>
        <w:spacing w:line="360" w:lineRule="auto"/>
        <w:ind w:left="0" w:firstLine="0"/>
        <w:jc w:val="both"/>
        <w:rPr>
          <w:rFonts w:cs="Arial"/>
          <w:b/>
          <w:bCs/>
        </w:rPr>
      </w:pPr>
      <w:r w:rsidRPr="00171645">
        <w:rPr>
          <w:rFonts w:cs="Arial"/>
          <w:b/>
          <w:bCs/>
        </w:rPr>
        <w:lastRenderedPageBreak/>
        <w:t>Convenio N° 30 de la OIT:</w:t>
      </w:r>
      <w:r w:rsidRPr="00171645">
        <w:rPr>
          <w:rFonts w:cs="Arial"/>
        </w:rPr>
        <w:t xml:space="preserve"> Las hora</w:t>
      </w:r>
      <w:r>
        <w:rPr>
          <w:rFonts w:cs="Arial"/>
        </w:rPr>
        <w:t>s extras realizadas durante el E</w:t>
      </w:r>
      <w:r w:rsidRPr="00171645">
        <w:rPr>
          <w:rFonts w:cs="Arial"/>
        </w:rPr>
        <w:t>jercicio 201</w:t>
      </w:r>
      <w:r>
        <w:rPr>
          <w:rFonts w:cs="Arial"/>
        </w:rPr>
        <w:t>5</w:t>
      </w:r>
      <w:r w:rsidRPr="00171645">
        <w:rPr>
          <w:rFonts w:cs="Arial"/>
        </w:rPr>
        <w:t>, en algunos casos superaron los límites</w:t>
      </w:r>
      <w:r w:rsidR="000B3466">
        <w:rPr>
          <w:rFonts w:cs="Arial"/>
        </w:rPr>
        <w:t xml:space="preserve"> establecidos por estas normas.</w:t>
      </w:r>
    </w:p>
    <w:p w:rsidR="007769FD" w:rsidRPr="00171645" w:rsidRDefault="007769FD" w:rsidP="007769FD">
      <w:pPr>
        <w:pStyle w:val="Encabezado"/>
        <w:numPr>
          <w:ilvl w:val="0"/>
          <w:numId w:val="2"/>
        </w:numPr>
        <w:tabs>
          <w:tab w:val="num" w:pos="0"/>
          <w:tab w:val="left" w:pos="360"/>
          <w:tab w:val="num" w:pos="809"/>
        </w:tabs>
        <w:spacing w:line="360" w:lineRule="auto"/>
        <w:ind w:left="0" w:firstLine="0"/>
        <w:jc w:val="both"/>
        <w:rPr>
          <w:rFonts w:cs="Arial"/>
        </w:rPr>
      </w:pPr>
      <w:r w:rsidRPr="00171645">
        <w:rPr>
          <w:rFonts w:cs="Arial"/>
          <w:b/>
          <w:bCs/>
        </w:rPr>
        <w:t>Ordenanza Nº 62 del Tribunal de Cuentas:</w:t>
      </w:r>
      <w:r w:rsidRPr="00171645">
        <w:rPr>
          <w:rFonts w:cs="Arial"/>
        </w:rPr>
        <w:t xml:space="preserve"> La Intendencia aplicó modificaciones de recursos previamente a que este Tribunal se hubiera expedido, no respetando el procedimiento dispuesto en la citada Ordenanza.  </w:t>
      </w:r>
    </w:p>
    <w:p w:rsidR="007769FD" w:rsidRPr="00171645" w:rsidRDefault="007769FD" w:rsidP="007769FD">
      <w:pPr>
        <w:numPr>
          <w:ilvl w:val="0"/>
          <w:numId w:val="2"/>
        </w:numPr>
        <w:tabs>
          <w:tab w:val="num" w:pos="0"/>
          <w:tab w:val="left" w:pos="360"/>
          <w:tab w:val="num" w:pos="809"/>
        </w:tabs>
        <w:spacing w:line="360" w:lineRule="auto"/>
        <w:ind w:left="0" w:firstLine="0"/>
        <w:jc w:val="both"/>
        <w:rPr>
          <w:rFonts w:cs="Arial"/>
        </w:rPr>
      </w:pPr>
      <w:r w:rsidRPr="00171645">
        <w:rPr>
          <w:rFonts w:cs="Arial"/>
          <w:b/>
          <w:bCs/>
        </w:rPr>
        <w:t xml:space="preserve">Resolución del 28/01/04 del Tribunal de Cuentas: </w:t>
      </w:r>
      <w:r w:rsidRPr="00171645">
        <w:rPr>
          <w:rFonts w:cs="Arial"/>
        </w:rPr>
        <w:t>El documento de la Rendición de Cuentas presentado no se ajustó en su totalidad a lo</w:t>
      </w:r>
      <w:r w:rsidR="000B3466">
        <w:rPr>
          <w:rFonts w:cs="Arial"/>
        </w:rPr>
        <w:t xml:space="preserve"> dispuesto por esta Resolución.</w:t>
      </w:r>
    </w:p>
    <w:p w:rsidR="007769FD" w:rsidRPr="003957FA" w:rsidRDefault="007769FD" w:rsidP="007769FD">
      <w:pPr>
        <w:numPr>
          <w:ilvl w:val="0"/>
          <w:numId w:val="2"/>
        </w:numPr>
        <w:tabs>
          <w:tab w:val="num" w:pos="0"/>
          <w:tab w:val="left" w:pos="360"/>
          <w:tab w:val="num" w:pos="809"/>
        </w:tabs>
        <w:spacing w:line="360" w:lineRule="auto"/>
        <w:ind w:left="0" w:firstLine="0"/>
        <w:jc w:val="both"/>
        <w:rPr>
          <w:rFonts w:cs="Arial"/>
          <w:b/>
          <w:bCs/>
        </w:rPr>
      </w:pPr>
      <w:r w:rsidRPr="00171645">
        <w:rPr>
          <w:rFonts w:cs="Arial"/>
          <w:b/>
        </w:rPr>
        <w:t xml:space="preserve">Resolución del 11/05/05 del Tribunal </w:t>
      </w:r>
      <w:r w:rsidRPr="00171645">
        <w:rPr>
          <w:rFonts w:cs="Arial"/>
          <w:b/>
          <w:bCs/>
        </w:rPr>
        <w:t xml:space="preserve">de Cuentas: </w:t>
      </w:r>
      <w:r w:rsidRPr="00171645">
        <w:rPr>
          <w:rFonts w:cs="Arial"/>
        </w:rPr>
        <w:t>No</w:t>
      </w:r>
      <w:r w:rsidRPr="00171645">
        <w:rPr>
          <w:rFonts w:cs="Arial"/>
          <w:bCs/>
        </w:rPr>
        <w:t xml:space="preserve"> se comunicaron a este Tribunal los inform</w:t>
      </w:r>
      <w:r w:rsidR="000B3466">
        <w:rPr>
          <w:rFonts w:cs="Arial"/>
          <w:bCs/>
        </w:rPr>
        <w:t>es relativos a las concesiones.</w:t>
      </w:r>
    </w:p>
    <w:p w:rsidR="007769FD" w:rsidRPr="00171645" w:rsidRDefault="007769FD" w:rsidP="000B3466">
      <w:pPr>
        <w:tabs>
          <w:tab w:val="left" w:pos="360"/>
          <w:tab w:val="num" w:pos="809"/>
        </w:tabs>
        <w:spacing w:line="360" w:lineRule="auto"/>
        <w:jc w:val="both"/>
        <w:rPr>
          <w:rFonts w:cs="Arial"/>
          <w:b/>
          <w:bCs/>
        </w:rPr>
      </w:pPr>
    </w:p>
    <w:p w:rsidR="007769FD" w:rsidRDefault="007769FD" w:rsidP="000B3466">
      <w:pPr>
        <w:tabs>
          <w:tab w:val="left" w:pos="360"/>
        </w:tabs>
        <w:spacing w:line="360" w:lineRule="auto"/>
        <w:jc w:val="both"/>
        <w:rPr>
          <w:rFonts w:cs="Arial"/>
        </w:rPr>
      </w:pPr>
      <w:r>
        <w:rPr>
          <w:rFonts w:cs="Arial"/>
        </w:rPr>
        <w:t>Asimismo, durante el E</w:t>
      </w:r>
      <w:r w:rsidRPr="00004BCE">
        <w:rPr>
          <w:rFonts w:cs="Arial"/>
        </w:rPr>
        <w:t>jercicio se observaron gastos, los que fueron reiterados por el Ordenador y puestos oportunamente en conocimiento de la Junta Departamental, por incumpli</w:t>
      </w:r>
      <w:r w:rsidRPr="00004BCE">
        <w:rPr>
          <w:rFonts w:cs="Arial"/>
        </w:rPr>
        <w:softHyphen/>
        <w:t>miento de los Artículos</w:t>
      </w:r>
      <w:r>
        <w:rPr>
          <w:rFonts w:cs="Arial"/>
        </w:rPr>
        <w:t xml:space="preserve"> 15 y 21 </w:t>
      </w:r>
      <w:r w:rsidRPr="00004BCE">
        <w:rPr>
          <w:rFonts w:cs="Arial"/>
        </w:rPr>
        <w:t>del TOCAF</w:t>
      </w:r>
      <w:r>
        <w:rPr>
          <w:rFonts w:cs="Arial"/>
        </w:rPr>
        <w:t>.</w:t>
      </w:r>
    </w:p>
    <w:p w:rsidR="007769FD" w:rsidRDefault="007769FD">
      <w:pPr>
        <w:jc w:val="right"/>
      </w:pPr>
      <w:r w:rsidRPr="002B6CB2">
        <w:t>Montevideo</w:t>
      </w:r>
      <w:r w:rsidRPr="004A1708">
        <w:t xml:space="preserve">, </w:t>
      </w:r>
      <w:r>
        <w:t>21 de Octubre de 2015</w:t>
      </w:r>
    </w:p>
    <w:p w:rsidR="000B3466" w:rsidRDefault="000B3466" w:rsidP="000B3466">
      <w:pPr>
        <w:ind w:hanging="426"/>
      </w:pPr>
    </w:p>
    <w:p w:rsidR="000B3466" w:rsidRDefault="000B3466" w:rsidP="000B3466">
      <w:pPr>
        <w:ind w:hanging="426"/>
      </w:pPr>
    </w:p>
    <w:p w:rsidR="000B3466" w:rsidRDefault="000B3466" w:rsidP="000B3466">
      <w:pPr>
        <w:ind w:hanging="426"/>
      </w:pPr>
    </w:p>
    <w:p w:rsidR="000B3466" w:rsidRDefault="000B3466" w:rsidP="000B3466">
      <w:pPr>
        <w:ind w:hanging="426"/>
      </w:pPr>
    </w:p>
    <w:p w:rsidR="000B3466" w:rsidRDefault="000B3466" w:rsidP="000B3466">
      <w:pPr>
        <w:ind w:hanging="426"/>
      </w:pPr>
    </w:p>
    <w:p w:rsidR="000B3466" w:rsidRDefault="000B3466" w:rsidP="000B3466">
      <w:pPr>
        <w:ind w:hanging="426"/>
      </w:pPr>
    </w:p>
    <w:p w:rsidR="000B3466" w:rsidRDefault="000B3466" w:rsidP="000B3466">
      <w:pPr>
        <w:ind w:hanging="426"/>
      </w:pPr>
    </w:p>
    <w:p w:rsidR="000B3466" w:rsidRDefault="000B3466" w:rsidP="000B3466">
      <w:pPr>
        <w:ind w:hanging="426"/>
      </w:pPr>
    </w:p>
    <w:p w:rsidR="000B3466" w:rsidRDefault="000B3466" w:rsidP="000B3466">
      <w:pPr>
        <w:ind w:hanging="426"/>
      </w:pPr>
    </w:p>
    <w:p w:rsidR="007769FD" w:rsidRDefault="007769FD" w:rsidP="000B3466">
      <w:pPr>
        <w:ind w:hanging="426"/>
      </w:pPr>
      <w:proofErr w:type="gramStart"/>
      <w:r>
        <w:t>dc</w:t>
      </w:r>
      <w:bookmarkEnd w:id="2"/>
      <w:proofErr w:type="gramEnd"/>
    </w:p>
    <w:p w:rsidR="007769FD" w:rsidRDefault="007769FD" w:rsidP="000B3466">
      <w:pPr>
        <w:ind w:hanging="426"/>
      </w:pPr>
    </w:p>
    <w:p w:rsidR="000B3466" w:rsidRDefault="000B3466" w:rsidP="000B3466">
      <w:pPr>
        <w:ind w:hanging="426"/>
      </w:pPr>
    </w:p>
    <w:p w:rsidR="000B3466" w:rsidRDefault="000B3466" w:rsidP="000B3466">
      <w:pPr>
        <w:ind w:hanging="426"/>
      </w:pPr>
    </w:p>
    <w:p w:rsidR="000B3466" w:rsidRDefault="000B3466" w:rsidP="000B3466">
      <w:pPr>
        <w:ind w:hanging="426"/>
      </w:pPr>
    </w:p>
    <w:p w:rsidR="000B3466" w:rsidRDefault="000B3466" w:rsidP="000B3466">
      <w:pPr>
        <w:ind w:hanging="426"/>
      </w:pPr>
    </w:p>
    <w:p w:rsidR="000B3466" w:rsidRDefault="000B3466" w:rsidP="000B3466">
      <w:pPr>
        <w:ind w:hanging="426"/>
      </w:pPr>
    </w:p>
    <w:p w:rsidR="000B3466" w:rsidRDefault="000B3466" w:rsidP="000B3466">
      <w:pPr>
        <w:ind w:hanging="426"/>
      </w:pPr>
    </w:p>
    <w:p w:rsidR="000B3466" w:rsidRDefault="000B3466" w:rsidP="000B3466">
      <w:pPr>
        <w:ind w:hanging="426"/>
      </w:pPr>
    </w:p>
    <w:p w:rsidR="000B3466" w:rsidRDefault="000B3466" w:rsidP="000B3466">
      <w:pPr>
        <w:ind w:hanging="426"/>
      </w:pPr>
    </w:p>
    <w:p w:rsidR="000B3466" w:rsidRDefault="000B3466" w:rsidP="000B3466">
      <w:pPr>
        <w:ind w:hanging="426"/>
      </w:pPr>
    </w:p>
    <w:p w:rsidR="000B3466" w:rsidRDefault="000B3466" w:rsidP="000B3466">
      <w:pPr>
        <w:ind w:hanging="426"/>
      </w:pPr>
    </w:p>
    <w:p w:rsidR="007769FD" w:rsidRPr="002C18B4" w:rsidRDefault="007769FD" w:rsidP="000B3466">
      <w:pPr>
        <w:keepNext/>
        <w:spacing w:line="360" w:lineRule="auto"/>
        <w:jc w:val="center"/>
        <w:outlineLvl w:val="0"/>
        <w:rPr>
          <w:rFonts w:cs="Arial"/>
          <w:b/>
          <w:bCs/>
          <w:kern w:val="32"/>
          <w:szCs w:val="32"/>
        </w:rPr>
      </w:pPr>
      <w:bookmarkStart w:id="3" w:name="_Toc400023264"/>
      <w:r w:rsidRPr="002C18B4">
        <w:rPr>
          <w:rFonts w:cs="Arial"/>
          <w:b/>
          <w:bCs/>
          <w:kern w:val="32"/>
          <w:szCs w:val="32"/>
        </w:rPr>
        <w:lastRenderedPageBreak/>
        <w:t>INFORME A LA ADMINISTRACIÓN</w:t>
      </w:r>
      <w:bookmarkEnd w:id="3"/>
    </w:p>
    <w:p w:rsidR="007769FD" w:rsidRDefault="007769FD" w:rsidP="000B3466">
      <w:pPr>
        <w:autoSpaceDE w:val="0"/>
        <w:autoSpaceDN w:val="0"/>
        <w:adjustRightInd w:val="0"/>
        <w:spacing w:line="360" w:lineRule="auto"/>
        <w:ind w:firstLine="851"/>
        <w:jc w:val="both"/>
      </w:pPr>
    </w:p>
    <w:p w:rsidR="007769FD" w:rsidRPr="002C18B4" w:rsidRDefault="007769FD" w:rsidP="000B3466">
      <w:pPr>
        <w:autoSpaceDE w:val="0"/>
        <w:autoSpaceDN w:val="0"/>
        <w:adjustRightInd w:val="0"/>
        <w:spacing w:line="360" w:lineRule="auto"/>
        <w:ind w:firstLine="851"/>
        <w:jc w:val="both"/>
      </w:pPr>
      <w:r w:rsidRPr="002C18B4">
        <w:t xml:space="preserve">El Tribunal de Cuentas ha examinado la Rendición de Cuentas y Balance de Ejecución Presupuestal de la Intendencia de Soriano correspondiente </w:t>
      </w:r>
      <w:r>
        <w:t>al E</w:t>
      </w:r>
      <w:r w:rsidRPr="002C18B4">
        <w:t>jercicio 2015 y ha emitido su correspondiente Dictamen.</w:t>
      </w:r>
    </w:p>
    <w:p w:rsidR="007769FD" w:rsidRPr="002C18B4" w:rsidRDefault="007769FD" w:rsidP="000B3466">
      <w:pPr>
        <w:autoSpaceDE w:val="0"/>
        <w:autoSpaceDN w:val="0"/>
        <w:adjustRightInd w:val="0"/>
        <w:spacing w:line="360" w:lineRule="auto"/>
        <w:jc w:val="both"/>
      </w:pPr>
      <w:r w:rsidRPr="002C18B4">
        <w:t xml:space="preserve">Como consecuencia del examen practicado, se incluyen en este informe comentarios que se ha entendido conveniente exponer, relacionados a la situación de determinados capítulos y rubros de los Estados examinados, obligaciones a cumplir, así como recomendaciones que deberá atender el Organismo. Se incluye además, una evaluación del cumplimiento de las recomendaciones presentadas en el informe de auditoría correspondiente al </w:t>
      </w:r>
      <w:r>
        <w:t>E</w:t>
      </w:r>
      <w:r w:rsidRPr="002C18B4">
        <w:t>jercicio anterior.</w:t>
      </w:r>
    </w:p>
    <w:p w:rsidR="007769FD" w:rsidRPr="002C18B4" w:rsidRDefault="007769FD" w:rsidP="000B3466">
      <w:pPr>
        <w:autoSpaceDE w:val="0"/>
        <w:autoSpaceDN w:val="0"/>
        <w:adjustRightInd w:val="0"/>
        <w:spacing w:line="360" w:lineRule="auto"/>
        <w:jc w:val="both"/>
      </w:pPr>
    </w:p>
    <w:p w:rsidR="007769FD" w:rsidRPr="002C18B4" w:rsidRDefault="007769FD" w:rsidP="000B3466">
      <w:pPr>
        <w:numPr>
          <w:ilvl w:val="1"/>
          <w:numId w:val="0"/>
        </w:numPr>
        <w:tabs>
          <w:tab w:val="num" w:pos="0"/>
        </w:tabs>
        <w:spacing w:line="360" w:lineRule="auto"/>
        <w:ind w:left="450" w:hanging="450"/>
        <w:outlineLvl w:val="1"/>
        <w:rPr>
          <w:b/>
          <w:kern w:val="18"/>
          <w:szCs w:val="20"/>
        </w:rPr>
      </w:pPr>
      <w:bookmarkStart w:id="4" w:name="_Toc400023265"/>
      <w:r w:rsidRPr="002C18B4">
        <w:rPr>
          <w:b/>
          <w:kern w:val="18"/>
          <w:szCs w:val="20"/>
        </w:rPr>
        <w:t>1 CONSTATACIONES QUE NO AFECTAN LA OPINIÓN</w:t>
      </w:r>
      <w:bookmarkEnd w:id="4"/>
    </w:p>
    <w:p w:rsidR="007769FD" w:rsidRPr="002C18B4" w:rsidRDefault="007769FD" w:rsidP="000B3466"/>
    <w:p w:rsidR="007769FD" w:rsidRPr="002C18B4" w:rsidRDefault="007769FD" w:rsidP="000B3466">
      <w:pPr>
        <w:keepNext/>
        <w:spacing w:line="360" w:lineRule="auto"/>
        <w:jc w:val="both"/>
        <w:outlineLvl w:val="2"/>
        <w:rPr>
          <w:rFonts w:cs="Arial"/>
          <w:b/>
          <w:bCs/>
          <w:sz w:val="26"/>
          <w:szCs w:val="26"/>
        </w:rPr>
      </w:pPr>
      <w:bookmarkStart w:id="5" w:name="_Toc271807414"/>
      <w:bookmarkStart w:id="6" w:name="_Toc400023266"/>
      <w:r w:rsidRPr="002C18B4">
        <w:rPr>
          <w:rFonts w:cs="Arial"/>
          <w:b/>
          <w:bCs/>
        </w:rPr>
        <w:t xml:space="preserve">1.1 </w:t>
      </w:r>
      <w:bookmarkEnd w:id="5"/>
      <w:r w:rsidRPr="002C18B4">
        <w:rPr>
          <w:rFonts w:cs="Arial"/>
          <w:b/>
          <w:bCs/>
        </w:rPr>
        <w:t>Cheques diferidos</w:t>
      </w:r>
      <w:bookmarkEnd w:id="6"/>
    </w:p>
    <w:p w:rsidR="007769FD" w:rsidRPr="002C18B4" w:rsidRDefault="007769FD" w:rsidP="000B3466">
      <w:pPr>
        <w:spacing w:line="360" w:lineRule="auto"/>
        <w:jc w:val="both"/>
      </w:pPr>
      <w:r w:rsidRPr="002C18B4">
        <w:t>Se incluyeron integrando el saldo de disponibilidades, cheques diferidos a cobrar por un importe de $ 3:272.974, los cuales constituyen créditos a favor de la Intendencia y no ingresos efectivos al 31 de diciembre de 2015, incumpliéndose lo</w:t>
      </w:r>
      <w:r w:rsidRPr="002C18B4">
        <w:rPr>
          <w:rFonts w:cs="Arial"/>
          <w:kern w:val="18"/>
          <w:szCs w:val="20"/>
        </w:rPr>
        <w:t xml:space="preserve"> dispuesto por el Artículo 12 del TOCAF</w:t>
      </w:r>
      <w:r w:rsidR="005976B7">
        <w:t>.</w:t>
      </w:r>
    </w:p>
    <w:p w:rsidR="007769FD" w:rsidRPr="002C18B4" w:rsidRDefault="007769FD" w:rsidP="000B3466">
      <w:pPr>
        <w:spacing w:line="360" w:lineRule="auto"/>
        <w:jc w:val="both"/>
      </w:pPr>
    </w:p>
    <w:p w:rsidR="007769FD" w:rsidRPr="002C18B4" w:rsidRDefault="007769FD" w:rsidP="000B3466">
      <w:pPr>
        <w:keepNext/>
        <w:spacing w:line="360" w:lineRule="auto"/>
        <w:jc w:val="both"/>
        <w:outlineLvl w:val="2"/>
        <w:rPr>
          <w:rFonts w:cs="Arial"/>
          <w:b/>
          <w:bCs/>
        </w:rPr>
      </w:pPr>
      <w:bookmarkStart w:id="7" w:name="_Toc179282297"/>
      <w:bookmarkStart w:id="8" w:name="_Toc400023267"/>
      <w:r w:rsidRPr="002C18B4">
        <w:rPr>
          <w:rFonts w:cs="Arial"/>
          <w:b/>
          <w:bCs/>
        </w:rPr>
        <w:t>1.2 Ejecución presupuestal de la Junta Departamental</w:t>
      </w:r>
      <w:bookmarkEnd w:id="7"/>
      <w:bookmarkEnd w:id="8"/>
    </w:p>
    <w:p w:rsidR="007769FD" w:rsidRPr="002C18B4" w:rsidRDefault="007769FD" w:rsidP="000B3466">
      <w:pPr>
        <w:spacing w:after="240" w:line="360" w:lineRule="auto"/>
        <w:jc w:val="both"/>
      </w:pPr>
      <w:r w:rsidRPr="002C18B4">
        <w:t xml:space="preserve">A efectos </w:t>
      </w:r>
      <w:r>
        <w:t>de determinar el resultado del E</w:t>
      </w:r>
      <w:r w:rsidRPr="002C18B4">
        <w:t>jercicio 2015, la Intendencia incluyó como ejecutado por la Junta Departamental un mon</w:t>
      </w:r>
      <w:r>
        <w:t>to de $ 31:189.001. De acuerdo con</w:t>
      </w:r>
      <w:r w:rsidRPr="002C18B4">
        <w:t xml:space="preserve"> la Rendición de Cuentas 2015 de ese Legislativo, lo ejecutado ascen</w:t>
      </w:r>
      <w:r w:rsidR="005976B7">
        <w:t>dió a $ 31:403.321.</w:t>
      </w:r>
    </w:p>
    <w:p w:rsidR="007769FD" w:rsidRPr="002C18B4" w:rsidRDefault="007769FD" w:rsidP="000B3466">
      <w:pPr>
        <w:spacing w:line="360" w:lineRule="auto"/>
        <w:jc w:val="both"/>
      </w:pPr>
      <w:r w:rsidRPr="002C18B4">
        <w:t xml:space="preserve">Asimismo, para la determinación del resultado acumulado al 31 de diciembre de 2015, la Intendencia debió considerar la situación en materia de fondos con relación a la Junta Departamental, de la cual resulta un importe a favor del </w:t>
      </w:r>
      <w:r w:rsidRPr="002C18B4">
        <w:lastRenderedPageBreak/>
        <w:t>Legislativo Departamental de $ 791.137, y no de $ 776.959 que fue lo incluido por la Intendencia (“E</w:t>
      </w:r>
      <w:r w:rsidR="005976B7">
        <w:t>jecución saldo comprometido”)</w:t>
      </w:r>
    </w:p>
    <w:p w:rsidR="007769FD" w:rsidRPr="002C18B4" w:rsidRDefault="007769FD" w:rsidP="000B3466">
      <w:pPr>
        <w:spacing w:after="240" w:line="360" w:lineRule="auto"/>
        <w:jc w:val="both"/>
      </w:pPr>
      <w:r w:rsidRPr="002C18B4">
        <w:t>Por lo expuesto, no se efectuaron las conciliaciones correspondientes a efectos de considerar los importes correctos.</w:t>
      </w:r>
    </w:p>
    <w:p w:rsidR="007769FD" w:rsidRPr="002C18B4" w:rsidRDefault="007769FD" w:rsidP="000B3466">
      <w:pPr>
        <w:keepNext/>
        <w:spacing w:line="360" w:lineRule="auto"/>
        <w:jc w:val="both"/>
        <w:outlineLvl w:val="2"/>
        <w:rPr>
          <w:rFonts w:cs="Arial"/>
          <w:b/>
          <w:bCs/>
        </w:rPr>
      </w:pPr>
      <w:bookmarkStart w:id="9" w:name="_Toc400023268"/>
      <w:r w:rsidRPr="002C18B4">
        <w:rPr>
          <w:rFonts w:cs="Arial"/>
          <w:b/>
          <w:bCs/>
        </w:rPr>
        <w:t xml:space="preserve">1.3 Fondos Indisponibles y </w:t>
      </w:r>
      <w:proofErr w:type="spellStart"/>
      <w:r w:rsidRPr="002C18B4">
        <w:rPr>
          <w:rFonts w:cs="Arial"/>
          <w:b/>
          <w:bCs/>
        </w:rPr>
        <w:t>Extrapresupuesto</w:t>
      </w:r>
      <w:bookmarkEnd w:id="9"/>
      <w:proofErr w:type="spellEnd"/>
    </w:p>
    <w:p w:rsidR="007769FD" w:rsidRPr="002C18B4" w:rsidRDefault="007769FD" w:rsidP="000B3466">
      <w:pPr>
        <w:spacing w:line="360" w:lineRule="auto"/>
        <w:jc w:val="both"/>
      </w:pPr>
      <w:r w:rsidRPr="002C18B4">
        <w:t xml:space="preserve">Los saldos de los fondos indisponibles y de los fondos </w:t>
      </w:r>
      <w:proofErr w:type="spellStart"/>
      <w:r w:rsidRPr="002C18B4">
        <w:t>extrapresupuestales</w:t>
      </w:r>
      <w:proofErr w:type="spellEnd"/>
      <w:r w:rsidRPr="002C18B4">
        <w:t xml:space="preserve"> no son proporcionados en forma directa por el sistema contable, sino que resultan de los pagos que se realizaron c</w:t>
      </w:r>
      <w:r>
        <w:t>on posterioridad al cierre del E</w:t>
      </w:r>
      <w:r w:rsidRPr="002C18B4">
        <w:t>jercicio por conce</w:t>
      </w:r>
      <w:r>
        <w:t>pto de gastos ejecutados en el E</w:t>
      </w:r>
      <w:r w:rsidR="005976B7">
        <w:t>jercicio 2015.</w:t>
      </w:r>
    </w:p>
    <w:p w:rsidR="007769FD" w:rsidRPr="002C18B4" w:rsidRDefault="007769FD" w:rsidP="000B3466">
      <w:pPr>
        <w:spacing w:line="360" w:lineRule="auto"/>
        <w:jc w:val="both"/>
      </w:pPr>
    </w:p>
    <w:p w:rsidR="007769FD" w:rsidRPr="002C18B4" w:rsidRDefault="007769FD" w:rsidP="000B3466">
      <w:pPr>
        <w:spacing w:line="360" w:lineRule="auto"/>
        <w:jc w:val="both"/>
      </w:pPr>
      <w:r w:rsidRPr="002C18B4">
        <w:t xml:space="preserve">En el Estado Nº 13 </w:t>
      </w:r>
      <w:proofErr w:type="spellStart"/>
      <w:r w:rsidRPr="002C18B4">
        <w:t>Extrapresupuesto</w:t>
      </w:r>
      <w:proofErr w:type="spellEnd"/>
      <w:r w:rsidRPr="002C18B4">
        <w:t>, se incl</w:t>
      </w:r>
      <w:r>
        <w:t>uye el concepto de “Cartera de T</w:t>
      </w:r>
      <w:r w:rsidRPr="002C18B4">
        <w:t xml:space="preserve">ierras” con un saldo de $ 4:054.663.04, que fuera reclasificado desde el Cuadro de Indisponibles en 2015. Como se explicó en oportunidad de la Rendición de Cuentas 2013, el mismo corresponde a “partidas de dinero destinadas a compra de predios en el departamento, generada en la venta de terrenos a cooperativas”. Al respecto corresponde señalar que, no se trata de fondos indisponibles y tampoco </w:t>
      </w:r>
      <w:proofErr w:type="spellStart"/>
      <w:r w:rsidRPr="002C18B4">
        <w:t>extrapresupuestales</w:t>
      </w:r>
      <w:proofErr w:type="spellEnd"/>
      <w:r w:rsidRPr="002C18B4">
        <w:t xml:space="preserve">. </w:t>
      </w:r>
      <w:r w:rsidRPr="002C18B4">
        <w:rPr>
          <w:kern w:val="18"/>
          <w:szCs w:val="20"/>
          <w:lang w:val="es-ES_tradnl"/>
        </w:rPr>
        <w:t>Lo recaudado por tal concepto, $ 203.252 corresponde incluirse formando parte de los ingresos de origen departamental. Asimismo, lo gastado debe afectar los objetos de gastos correspondientes. Respecto del saldo inicial de este rubro, $ 3:851.411 a invertir, corresponde ajustar el saldo inicial de resultados acumulados.</w:t>
      </w:r>
    </w:p>
    <w:p w:rsidR="007769FD" w:rsidRPr="002C18B4" w:rsidRDefault="007769FD" w:rsidP="000B3466">
      <w:pPr>
        <w:spacing w:line="360" w:lineRule="auto"/>
        <w:jc w:val="both"/>
      </w:pPr>
      <w:r w:rsidRPr="002C18B4">
        <w:t xml:space="preserve">                                                                                                                                                                                   </w:t>
      </w:r>
    </w:p>
    <w:p w:rsidR="007769FD" w:rsidRPr="002C18B4" w:rsidRDefault="007769FD" w:rsidP="000B3466">
      <w:pPr>
        <w:keepNext/>
        <w:spacing w:line="360" w:lineRule="auto"/>
        <w:jc w:val="both"/>
        <w:outlineLvl w:val="2"/>
        <w:rPr>
          <w:rFonts w:cs="Arial"/>
          <w:b/>
          <w:bCs/>
        </w:rPr>
      </w:pPr>
      <w:bookmarkStart w:id="10" w:name="_Toc242256284"/>
      <w:bookmarkStart w:id="11" w:name="_Toc238632387"/>
      <w:bookmarkStart w:id="12" w:name="_Toc239656367"/>
      <w:bookmarkStart w:id="13" w:name="_Toc400023269"/>
      <w:r w:rsidRPr="002C18B4">
        <w:rPr>
          <w:rFonts w:cs="Arial"/>
          <w:b/>
          <w:bCs/>
        </w:rPr>
        <w:t>1.4</w:t>
      </w:r>
      <w:r>
        <w:rPr>
          <w:rFonts w:cs="Arial"/>
          <w:b/>
          <w:bCs/>
        </w:rPr>
        <w:t xml:space="preserve"> Ajustes al resultado del E</w:t>
      </w:r>
      <w:r w:rsidRPr="002C18B4">
        <w:rPr>
          <w:rFonts w:cs="Arial"/>
          <w:b/>
          <w:bCs/>
        </w:rPr>
        <w:t>jercicio y al resultado acumulado</w:t>
      </w:r>
      <w:bookmarkEnd w:id="10"/>
      <w:r w:rsidRPr="002C18B4">
        <w:rPr>
          <w:rFonts w:cs="Arial"/>
          <w:b/>
          <w:bCs/>
        </w:rPr>
        <w:t xml:space="preserve"> </w:t>
      </w:r>
      <w:bookmarkEnd w:id="11"/>
      <w:bookmarkEnd w:id="12"/>
      <w:r w:rsidRPr="002C18B4">
        <w:rPr>
          <w:rFonts w:cs="Arial"/>
          <w:b/>
          <w:bCs/>
        </w:rPr>
        <w:t>al 31 de diciembre de 201</w:t>
      </w:r>
      <w:bookmarkEnd w:id="13"/>
      <w:r w:rsidRPr="002C18B4">
        <w:rPr>
          <w:rFonts w:cs="Arial"/>
          <w:b/>
          <w:bCs/>
        </w:rPr>
        <w:t>5</w:t>
      </w:r>
    </w:p>
    <w:p w:rsidR="007769FD" w:rsidRDefault="007769FD" w:rsidP="000B3466">
      <w:pPr>
        <w:spacing w:line="360" w:lineRule="auto"/>
        <w:jc w:val="both"/>
        <w:rPr>
          <w:kern w:val="18"/>
          <w:szCs w:val="20"/>
          <w:lang w:val="es-ES_tradnl"/>
        </w:rPr>
      </w:pPr>
      <w:r w:rsidRPr="002C18B4">
        <w:rPr>
          <w:kern w:val="18"/>
          <w:szCs w:val="20"/>
          <w:lang w:val="es-ES_tradnl"/>
        </w:rPr>
        <w:t>Por lo expresado en los párrafo</w:t>
      </w:r>
      <w:r>
        <w:rPr>
          <w:kern w:val="18"/>
          <w:szCs w:val="20"/>
          <w:lang w:val="es-ES_tradnl"/>
        </w:rPr>
        <w:t>s anteriores, el resultado del E</w:t>
      </w:r>
      <w:r w:rsidRPr="002C18B4">
        <w:rPr>
          <w:kern w:val="18"/>
          <w:szCs w:val="20"/>
          <w:lang w:val="es-ES_tradnl"/>
        </w:rPr>
        <w:t>jercicio ajustado es de $ 7:312.059 de superávit, siendo el déficit acumulado al 31 de diciembre de 2015 de $ 168:810.612, según el siguiente detalle:</w:t>
      </w:r>
    </w:p>
    <w:p w:rsidR="007769FD" w:rsidRPr="002C18B4" w:rsidRDefault="007769FD" w:rsidP="000B3466">
      <w:pPr>
        <w:spacing w:line="360" w:lineRule="auto"/>
        <w:jc w:val="both"/>
        <w:rPr>
          <w:kern w:val="18"/>
          <w:szCs w:val="20"/>
          <w:lang w:val="es-ES_tradnl"/>
        </w:rPr>
      </w:pPr>
    </w:p>
    <w:tbl>
      <w:tblPr>
        <w:tblpPr w:leftFromText="141" w:rightFromText="141" w:vertAnchor="text" w:horzAnchor="margin" w:tblpY="274"/>
        <w:tblOverlap w:val="never"/>
        <w:tblW w:w="8481" w:type="dxa"/>
        <w:tblCellMar>
          <w:left w:w="70" w:type="dxa"/>
          <w:right w:w="70" w:type="dxa"/>
        </w:tblCellMar>
        <w:tblLook w:val="04A0" w:firstRow="1" w:lastRow="0" w:firstColumn="1" w:lastColumn="0" w:noHBand="0" w:noVBand="1"/>
      </w:tblPr>
      <w:tblGrid>
        <w:gridCol w:w="5589"/>
        <w:gridCol w:w="1190"/>
        <w:gridCol w:w="1702"/>
      </w:tblGrid>
      <w:tr w:rsidR="007769FD" w:rsidRPr="002C18B4" w:rsidTr="000B3466">
        <w:trPr>
          <w:trHeight w:val="263"/>
        </w:trPr>
        <w:tc>
          <w:tcPr>
            <w:tcW w:w="6779" w:type="dxa"/>
            <w:gridSpan w:val="2"/>
            <w:shd w:val="clear" w:color="auto" w:fill="auto"/>
            <w:noWrap/>
            <w:vAlign w:val="bottom"/>
          </w:tcPr>
          <w:p w:rsidR="007769FD" w:rsidRPr="002C18B4" w:rsidRDefault="007769FD" w:rsidP="000B3466">
            <w:pPr>
              <w:rPr>
                <w:kern w:val="18"/>
                <w:szCs w:val="20"/>
                <w:lang w:val="es-ES_tradnl"/>
              </w:rPr>
            </w:pPr>
            <w:r>
              <w:rPr>
                <w:kern w:val="18"/>
                <w:szCs w:val="20"/>
                <w:lang w:val="es-ES_tradnl"/>
              </w:rPr>
              <w:lastRenderedPageBreak/>
              <w:t>Resultado del E</w:t>
            </w:r>
            <w:r w:rsidRPr="002C18B4">
              <w:rPr>
                <w:kern w:val="18"/>
                <w:szCs w:val="20"/>
                <w:lang w:val="es-ES_tradnl"/>
              </w:rPr>
              <w:t>jercicio expuesto por la Intendencia</w:t>
            </w:r>
          </w:p>
        </w:tc>
        <w:tc>
          <w:tcPr>
            <w:tcW w:w="1702" w:type="dxa"/>
            <w:shd w:val="clear" w:color="auto" w:fill="auto"/>
            <w:noWrap/>
            <w:vAlign w:val="bottom"/>
          </w:tcPr>
          <w:p w:rsidR="007769FD" w:rsidRPr="002C18B4" w:rsidRDefault="007769FD" w:rsidP="000B3466">
            <w:pPr>
              <w:jc w:val="center"/>
              <w:rPr>
                <w:kern w:val="18"/>
                <w:szCs w:val="20"/>
                <w:lang w:val="es-ES_tradnl"/>
              </w:rPr>
            </w:pPr>
            <w:r w:rsidRPr="002C18B4">
              <w:rPr>
                <w:kern w:val="18"/>
                <w:szCs w:val="20"/>
                <w:lang w:val="es-ES_tradnl"/>
              </w:rPr>
              <w:t>10:381.781</w:t>
            </w:r>
          </w:p>
        </w:tc>
      </w:tr>
      <w:tr w:rsidR="007769FD" w:rsidRPr="002C18B4" w:rsidTr="000B3466">
        <w:trPr>
          <w:trHeight w:val="263"/>
        </w:trPr>
        <w:tc>
          <w:tcPr>
            <w:tcW w:w="5589" w:type="dxa"/>
            <w:shd w:val="clear" w:color="auto" w:fill="auto"/>
            <w:noWrap/>
            <w:vAlign w:val="bottom"/>
          </w:tcPr>
          <w:p w:rsidR="007769FD" w:rsidRPr="002C18B4" w:rsidRDefault="007769FD" w:rsidP="000B3466">
            <w:pPr>
              <w:rPr>
                <w:kern w:val="18"/>
                <w:szCs w:val="20"/>
                <w:lang w:val="es-ES_tradnl"/>
              </w:rPr>
            </w:pPr>
            <w:r w:rsidRPr="002C18B4">
              <w:rPr>
                <w:kern w:val="18"/>
                <w:szCs w:val="20"/>
                <w:lang w:val="es-ES_tradnl"/>
              </w:rPr>
              <w:t>Ajustes</w:t>
            </w:r>
          </w:p>
        </w:tc>
        <w:tc>
          <w:tcPr>
            <w:tcW w:w="1190" w:type="dxa"/>
            <w:shd w:val="clear" w:color="auto" w:fill="auto"/>
            <w:noWrap/>
            <w:vAlign w:val="bottom"/>
          </w:tcPr>
          <w:p w:rsidR="007769FD" w:rsidRPr="002C18B4" w:rsidRDefault="007769FD" w:rsidP="000B3466">
            <w:pPr>
              <w:rPr>
                <w:kern w:val="18"/>
                <w:szCs w:val="20"/>
                <w:lang w:val="es-ES_tradnl"/>
              </w:rPr>
            </w:pPr>
          </w:p>
        </w:tc>
        <w:tc>
          <w:tcPr>
            <w:tcW w:w="1702" w:type="dxa"/>
            <w:shd w:val="clear" w:color="auto" w:fill="auto"/>
            <w:noWrap/>
            <w:vAlign w:val="bottom"/>
          </w:tcPr>
          <w:p w:rsidR="007769FD" w:rsidRPr="002C18B4" w:rsidRDefault="007769FD" w:rsidP="000B3466">
            <w:pPr>
              <w:jc w:val="center"/>
              <w:rPr>
                <w:kern w:val="18"/>
                <w:szCs w:val="20"/>
                <w:lang w:val="es-ES_tradnl"/>
              </w:rPr>
            </w:pPr>
          </w:p>
        </w:tc>
      </w:tr>
      <w:tr w:rsidR="007769FD" w:rsidRPr="002C18B4" w:rsidTr="000B3466">
        <w:trPr>
          <w:trHeight w:val="263"/>
        </w:trPr>
        <w:tc>
          <w:tcPr>
            <w:tcW w:w="6779" w:type="dxa"/>
            <w:gridSpan w:val="2"/>
            <w:shd w:val="clear" w:color="auto" w:fill="auto"/>
            <w:noWrap/>
            <w:vAlign w:val="bottom"/>
          </w:tcPr>
          <w:p w:rsidR="007769FD" w:rsidRPr="002C18B4" w:rsidRDefault="007769FD" w:rsidP="000B3466">
            <w:pPr>
              <w:rPr>
                <w:kern w:val="18"/>
                <w:szCs w:val="20"/>
                <w:lang w:val="es-ES_tradnl"/>
              </w:rPr>
            </w:pPr>
            <w:r w:rsidRPr="002C18B4">
              <w:rPr>
                <w:kern w:val="18"/>
                <w:szCs w:val="20"/>
                <w:lang w:val="es-ES_tradnl"/>
              </w:rPr>
              <w:t>Cartera de Tierras</w:t>
            </w:r>
          </w:p>
        </w:tc>
        <w:tc>
          <w:tcPr>
            <w:tcW w:w="1702" w:type="dxa"/>
            <w:shd w:val="clear" w:color="auto" w:fill="auto"/>
            <w:noWrap/>
            <w:vAlign w:val="bottom"/>
          </w:tcPr>
          <w:p w:rsidR="007769FD" w:rsidRPr="002C18B4" w:rsidRDefault="007769FD" w:rsidP="000B3466">
            <w:pPr>
              <w:jc w:val="center"/>
              <w:rPr>
                <w:kern w:val="18"/>
                <w:szCs w:val="20"/>
                <w:lang w:val="es-ES_tradnl"/>
              </w:rPr>
            </w:pPr>
            <w:r w:rsidRPr="002C18B4">
              <w:rPr>
                <w:kern w:val="18"/>
                <w:szCs w:val="20"/>
                <w:lang w:val="es-ES_tradnl"/>
              </w:rPr>
              <w:t>203.252</w:t>
            </w:r>
          </w:p>
        </w:tc>
      </w:tr>
      <w:tr w:rsidR="007769FD" w:rsidRPr="002C18B4" w:rsidTr="000B3466">
        <w:trPr>
          <w:trHeight w:val="263"/>
        </w:trPr>
        <w:tc>
          <w:tcPr>
            <w:tcW w:w="6779" w:type="dxa"/>
            <w:gridSpan w:val="2"/>
            <w:shd w:val="clear" w:color="auto" w:fill="auto"/>
            <w:noWrap/>
            <w:vAlign w:val="bottom"/>
          </w:tcPr>
          <w:p w:rsidR="007769FD" w:rsidRPr="002C18B4" w:rsidRDefault="007769FD" w:rsidP="000B3466">
            <w:pPr>
              <w:rPr>
                <w:kern w:val="18"/>
                <w:szCs w:val="20"/>
                <w:lang w:val="es-ES_tradnl"/>
              </w:rPr>
            </w:pPr>
            <w:r w:rsidRPr="002C18B4">
              <w:rPr>
                <w:kern w:val="18"/>
                <w:szCs w:val="20"/>
                <w:lang w:val="es-ES_tradnl"/>
              </w:rPr>
              <w:t>Cheques diferidos 2015</w:t>
            </w:r>
          </w:p>
        </w:tc>
        <w:tc>
          <w:tcPr>
            <w:tcW w:w="1702" w:type="dxa"/>
            <w:shd w:val="clear" w:color="auto" w:fill="auto"/>
            <w:noWrap/>
            <w:vAlign w:val="bottom"/>
          </w:tcPr>
          <w:p w:rsidR="007769FD" w:rsidRPr="002C18B4" w:rsidRDefault="007769FD" w:rsidP="000B3466">
            <w:pPr>
              <w:jc w:val="center"/>
              <w:rPr>
                <w:kern w:val="18"/>
                <w:szCs w:val="20"/>
                <w:lang w:val="es-ES_tradnl"/>
              </w:rPr>
            </w:pPr>
            <w:r w:rsidRPr="002C18B4">
              <w:t>(3:272.974)</w:t>
            </w:r>
          </w:p>
        </w:tc>
      </w:tr>
      <w:tr w:rsidR="007769FD" w:rsidRPr="002C18B4" w:rsidTr="000B3466">
        <w:trPr>
          <w:trHeight w:val="324"/>
        </w:trPr>
        <w:tc>
          <w:tcPr>
            <w:tcW w:w="6779" w:type="dxa"/>
            <w:gridSpan w:val="2"/>
            <w:shd w:val="clear" w:color="auto" w:fill="auto"/>
            <w:noWrap/>
            <w:vAlign w:val="bottom"/>
          </w:tcPr>
          <w:p w:rsidR="007769FD" w:rsidRPr="002C18B4" w:rsidRDefault="007769FD" w:rsidP="000B3466">
            <w:pPr>
              <w:rPr>
                <w:kern w:val="18"/>
                <w:szCs w:val="20"/>
                <w:lang w:val="es-ES_tradnl"/>
              </w:rPr>
            </w:pPr>
          </w:p>
        </w:tc>
        <w:tc>
          <w:tcPr>
            <w:tcW w:w="1702" w:type="dxa"/>
            <w:tcBorders>
              <w:bottom w:val="single" w:sz="4" w:space="0" w:color="auto"/>
            </w:tcBorders>
            <w:shd w:val="clear" w:color="auto" w:fill="auto"/>
            <w:noWrap/>
            <w:vAlign w:val="bottom"/>
          </w:tcPr>
          <w:p w:rsidR="007769FD" w:rsidRPr="002C18B4" w:rsidRDefault="007769FD" w:rsidP="000B3466">
            <w:pPr>
              <w:jc w:val="center"/>
              <w:rPr>
                <w:kern w:val="18"/>
                <w:szCs w:val="20"/>
                <w:lang w:val="es-ES_tradnl"/>
              </w:rPr>
            </w:pPr>
          </w:p>
        </w:tc>
      </w:tr>
      <w:tr w:rsidR="007769FD" w:rsidRPr="002C18B4" w:rsidTr="000B3466">
        <w:trPr>
          <w:trHeight w:val="263"/>
        </w:trPr>
        <w:tc>
          <w:tcPr>
            <w:tcW w:w="6779" w:type="dxa"/>
            <w:gridSpan w:val="2"/>
            <w:shd w:val="clear" w:color="auto" w:fill="auto"/>
            <w:noWrap/>
            <w:vAlign w:val="bottom"/>
          </w:tcPr>
          <w:p w:rsidR="007769FD" w:rsidRPr="002C18B4" w:rsidRDefault="007769FD" w:rsidP="000B3466">
            <w:pPr>
              <w:rPr>
                <w:kern w:val="18"/>
                <w:szCs w:val="20"/>
                <w:lang w:val="es-ES_tradnl"/>
              </w:rPr>
            </w:pPr>
            <w:r>
              <w:rPr>
                <w:kern w:val="18"/>
                <w:szCs w:val="20"/>
                <w:lang w:val="es-ES_tradnl"/>
              </w:rPr>
              <w:t>Resultado del E</w:t>
            </w:r>
            <w:r w:rsidRPr="002C18B4">
              <w:rPr>
                <w:kern w:val="18"/>
                <w:szCs w:val="20"/>
                <w:lang w:val="es-ES_tradnl"/>
              </w:rPr>
              <w:t>jercicio ajustado</w:t>
            </w:r>
          </w:p>
        </w:tc>
        <w:tc>
          <w:tcPr>
            <w:tcW w:w="1702" w:type="dxa"/>
            <w:tcBorders>
              <w:top w:val="single" w:sz="4" w:space="0" w:color="auto"/>
              <w:bottom w:val="single" w:sz="4" w:space="0" w:color="auto"/>
            </w:tcBorders>
            <w:shd w:val="clear" w:color="auto" w:fill="auto"/>
            <w:noWrap/>
            <w:vAlign w:val="bottom"/>
          </w:tcPr>
          <w:p w:rsidR="007769FD" w:rsidRPr="002C18B4" w:rsidRDefault="007769FD" w:rsidP="000B3466">
            <w:pPr>
              <w:jc w:val="center"/>
              <w:rPr>
                <w:kern w:val="18"/>
                <w:szCs w:val="20"/>
                <w:lang w:val="es-ES_tradnl"/>
              </w:rPr>
            </w:pPr>
            <w:r w:rsidRPr="002C18B4">
              <w:rPr>
                <w:kern w:val="18"/>
                <w:szCs w:val="20"/>
                <w:lang w:val="es-ES_tradnl"/>
              </w:rPr>
              <w:t>7:312.059</w:t>
            </w:r>
          </w:p>
        </w:tc>
      </w:tr>
      <w:tr w:rsidR="007769FD" w:rsidRPr="002C18B4" w:rsidTr="000B3466">
        <w:trPr>
          <w:trHeight w:val="276"/>
        </w:trPr>
        <w:tc>
          <w:tcPr>
            <w:tcW w:w="6779" w:type="dxa"/>
            <w:gridSpan w:val="2"/>
            <w:shd w:val="clear" w:color="auto" w:fill="auto"/>
            <w:noWrap/>
            <w:vAlign w:val="bottom"/>
          </w:tcPr>
          <w:p w:rsidR="007769FD" w:rsidRPr="002C18B4" w:rsidRDefault="007769FD" w:rsidP="000B3466">
            <w:pPr>
              <w:rPr>
                <w:kern w:val="18"/>
                <w:szCs w:val="20"/>
                <w:lang w:val="es-ES_tradnl"/>
              </w:rPr>
            </w:pPr>
          </w:p>
          <w:p w:rsidR="007769FD" w:rsidRPr="002C18B4" w:rsidRDefault="007769FD" w:rsidP="000B3466">
            <w:pPr>
              <w:rPr>
                <w:kern w:val="18"/>
                <w:szCs w:val="20"/>
                <w:lang w:val="es-ES_tradnl"/>
              </w:rPr>
            </w:pPr>
          </w:p>
        </w:tc>
        <w:tc>
          <w:tcPr>
            <w:tcW w:w="1702" w:type="dxa"/>
            <w:tcBorders>
              <w:top w:val="single" w:sz="4" w:space="0" w:color="auto"/>
            </w:tcBorders>
            <w:shd w:val="clear" w:color="auto" w:fill="auto"/>
            <w:noWrap/>
            <w:vAlign w:val="bottom"/>
          </w:tcPr>
          <w:p w:rsidR="007769FD" w:rsidRPr="002C18B4" w:rsidRDefault="007769FD" w:rsidP="000B3466">
            <w:pPr>
              <w:jc w:val="center"/>
              <w:rPr>
                <w:kern w:val="18"/>
                <w:szCs w:val="20"/>
                <w:lang w:val="es-ES_tradnl"/>
              </w:rPr>
            </w:pPr>
          </w:p>
        </w:tc>
      </w:tr>
      <w:tr w:rsidR="007769FD" w:rsidRPr="002C18B4" w:rsidTr="000B3466">
        <w:trPr>
          <w:trHeight w:val="276"/>
        </w:trPr>
        <w:tc>
          <w:tcPr>
            <w:tcW w:w="6779" w:type="dxa"/>
            <w:gridSpan w:val="2"/>
            <w:shd w:val="clear" w:color="auto" w:fill="auto"/>
            <w:noWrap/>
            <w:vAlign w:val="bottom"/>
          </w:tcPr>
          <w:p w:rsidR="007769FD" w:rsidRPr="002C18B4" w:rsidRDefault="007769FD" w:rsidP="000B3466">
            <w:pPr>
              <w:rPr>
                <w:kern w:val="18"/>
                <w:szCs w:val="20"/>
                <w:lang w:val="es-ES_tradnl"/>
              </w:rPr>
            </w:pPr>
            <w:r w:rsidRPr="002C18B4">
              <w:rPr>
                <w:kern w:val="18"/>
                <w:szCs w:val="20"/>
                <w:lang w:val="es-ES_tradnl"/>
              </w:rPr>
              <w:t>Resultado acumulado expuesto por la Intendencia</w:t>
            </w:r>
          </w:p>
        </w:tc>
        <w:tc>
          <w:tcPr>
            <w:tcW w:w="1702" w:type="dxa"/>
            <w:shd w:val="clear" w:color="auto" w:fill="auto"/>
            <w:noWrap/>
            <w:vAlign w:val="bottom"/>
          </w:tcPr>
          <w:p w:rsidR="007769FD" w:rsidRPr="002C18B4" w:rsidRDefault="007769FD" w:rsidP="000B3466">
            <w:pPr>
              <w:jc w:val="center"/>
              <w:rPr>
                <w:kern w:val="18"/>
                <w:szCs w:val="20"/>
                <w:lang w:val="es-ES_tradnl"/>
              </w:rPr>
            </w:pPr>
            <w:r w:rsidRPr="002C18B4">
              <w:rPr>
                <w:kern w:val="18"/>
                <w:szCs w:val="20"/>
                <w:lang w:val="es-ES_tradnl"/>
              </w:rPr>
              <w:t>(172:662.023)</w:t>
            </w:r>
          </w:p>
        </w:tc>
      </w:tr>
      <w:tr w:rsidR="007769FD" w:rsidRPr="002C18B4" w:rsidTr="000B3466">
        <w:trPr>
          <w:trHeight w:val="263"/>
        </w:trPr>
        <w:tc>
          <w:tcPr>
            <w:tcW w:w="6779" w:type="dxa"/>
            <w:gridSpan w:val="2"/>
            <w:shd w:val="clear" w:color="auto" w:fill="auto"/>
            <w:noWrap/>
            <w:vAlign w:val="bottom"/>
          </w:tcPr>
          <w:p w:rsidR="007769FD" w:rsidRPr="002C18B4" w:rsidRDefault="007769FD" w:rsidP="000B3466">
            <w:pPr>
              <w:rPr>
                <w:kern w:val="18"/>
                <w:szCs w:val="20"/>
                <w:lang w:val="es-ES_tradnl"/>
              </w:rPr>
            </w:pPr>
            <w:r w:rsidRPr="002C18B4">
              <w:rPr>
                <w:kern w:val="18"/>
                <w:szCs w:val="20"/>
                <w:lang w:val="es-ES_tradnl"/>
              </w:rPr>
              <w:t>Cartera de Tierras</w:t>
            </w:r>
          </w:p>
        </w:tc>
        <w:tc>
          <w:tcPr>
            <w:tcW w:w="1702" w:type="dxa"/>
            <w:tcBorders>
              <w:bottom w:val="single" w:sz="4" w:space="0" w:color="auto"/>
            </w:tcBorders>
            <w:shd w:val="clear" w:color="auto" w:fill="auto"/>
            <w:noWrap/>
            <w:vAlign w:val="bottom"/>
          </w:tcPr>
          <w:p w:rsidR="007769FD" w:rsidRPr="002C18B4" w:rsidRDefault="007769FD" w:rsidP="000B3466">
            <w:pPr>
              <w:jc w:val="center"/>
              <w:rPr>
                <w:kern w:val="18"/>
                <w:szCs w:val="20"/>
                <w:lang w:val="es-ES_tradnl"/>
              </w:rPr>
            </w:pPr>
            <w:r w:rsidRPr="002C18B4">
              <w:rPr>
                <w:kern w:val="18"/>
                <w:szCs w:val="20"/>
                <w:lang w:val="es-ES_tradnl"/>
              </w:rPr>
              <w:t>3:851.411</w:t>
            </w:r>
          </w:p>
        </w:tc>
      </w:tr>
      <w:tr w:rsidR="007769FD" w:rsidRPr="002C18B4" w:rsidTr="000B3466">
        <w:trPr>
          <w:trHeight w:val="263"/>
        </w:trPr>
        <w:tc>
          <w:tcPr>
            <w:tcW w:w="6779" w:type="dxa"/>
            <w:gridSpan w:val="2"/>
            <w:shd w:val="clear" w:color="auto" w:fill="auto"/>
            <w:noWrap/>
            <w:vAlign w:val="bottom"/>
          </w:tcPr>
          <w:p w:rsidR="007769FD" w:rsidRPr="002C18B4" w:rsidRDefault="007769FD" w:rsidP="000B3466">
            <w:pPr>
              <w:rPr>
                <w:kern w:val="18"/>
                <w:szCs w:val="20"/>
                <w:lang w:val="es-ES_tradnl"/>
              </w:rPr>
            </w:pPr>
            <w:r w:rsidRPr="002C18B4">
              <w:rPr>
                <w:kern w:val="18"/>
                <w:szCs w:val="20"/>
                <w:lang w:val="es-ES_tradnl"/>
              </w:rPr>
              <w:t>Resultado acumulado ajustado</w:t>
            </w:r>
          </w:p>
        </w:tc>
        <w:tc>
          <w:tcPr>
            <w:tcW w:w="1702" w:type="dxa"/>
            <w:tcBorders>
              <w:top w:val="single" w:sz="4" w:space="0" w:color="auto"/>
              <w:bottom w:val="single" w:sz="4" w:space="0" w:color="auto"/>
            </w:tcBorders>
            <w:shd w:val="clear" w:color="auto" w:fill="auto"/>
            <w:noWrap/>
            <w:vAlign w:val="bottom"/>
          </w:tcPr>
          <w:p w:rsidR="007769FD" w:rsidRPr="002C18B4" w:rsidRDefault="007769FD" w:rsidP="000B3466">
            <w:pPr>
              <w:jc w:val="center"/>
              <w:rPr>
                <w:kern w:val="18"/>
                <w:szCs w:val="20"/>
                <w:lang w:val="es-ES_tradnl"/>
              </w:rPr>
            </w:pPr>
            <w:r w:rsidRPr="002C18B4">
              <w:rPr>
                <w:kern w:val="18"/>
                <w:szCs w:val="20"/>
                <w:lang w:val="es-ES_tradnl"/>
              </w:rPr>
              <w:t>(168:810.612)</w:t>
            </w:r>
          </w:p>
        </w:tc>
      </w:tr>
      <w:tr w:rsidR="007769FD" w:rsidRPr="002C18B4" w:rsidTr="000B3466">
        <w:trPr>
          <w:trHeight w:val="263"/>
        </w:trPr>
        <w:tc>
          <w:tcPr>
            <w:tcW w:w="6779" w:type="dxa"/>
            <w:gridSpan w:val="2"/>
            <w:shd w:val="clear" w:color="auto" w:fill="auto"/>
            <w:noWrap/>
            <w:vAlign w:val="bottom"/>
          </w:tcPr>
          <w:p w:rsidR="007769FD" w:rsidRPr="002C18B4" w:rsidRDefault="007769FD" w:rsidP="000B3466">
            <w:pPr>
              <w:rPr>
                <w:kern w:val="18"/>
                <w:szCs w:val="20"/>
                <w:lang w:val="es-ES_tradnl"/>
              </w:rPr>
            </w:pPr>
          </w:p>
        </w:tc>
        <w:tc>
          <w:tcPr>
            <w:tcW w:w="1702" w:type="dxa"/>
            <w:tcBorders>
              <w:top w:val="single" w:sz="4" w:space="0" w:color="auto"/>
            </w:tcBorders>
            <w:shd w:val="clear" w:color="auto" w:fill="auto"/>
            <w:noWrap/>
            <w:vAlign w:val="bottom"/>
          </w:tcPr>
          <w:p w:rsidR="007769FD" w:rsidRPr="002C18B4" w:rsidRDefault="007769FD" w:rsidP="000B3466">
            <w:pPr>
              <w:jc w:val="right"/>
              <w:rPr>
                <w:kern w:val="18"/>
                <w:szCs w:val="20"/>
                <w:lang w:val="es-ES_tradnl"/>
              </w:rPr>
            </w:pPr>
          </w:p>
        </w:tc>
      </w:tr>
      <w:tr w:rsidR="007769FD" w:rsidRPr="002C18B4" w:rsidTr="000B3466">
        <w:trPr>
          <w:trHeight w:val="276"/>
        </w:trPr>
        <w:tc>
          <w:tcPr>
            <w:tcW w:w="6779" w:type="dxa"/>
            <w:gridSpan w:val="2"/>
            <w:shd w:val="clear" w:color="auto" w:fill="auto"/>
            <w:noWrap/>
            <w:vAlign w:val="bottom"/>
          </w:tcPr>
          <w:p w:rsidR="007769FD" w:rsidRPr="002C18B4" w:rsidRDefault="007769FD" w:rsidP="000B3466">
            <w:pPr>
              <w:rPr>
                <w:kern w:val="18"/>
                <w:szCs w:val="20"/>
                <w:lang w:val="es-ES_tradnl"/>
              </w:rPr>
            </w:pPr>
          </w:p>
        </w:tc>
        <w:tc>
          <w:tcPr>
            <w:tcW w:w="1702" w:type="dxa"/>
            <w:shd w:val="clear" w:color="auto" w:fill="auto"/>
            <w:noWrap/>
            <w:vAlign w:val="bottom"/>
          </w:tcPr>
          <w:p w:rsidR="007769FD" w:rsidRPr="002C18B4" w:rsidRDefault="007769FD" w:rsidP="000B3466">
            <w:pPr>
              <w:jc w:val="right"/>
              <w:rPr>
                <w:kern w:val="18"/>
                <w:szCs w:val="20"/>
                <w:lang w:val="es-ES_tradnl"/>
              </w:rPr>
            </w:pPr>
          </w:p>
        </w:tc>
      </w:tr>
      <w:tr w:rsidR="007769FD" w:rsidRPr="002C18B4" w:rsidTr="000B3466">
        <w:trPr>
          <w:trHeight w:val="276"/>
        </w:trPr>
        <w:tc>
          <w:tcPr>
            <w:tcW w:w="6779" w:type="dxa"/>
            <w:gridSpan w:val="2"/>
            <w:shd w:val="clear" w:color="auto" w:fill="auto"/>
            <w:noWrap/>
            <w:vAlign w:val="bottom"/>
          </w:tcPr>
          <w:p w:rsidR="007769FD" w:rsidRPr="002C18B4" w:rsidRDefault="007769FD" w:rsidP="000B3466">
            <w:pPr>
              <w:rPr>
                <w:kern w:val="18"/>
                <w:szCs w:val="20"/>
                <w:lang w:val="es-ES_tradnl"/>
              </w:rPr>
            </w:pPr>
          </w:p>
        </w:tc>
        <w:tc>
          <w:tcPr>
            <w:tcW w:w="1702" w:type="dxa"/>
            <w:shd w:val="clear" w:color="auto" w:fill="auto"/>
            <w:noWrap/>
            <w:vAlign w:val="bottom"/>
          </w:tcPr>
          <w:p w:rsidR="007769FD" w:rsidRPr="002C18B4" w:rsidRDefault="007769FD" w:rsidP="000B3466">
            <w:pPr>
              <w:jc w:val="right"/>
              <w:rPr>
                <w:kern w:val="18"/>
                <w:szCs w:val="20"/>
                <w:lang w:val="es-ES_tradnl"/>
              </w:rPr>
            </w:pPr>
          </w:p>
        </w:tc>
      </w:tr>
    </w:tbl>
    <w:p w:rsidR="007769FD" w:rsidRPr="002C18B4" w:rsidRDefault="007769FD" w:rsidP="000B3466">
      <w:pPr>
        <w:keepNext/>
        <w:spacing w:line="360" w:lineRule="auto"/>
        <w:outlineLvl w:val="2"/>
        <w:rPr>
          <w:rFonts w:cs="Arial"/>
          <w:b/>
          <w:bCs/>
        </w:rPr>
      </w:pPr>
      <w:bookmarkStart w:id="14" w:name="_Toc237403078"/>
      <w:bookmarkStart w:id="15" w:name="_Toc237403079"/>
      <w:bookmarkStart w:id="16" w:name="_Toc400023270"/>
      <w:bookmarkStart w:id="17" w:name="_Toc177468434"/>
      <w:bookmarkEnd w:id="14"/>
      <w:bookmarkEnd w:id="15"/>
      <w:r w:rsidRPr="002C18B4">
        <w:rPr>
          <w:rFonts w:cs="Arial"/>
          <w:b/>
          <w:bCs/>
        </w:rPr>
        <w:t>1.5 Juicios pendientes</w:t>
      </w:r>
      <w:bookmarkEnd w:id="16"/>
    </w:p>
    <w:p w:rsidR="007769FD" w:rsidRPr="002C18B4" w:rsidRDefault="007769FD" w:rsidP="000B3466">
      <w:pPr>
        <w:spacing w:line="360" w:lineRule="auto"/>
        <w:jc w:val="both"/>
        <w:rPr>
          <w:rFonts w:cs="Arial"/>
          <w:bCs/>
          <w:color w:val="000000"/>
        </w:rPr>
      </w:pPr>
      <w:r w:rsidRPr="002C18B4">
        <w:rPr>
          <w:rFonts w:cs="Arial"/>
        </w:rPr>
        <w:t xml:space="preserve">Al 31/12/2015 existían cinco juicios pendientes contra la Intendencia de Soriano, por un importe total de </w:t>
      </w:r>
      <w:r w:rsidRPr="002C18B4">
        <w:rPr>
          <w:rFonts w:cs="Arial"/>
          <w:bCs/>
          <w:color w:val="000000"/>
        </w:rPr>
        <w:t>U$S 70</w:t>
      </w:r>
      <w:r>
        <w:rPr>
          <w:rFonts w:cs="Arial"/>
          <w:bCs/>
          <w:color w:val="000000"/>
        </w:rPr>
        <w:t>.000 y $ 1:</w:t>
      </w:r>
      <w:r w:rsidRPr="002C18B4">
        <w:rPr>
          <w:rFonts w:cs="Arial"/>
          <w:bCs/>
          <w:color w:val="000000"/>
        </w:rPr>
        <w:t>871.024</w:t>
      </w:r>
      <w:r w:rsidRPr="002C18B4">
        <w:rPr>
          <w:rFonts w:cs="Arial"/>
        </w:rPr>
        <w:t>, lo que podría incidir en el déficit acumulado por las eventuales e</w:t>
      </w:r>
      <w:r w:rsidR="005976B7">
        <w:rPr>
          <w:rFonts w:cs="Arial"/>
        </w:rPr>
        <w:t>rogaciones que puedan resultar.</w:t>
      </w:r>
    </w:p>
    <w:p w:rsidR="007769FD" w:rsidRPr="002C18B4" w:rsidRDefault="007769FD" w:rsidP="000B3466">
      <w:pPr>
        <w:keepNext/>
        <w:spacing w:line="360" w:lineRule="auto"/>
        <w:outlineLvl w:val="2"/>
        <w:rPr>
          <w:rFonts w:cs="Arial"/>
          <w:b/>
          <w:bCs/>
        </w:rPr>
      </w:pPr>
      <w:bookmarkStart w:id="18" w:name="_Toc243304021"/>
      <w:bookmarkStart w:id="19" w:name="_Toc400023271"/>
    </w:p>
    <w:p w:rsidR="007769FD" w:rsidRPr="002C18B4" w:rsidRDefault="007769FD" w:rsidP="000B3466">
      <w:pPr>
        <w:keepNext/>
        <w:spacing w:line="360" w:lineRule="auto"/>
        <w:outlineLvl w:val="2"/>
        <w:rPr>
          <w:rFonts w:cs="Arial"/>
          <w:b/>
          <w:sz w:val="26"/>
          <w:szCs w:val="26"/>
        </w:rPr>
      </w:pPr>
      <w:r w:rsidRPr="002C18B4">
        <w:rPr>
          <w:rFonts w:cs="Arial"/>
          <w:b/>
          <w:bCs/>
        </w:rPr>
        <w:t>1.6 Conciliación de saldos con Organismos del Estado</w:t>
      </w:r>
      <w:bookmarkEnd w:id="18"/>
      <w:bookmarkEnd w:id="19"/>
    </w:p>
    <w:p w:rsidR="007769FD" w:rsidRPr="002C18B4" w:rsidRDefault="007769FD" w:rsidP="000B3466">
      <w:pPr>
        <w:spacing w:line="360" w:lineRule="auto"/>
        <w:jc w:val="both"/>
        <w:rPr>
          <w:rFonts w:cs="Arial"/>
        </w:rPr>
      </w:pPr>
      <w:r w:rsidRPr="002C18B4">
        <w:rPr>
          <w:rFonts w:cs="Arial"/>
        </w:rPr>
        <w:t>De la comparación de la información remitida al Tribunal de Cuentas por ANCAP y la expuesta en la Rendición de Cuentas de la Intendencia, resulta la diferencia que se detalla (en pesos uruguayos),</w:t>
      </w:r>
      <w:r w:rsidRPr="002C18B4">
        <w:rPr>
          <w:snapToGrid w:val="0"/>
          <w:color w:val="000000"/>
          <w:lang w:val="es-MX"/>
        </w:rPr>
        <w:t xml:space="preserve"> no habiéndose presentado la conciliación correspondiente</w:t>
      </w:r>
      <w:r w:rsidRPr="002C18B4">
        <w:rPr>
          <w:rFonts w:cs="Arial"/>
        </w:rPr>
        <w:t>:</w:t>
      </w:r>
    </w:p>
    <w:tbl>
      <w:tblPr>
        <w:tblW w:w="6640" w:type="dxa"/>
        <w:jc w:val="center"/>
        <w:tblCellMar>
          <w:left w:w="70" w:type="dxa"/>
          <w:right w:w="70" w:type="dxa"/>
        </w:tblCellMar>
        <w:tblLook w:val="0000" w:firstRow="0" w:lastRow="0" w:firstColumn="0" w:lastColumn="0" w:noHBand="0" w:noVBand="0"/>
      </w:tblPr>
      <w:tblGrid>
        <w:gridCol w:w="1520"/>
        <w:gridCol w:w="2560"/>
        <w:gridCol w:w="2560"/>
      </w:tblGrid>
      <w:tr w:rsidR="007769FD" w:rsidRPr="002C18B4" w:rsidTr="000B3466">
        <w:trPr>
          <w:trHeight w:val="270"/>
          <w:jc w:val="center"/>
        </w:trPr>
        <w:tc>
          <w:tcPr>
            <w:tcW w:w="1520" w:type="dxa"/>
            <w:tcBorders>
              <w:top w:val="single" w:sz="8" w:space="0" w:color="auto"/>
              <w:left w:val="single" w:sz="8" w:space="0" w:color="auto"/>
              <w:bottom w:val="single" w:sz="8" w:space="0" w:color="auto"/>
              <w:right w:val="single" w:sz="8" w:space="0" w:color="auto"/>
            </w:tcBorders>
            <w:shd w:val="clear" w:color="auto" w:fill="auto"/>
            <w:noWrap/>
            <w:vAlign w:val="bottom"/>
          </w:tcPr>
          <w:p w:rsidR="007769FD" w:rsidRPr="002C18B4" w:rsidRDefault="007769FD" w:rsidP="000B3466">
            <w:pPr>
              <w:jc w:val="center"/>
              <w:rPr>
                <w:rFonts w:cs="Arial"/>
                <w:b/>
                <w:bCs/>
                <w:sz w:val="20"/>
                <w:szCs w:val="20"/>
              </w:rPr>
            </w:pPr>
            <w:r w:rsidRPr="002C18B4">
              <w:rPr>
                <w:rFonts w:cs="Arial"/>
                <w:b/>
                <w:bCs/>
                <w:sz w:val="20"/>
                <w:szCs w:val="20"/>
              </w:rPr>
              <w:t>Organismo</w:t>
            </w:r>
          </w:p>
        </w:tc>
        <w:tc>
          <w:tcPr>
            <w:tcW w:w="2560" w:type="dxa"/>
            <w:tcBorders>
              <w:top w:val="single" w:sz="8" w:space="0" w:color="auto"/>
              <w:left w:val="nil"/>
              <w:bottom w:val="single" w:sz="8" w:space="0" w:color="auto"/>
              <w:right w:val="single" w:sz="8" w:space="0" w:color="auto"/>
            </w:tcBorders>
            <w:shd w:val="clear" w:color="auto" w:fill="auto"/>
            <w:noWrap/>
            <w:vAlign w:val="bottom"/>
          </w:tcPr>
          <w:p w:rsidR="007769FD" w:rsidRPr="002C18B4" w:rsidRDefault="007769FD" w:rsidP="000B3466">
            <w:pPr>
              <w:jc w:val="center"/>
              <w:rPr>
                <w:rFonts w:cs="Arial"/>
                <w:b/>
                <w:bCs/>
                <w:sz w:val="20"/>
                <w:szCs w:val="20"/>
              </w:rPr>
            </w:pPr>
            <w:r w:rsidRPr="002C18B4">
              <w:rPr>
                <w:rFonts w:cs="Arial"/>
                <w:b/>
                <w:bCs/>
                <w:sz w:val="20"/>
                <w:szCs w:val="20"/>
              </w:rPr>
              <w:t>Saldo según Organismo</w:t>
            </w:r>
          </w:p>
        </w:tc>
        <w:tc>
          <w:tcPr>
            <w:tcW w:w="2560" w:type="dxa"/>
            <w:tcBorders>
              <w:top w:val="single" w:sz="8" w:space="0" w:color="auto"/>
              <w:left w:val="nil"/>
              <w:bottom w:val="single" w:sz="8" w:space="0" w:color="auto"/>
              <w:right w:val="single" w:sz="8" w:space="0" w:color="auto"/>
            </w:tcBorders>
            <w:shd w:val="clear" w:color="auto" w:fill="auto"/>
            <w:noWrap/>
            <w:vAlign w:val="bottom"/>
          </w:tcPr>
          <w:p w:rsidR="007769FD" w:rsidRPr="002C18B4" w:rsidRDefault="007769FD" w:rsidP="000B3466">
            <w:pPr>
              <w:jc w:val="center"/>
              <w:rPr>
                <w:rFonts w:cs="Arial"/>
                <w:b/>
                <w:bCs/>
                <w:sz w:val="20"/>
                <w:szCs w:val="20"/>
              </w:rPr>
            </w:pPr>
            <w:r w:rsidRPr="002C18B4">
              <w:rPr>
                <w:rFonts w:cs="Arial"/>
                <w:b/>
                <w:bCs/>
                <w:sz w:val="20"/>
                <w:szCs w:val="20"/>
              </w:rPr>
              <w:t>Saldo según Intendencia</w:t>
            </w:r>
          </w:p>
        </w:tc>
      </w:tr>
      <w:tr w:rsidR="007769FD" w:rsidRPr="002C18B4" w:rsidTr="000B3466">
        <w:trPr>
          <w:trHeight w:val="270"/>
          <w:jc w:val="center"/>
        </w:trPr>
        <w:tc>
          <w:tcPr>
            <w:tcW w:w="1520" w:type="dxa"/>
            <w:tcBorders>
              <w:top w:val="nil"/>
              <w:left w:val="single" w:sz="8" w:space="0" w:color="auto"/>
              <w:bottom w:val="single" w:sz="8" w:space="0" w:color="auto"/>
              <w:right w:val="single" w:sz="8" w:space="0" w:color="auto"/>
            </w:tcBorders>
            <w:shd w:val="clear" w:color="auto" w:fill="auto"/>
            <w:noWrap/>
            <w:vAlign w:val="bottom"/>
          </w:tcPr>
          <w:p w:rsidR="007769FD" w:rsidRPr="002C18B4" w:rsidRDefault="007769FD" w:rsidP="000B3466">
            <w:pPr>
              <w:jc w:val="center"/>
              <w:rPr>
                <w:rFonts w:cs="Arial"/>
                <w:sz w:val="20"/>
                <w:szCs w:val="20"/>
              </w:rPr>
            </w:pPr>
            <w:r w:rsidRPr="002C18B4">
              <w:rPr>
                <w:rFonts w:cs="Arial"/>
                <w:sz w:val="20"/>
                <w:szCs w:val="20"/>
              </w:rPr>
              <w:t>ANCAP</w:t>
            </w:r>
          </w:p>
        </w:tc>
        <w:tc>
          <w:tcPr>
            <w:tcW w:w="2560" w:type="dxa"/>
            <w:tcBorders>
              <w:top w:val="nil"/>
              <w:left w:val="nil"/>
              <w:bottom w:val="single" w:sz="8" w:space="0" w:color="auto"/>
              <w:right w:val="single" w:sz="8" w:space="0" w:color="auto"/>
            </w:tcBorders>
            <w:shd w:val="clear" w:color="auto" w:fill="auto"/>
            <w:noWrap/>
            <w:vAlign w:val="bottom"/>
          </w:tcPr>
          <w:p w:rsidR="007769FD" w:rsidRPr="002C18B4" w:rsidRDefault="007769FD" w:rsidP="000B3466">
            <w:pPr>
              <w:jc w:val="center"/>
              <w:rPr>
                <w:rFonts w:cs="Arial"/>
                <w:sz w:val="20"/>
                <w:szCs w:val="20"/>
              </w:rPr>
            </w:pPr>
            <w:r w:rsidRPr="002C18B4">
              <w:rPr>
                <w:rFonts w:cs="Arial"/>
                <w:sz w:val="20"/>
                <w:szCs w:val="20"/>
              </w:rPr>
              <w:t>$ 11:142.052</w:t>
            </w:r>
          </w:p>
        </w:tc>
        <w:tc>
          <w:tcPr>
            <w:tcW w:w="2560" w:type="dxa"/>
            <w:tcBorders>
              <w:top w:val="nil"/>
              <w:left w:val="nil"/>
              <w:bottom w:val="single" w:sz="8" w:space="0" w:color="auto"/>
              <w:right w:val="single" w:sz="8" w:space="0" w:color="auto"/>
            </w:tcBorders>
            <w:shd w:val="clear" w:color="auto" w:fill="auto"/>
            <w:noWrap/>
            <w:vAlign w:val="bottom"/>
          </w:tcPr>
          <w:p w:rsidR="007769FD" w:rsidRPr="002C18B4" w:rsidRDefault="007769FD" w:rsidP="000B3466">
            <w:pPr>
              <w:jc w:val="center"/>
              <w:rPr>
                <w:rFonts w:cs="Arial"/>
                <w:sz w:val="20"/>
                <w:szCs w:val="20"/>
              </w:rPr>
            </w:pPr>
            <w:r w:rsidRPr="002C18B4">
              <w:rPr>
                <w:rFonts w:cs="Arial"/>
                <w:sz w:val="20"/>
                <w:szCs w:val="20"/>
              </w:rPr>
              <w:t>$ 6:804.776</w:t>
            </w:r>
          </w:p>
        </w:tc>
      </w:tr>
    </w:tbl>
    <w:p w:rsidR="007769FD" w:rsidRPr="002C18B4" w:rsidRDefault="007769FD" w:rsidP="000B3466">
      <w:pPr>
        <w:keepNext/>
        <w:spacing w:line="360" w:lineRule="auto"/>
        <w:outlineLvl w:val="2"/>
        <w:rPr>
          <w:rFonts w:cs="Arial"/>
          <w:b/>
          <w:bCs/>
        </w:rPr>
      </w:pPr>
      <w:bookmarkStart w:id="20" w:name="_Toc400023272"/>
    </w:p>
    <w:bookmarkEnd w:id="20"/>
    <w:p w:rsidR="007769FD" w:rsidRPr="002C18B4" w:rsidRDefault="007769FD" w:rsidP="007769FD">
      <w:pPr>
        <w:numPr>
          <w:ilvl w:val="1"/>
          <w:numId w:val="5"/>
        </w:numPr>
        <w:spacing w:line="360" w:lineRule="auto"/>
        <w:jc w:val="both"/>
        <w:rPr>
          <w:b/>
          <w:bCs/>
          <w:color w:val="000000"/>
        </w:rPr>
      </w:pPr>
      <w:r>
        <w:rPr>
          <w:b/>
          <w:bCs/>
          <w:color w:val="000000"/>
        </w:rPr>
        <w:t xml:space="preserve"> </w:t>
      </w:r>
      <w:r w:rsidRPr="002C18B4">
        <w:rPr>
          <w:b/>
          <w:bCs/>
          <w:color w:val="000000"/>
        </w:rPr>
        <w:t>Remuneraciones</w:t>
      </w:r>
    </w:p>
    <w:p w:rsidR="007769FD" w:rsidRPr="002C18B4" w:rsidRDefault="007769FD" w:rsidP="000B3466">
      <w:pPr>
        <w:spacing w:line="360" w:lineRule="auto"/>
        <w:jc w:val="both"/>
        <w:rPr>
          <w:rFonts w:cs="Arial"/>
          <w:color w:val="000000"/>
        </w:rPr>
      </w:pPr>
      <w:r w:rsidRPr="002C18B4">
        <w:rPr>
          <w:bCs/>
          <w:color w:val="000000"/>
        </w:rPr>
        <w:t xml:space="preserve">En el transcurso de la presente auditoría se detectó que </w:t>
      </w:r>
      <w:r w:rsidRPr="002C18B4">
        <w:t>l</w:t>
      </w:r>
      <w:r w:rsidRPr="002C18B4">
        <w:rPr>
          <w:bCs/>
        </w:rPr>
        <w:t xml:space="preserve">os subsidios pagados a los cargos políticos no se ajustaron de la misma forma que los sueldos base que los originan. </w:t>
      </w:r>
      <w:r w:rsidRPr="002C18B4">
        <w:rPr>
          <w:rFonts w:cs="Arial"/>
          <w:color w:val="000000"/>
        </w:rPr>
        <w:t>Si bien hubo error en el ajuste de sueldos por IPC de algunos funcionarios, los mismos fueron subsanados por parte de la Administración, en los</w:t>
      </w:r>
      <w:r w:rsidR="005976B7">
        <w:rPr>
          <w:rFonts w:cs="Arial"/>
          <w:color w:val="000000"/>
        </w:rPr>
        <w:t xml:space="preserve"> meses de marzo y mayo de 2015.</w:t>
      </w:r>
    </w:p>
    <w:p w:rsidR="007769FD" w:rsidRPr="002C18B4" w:rsidRDefault="007769FD" w:rsidP="000B3466">
      <w:pPr>
        <w:numPr>
          <w:ilvl w:val="1"/>
          <w:numId w:val="0"/>
        </w:numPr>
        <w:tabs>
          <w:tab w:val="num" w:pos="0"/>
        </w:tabs>
        <w:spacing w:line="360" w:lineRule="auto"/>
        <w:ind w:left="450" w:hanging="450"/>
        <w:outlineLvl w:val="1"/>
        <w:rPr>
          <w:b/>
          <w:kern w:val="18"/>
          <w:szCs w:val="20"/>
        </w:rPr>
      </w:pPr>
      <w:bookmarkStart w:id="21" w:name="_Toc207615174"/>
      <w:bookmarkStart w:id="22" w:name="_Toc400023273"/>
      <w:r w:rsidRPr="002C18B4">
        <w:rPr>
          <w:b/>
          <w:kern w:val="18"/>
          <w:szCs w:val="20"/>
        </w:rPr>
        <w:lastRenderedPageBreak/>
        <w:t xml:space="preserve">2 </w:t>
      </w:r>
      <w:bookmarkEnd w:id="17"/>
      <w:bookmarkEnd w:id="21"/>
      <w:r w:rsidRPr="002C18B4">
        <w:rPr>
          <w:b/>
          <w:kern w:val="18"/>
          <w:szCs w:val="20"/>
        </w:rPr>
        <w:t>INCUMPLIMIENTO DE NORMAS</w:t>
      </w:r>
      <w:bookmarkEnd w:id="22"/>
    </w:p>
    <w:p w:rsidR="007769FD" w:rsidRPr="002C18B4" w:rsidRDefault="007769FD" w:rsidP="000B3466">
      <w:pPr>
        <w:widowControl w:val="0"/>
        <w:spacing w:line="360" w:lineRule="auto"/>
        <w:jc w:val="both"/>
        <w:rPr>
          <w:rFonts w:cs="Arial"/>
          <w:kern w:val="18"/>
          <w:szCs w:val="20"/>
        </w:rPr>
      </w:pPr>
      <w:r w:rsidRPr="002C18B4">
        <w:rPr>
          <w:rFonts w:cs="Arial"/>
          <w:kern w:val="18"/>
          <w:szCs w:val="20"/>
        </w:rPr>
        <w:t>En relación al incumplimiento de normas, corresponde realizar las siguientes precisiones:</w:t>
      </w:r>
    </w:p>
    <w:p w:rsidR="007769FD" w:rsidRPr="002C18B4" w:rsidRDefault="007769FD" w:rsidP="000B3466">
      <w:pPr>
        <w:widowControl w:val="0"/>
        <w:spacing w:line="360" w:lineRule="auto"/>
        <w:jc w:val="both"/>
        <w:rPr>
          <w:rFonts w:cs="Arial"/>
          <w:kern w:val="18"/>
          <w:szCs w:val="20"/>
        </w:rPr>
      </w:pPr>
    </w:p>
    <w:p w:rsidR="007769FD" w:rsidRPr="002C18B4" w:rsidRDefault="007769FD" w:rsidP="000B3466">
      <w:pPr>
        <w:keepNext/>
        <w:spacing w:line="360" w:lineRule="auto"/>
        <w:outlineLvl w:val="2"/>
        <w:rPr>
          <w:rFonts w:cs="Arial"/>
          <w:b/>
          <w:bCs/>
        </w:rPr>
      </w:pPr>
      <w:bookmarkStart w:id="23" w:name="_Toc400023274"/>
      <w:r w:rsidRPr="002C18B4">
        <w:rPr>
          <w:rFonts w:cs="Arial"/>
          <w:b/>
          <w:bCs/>
        </w:rPr>
        <w:t>2.1 Proceso del gasto en el Parador Palmar</w:t>
      </w:r>
      <w:bookmarkEnd w:id="23"/>
    </w:p>
    <w:p w:rsidR="007769FD" w:rsidRPr="002C18B4" w:rsidRDefault="007769FD" w:rsidP="000B3466">
      <w:pPr>
        <w:spacing w:line="360" w:lineRule="auto"/>
        <w:jc w:val="both"/>
      </w:pPr>
      <w:r w:rsidRPr="002C18B4">
        <w:t xml:space="preserve">En el Parador Palmar, se ejecutaron contrataciones  que no cumplieron con las etapas del gasto correspondiente, dado que los pagos no fueron autorizados </w:t>
      </w:r>
      <w:r>
        <w:t>por los O</w:t>
      </w:r>
      <w:r w:rsidRPr="002C18B4">
        <w:t>rdenadores competentes (</w:t>
      </w:r>
      <w:r>
        <w:t>Artículo</w:t>
      </w:r>
      <w:r w:rsidRPr="002C18B4">
        <w:t xml:space="preserve"> 23 del TOCAF). Tampoco fueron sometidos a intervención de la Contadora Delegada o del Tribunal de Cuentas a efectos de certificar su legalidad (Artículo 211 Literal B) de la Constitución de la República y Artículo 87 del TOCAF). Asimismo, en lo que refiere al control interno, no existe una adecuada separación de funciones y oposición de intereses sino que por el contrario, se encuentran centralizadas en la encargada de la dependencia, las funciones de tesorería, contaduría, compras </w:t>
      </w:r>
      <w:r w:rsidR="005976B7">
        <w:t>y pagos.</w:t>
      </w:r>
    </w:p>
    <w:p w:rsidR="007769FD" w:rsidRPr="002C18B4" w:rsidRDefault="007769FD" w:rsidP="000B3466">
      <w:bookmarkStart w:id="24" w:name="_Toc400023275"/>
    </w:p>
    <w:p w:rsidR="007769FD" w:rsidRPr="002C18B4" w:rsidRDefault="007769FD" w:rsidP="000B3466">
      <w:pPr>
        <w:keepNext/>
        <w:spacing w:line="360" w:lineRule="auto"/>
        <w:outlineLvl w:val="2"/>
        <w:rPr>
          <w:rFonts w:cs="Arial"/>
          <w:b/>
          <w:bCs/>
        </w:rPr>
      </w:pPr>
      <w:r w:rsidRPr="002C18B4">
        <w:rPr>
          <w:rFonts w:cs="Arial"/>
          <w:b/>
          <w:bCs/>
        </w:rPr>
        <w:t>2.2 Gastos y pagos sin intervención del Tribunal de Cuentas</w:t>
      </w:r>
      <w:bookmarkEnd w:id="24"/>
    </w:p>
    <w:p w:rsidR="007769FD" w:rsidRPr="002C18B4" w:rsidRDefault="007769FD" w:rsidP="000B3466">
      <w:pPr>
        <w:spacing w:line="360" w:lineRule="auto"/>
        <w:jc w:val="both"/>
        <w:rPr>
          <w:kern w:val="18"/>
          <w:szCs w:val="20"/>
          <w:lang w:val="es-ES_tradnl"/>
        </w:rPr>
      </w:pPr>
      <w:r>
        <w:rPr>
          <w:kern w:val="18"/>
          <w:szCs w:val="20"/>
          <w:lang w:val="es-ES_tradnl"/>
        </w:rPr>
        <w:t>Al igual que en E</w:t>
      </w:r>
      <w:r w:rsidRPr="002C18B4">
        <w:rPr>
          <w:kern w:val="18"/>
          <w:szCs w:val="20"/>
          <w:lang w:val="es-ES_tradnl"/>
        </w:rPr>
        <w:t>jercicios anteriores, los gastos y pagos de las Juntas Locales,  Municipios y Parador Palmar, no fueron intervenidos por la Contadora Delegada ni por el Tribunal de Cuentas, contraviniendo lo dispuesto por el Artículo 211 Literal B) de la Constitución de la Repúbl</w:t>
      </w:r>
      <w:r w:rsidR="005976B7">
        <w:rPr>
          <w:kern w:val="18"/>
          <w:szCs w:val="20"/>
          <w:lang w:val="es-ES_tradnl"/>
        </w:rPr>
        <w:t>ica y el Artículo 87 del TOCAF.</w:t>
      </w:r>
    </w:p>
    <w:p w:rsidR="007769FD" w:rsidRPr="002C18B4" w:rsidRDefault="007769FD" w:rsidP="000B3466">
      <w:pPr>
        <w:spacing w:line="360" w:lineRule="auto"/>
        <w:jc w:val="both"/>
        <w:rPr>
          <w:lang w:val="es-MX"/>
        </w:rPr>
      </w:pPr>
      <w:r w:rsidRPr="002C18B4">
        <w:rPr>
          <w:lang w:val="es-ES_tradnl"/>
        </w:rPr>
        <w:t xml:space="preserve">Al respecto, el Tribunal de Cuentas por Resoluciones de fechas 04/02/2009, 20/01/2010 y 23/02/2011 señaló </w:t>
      </w:r>
      <w:r w:rsidRPr="002C18B4">
        <w:rPr>
          <w:lang w:val="es-MX"/>
        </w:rPr>
        <w:t>que, dado el volumen de in</w:t>
      </w:r>
      <w:r w:rsidRPr="002C18B4">
        <w:rPr>
          <w:lang w:val="es-MX"/>
        </w:rPr>
        <w:softHyphen/>
        <w:t xml:space="preserve">tervenciones que se deben efectuar en dicha Intendencia así como la posibilidad de licencias temporarias de la Contadora Delegada, sería conveniente que se propusiera el nombre de un profesional para actuar conjuntamente con la mencionada Delegada, </w:t>
      </w:r>
      <w:r w:rsidR="005976B7">
        <w:rPr>
          <w:lang w:val="es-MX"/>
        </w:rPr>
        <w:t>lo que no ha sido implementado.</w:t>
      </w:r>
    </w:p>
    <w:p w:rsidR="007769FD" w:rsidRPr="002C18B4" w:rsidRDefault="007769FD" w:rsidP="000B3466">
      <w:pPr>
        <w:spacing w:line="360" w:lineRule="auto"/>
        <w:jc w:val="both"/>
        <w:rPr>
          <w:rFonts w:cs="Arial"/>
          <w:kern w:val="18"/>
          <w:szCs w:val="20"/>
          <w:lang w:val="es-MX"/>
        </w:rPr>
      </w:pPr>
      <w:r w:rsidRPr="002C18B4">
        <w:rPr>
          <w:rFonts w:cs="Arial"/>
          <w:kern w:val="18"/>
          <w:szCs w:val="20"/>
          <w:lang w:val="es-MX"/>
        </w:rPr>
        <w:lastRenderedPageBreak/>
        <w:t>Asimismo, el Tribunal de Cuentas señaló que, con relación a los gastos y pagos realizados por las Juntas Locales, es aconsejable a efectos de un adecuado manej</w:t>
      </w:r>
      <w:r>
        <w:rPr>
          <w:rFonts w:cs="Arial"/>
          <w:kern w:val="18"/>
          <w:szCs w:val="20"/>
          <w:lang w:val="es-MX"/>
        </w:rPr>
        <w:t>o de fondos y dar cumplimiento con</w:t>
      </w:r>
      <w:r w:rsidRPr="002C18B4">
        <w:rPr>
          <w:rFonts w:cs="Arial"/>
          <w:kern w:val="18"/>
          <w:szCs w:val="20"/>
          <w:lang w:val="es-MX"/>
        </w:rPr>
        <w:t xml:space="preserve"> lo establecido en el Artículo 211 Literal B) de la Constitución de la República, disponer la creación de fondos permanentes con la respectiva reglamentación para su utilización, de acuerdo con lo establecido en el Artículo 89 del TOCAF, lo que tampoco ha sido implementado.</w:t>
      </w:r>
    </w:p>
    <w:p w:rsidR="007769FD" w:rsidRPr="002C18B4" w:rsidRDefault="007769FD" w:rsidP="000B3466">
      <w:pPr>
        <w:spacing w:line="360" w:lineRule="auto"/>
        <w:jc w:val="both"/>
        <w:rPr>
          <w:rFonts w:cs="Arial"/>
          <w:bCs/>
          <w:lang w:val="es-MX"/>
        </w:rPr>
      </w:pPr>
      <w:r w:rsidRPr="002C18B4">
        <w:rPr>
          <w:rFonts w:cs="Arial"/>
          <w:kern w:val="18"/>
          <w:szCs w:val="20"/>
          <w:lang w:val="es-MX"/>
        </w:rPr>
        <w:t>En las mismas Resoluciones se acordó que corresponde a la Intendencia disponer las actuaciones a que refieren los Artículos 137 y siguientes del TOCAF para determinar las responsabilidades emergentes, lo que no ha sido informado a este Tribunal.</w:t>
      </w:r>
    </w:p>
    <w:p w:rsidR="007769FD" w:rsidRPr="002C18B4" w:rsidRDefault="007769FD" w:rsidP="000B3466">
      <w:pPr>
        <w:keepNext/>
        <w:spacing w:line="360" w:lineRule="auto"/>
        <w:outlineLvl w:val="2"/>
        <w:rPr>
          <w:rFonts w:cs="Arial"/>
          <w:b/>
          <w:bCs/>
          <w:lang w:val="es-MX"/>
        </w:rPr>
      </w:pPr>
      <w:bookmarkStart w:id="25" w:name="_Toc207615176"/>
      <w:bookmarkStart w:id="26" w:name="_Toc400023276"/>
    </w:p>
    <w:p w:rsidR="007769FD" w:rsidRPr="002C18B4" w:rsidRDefault="007769FD" w:rsidP="000B3466">
      <w:pPr>
        <w:keepNext/>
        <w:spacing w:line="360" w:lineRule="auto"/>
        <w:outlineLvl w:val="2"/>
        <w:rPr>
          <w:rFonts w:cs="Arial"/>
          <w:b/>
          <w:bCs/>
        </w:rPr>
      </w:pPr>
      <w:r w:rsidRPr="002C18B4">
        <w:rPr>
          <w:rFonts w:cs="Arial"/>
          <w:b/>
          <w:bCs/>
        </w:rPr>
        <w:t>2.3 Modificación Presupuestal 2012-201</w:t>
      </w:r>
      <w:bookmarkEnd w:id="25"/>
      <w:r w:rsidRPr="002C18B4">
        <w:rPr>
          <w:rFonts w:cs="Arial"/>
          <w:b/>
          <w:bCs/>
        </w:rPr>
        <w:t>5</w:t>
      </w:r>
      <w:bookmarkEnd w:id="26"/>
    </w:p>
    <w:p w:rsidR="007769FD" w:rsidRPr="002C18B4" w:rsidRDefault="007769FD" w:rsidP="000B3466">
      <w:pPr>
        <w:spacing w:line="360" w:lineRule="auto"/>
        <w:jc w:val="both"/>
      </w:pPr>
      <w:r>
        <w:t>El Tribunal de Cuentas, en S</w:t>
      </w:r>
      <w:r w:rsidRPr="002C18B4">
        <w:t xml:space="preserve">esión de fecha 26/10/2012, acordó emitir su Dictamen Constitucional respecto al Proyecto de Modificación Presupuestal 2012-2015 de la Intendencia de Soriano, observando el referido documento por lo expuesto en los párrafos </w:t>
      </w:r>
      <w:r w:rsidRPr="002C18B4">
        <w:rPr>
          <w:lang w:val="es-MX"/>
        </w:rPr>
        <w:t>2.2), 2.3), 3.2), 3.3) y 4.2) del Dictamen.</w:t>
      </w:r>
      <w:r>
        <w:t xml:space="preserve"> La Junta Departamental, en S</w:t>
      </w:r>
      <w:r w:rsidRPr="002C18B4">
        <w:t>esión de fecha 29/10/2012, resolvió sancionar la referida Modificación Presupuestal, aceptando las observaciones efectuadas por este Tribunal, l</w:t>
      </w:r>
      <w:r w:rsidR="003364CA">
        <w:t>as cuales no fueron subsanadas.</w:t>
      </w:r>
    </w:p>
    <w:p w:rsidR="007769FD" w:rsidRPr="002C18B4" w:rsidRDefault="007769FD" w:rsidP="000B3466">
      <w:pPr>
        <w:spacing w:line="360" w:lineRule="auto"/>
        <w:jc w:val="both"/>
        <w:rPr>
          <w:rFonts w:cs="Arial"/>
          <w:b/>
        </w:rPr>
      </w:pPr>
      <w:r w:rsidRPr="002C18B4">
        <w:rPr>
          <w:rFonts w:cs="Arial"/>
        </w:rPr>
        <w:t>Al no introducir efectivamente las correcciones establecidas de forma de subsanar la totalidad de las observaciones, se incumple con lo dispuesto por el Artículo 225 de la Constitución de la República, Ordenanza N° 71 y Resolución de este Tribunal</w:t>
      </w:r>
      <w:r w:rsidR="005976B7">
        <w:rPr>
          <w:rFonts w:cs="Arial"/>
        </w:rPr>
        <w:t xml:space="preserve"> de 1 de julio de 1998.</w:t>
      </w:r>
    </w:p>
    <w:p w:rsidR="007769FD" w:rsidRPr="002C18B4" w:rsidRDefault="007769FD" w:rsidP="000B3466">
      <w:pPr>
        <w:spacing w:line="360" w:lineRule="auto"/>
        <w:jc w:val="both"/>
        <w:rPr>
          <w:rFonts w:cs="Arial"/>
        </w:rPr>
      </w:pPr>
    </w:p>
    <w:p w:rsidR="007769FD" w:rsidRPr="002C18B4" w:rsidRDefault="007769FD" w:rsidP="000B3466">
      <w:pPr>
        <w:keepNext/>
        <w:spacing w:line="360" w:lineRule="auto"/>
        <w:outlineLvl w:val="2"/>
        <w:rPr>
          <w:rFonts w:cs="Arial"/>
          <w:b/>
          <w:bCs/>
        </w:rPr>
      </w:pPr>
      <w:bookmarkStart w:id="27" w:name="_Toc207184742"/>
      <w:bookmarkStart w:id="28" w:name="_Toc207615178"/>
      <w:bookmarkStart w:id="29" w:name="_Toc400023277"/>
      <w:r w:rsidRPr="002C18B4">
        <w:rPr>
          <w:rFonts w:cs="Arial"/>
          <w:b/>
          <w:bCs/>
        </w:rPr>
        <w:t xml:space="preserve">2.4 </w:t>
      </w:r>
      <w:bookmarkEnd w:id="27"/>
      <w:bookmarkEnd w:id="28"/>
      <w:r>
        <w:rPr>
          <w:rFonts w:cs="Arial"/>
          <w:b/>
          <w:bCs/>
        </w:rPr>
        <w:t>Impuestos creados por Ley N</w:t>
      </w:r>
      <w:r w:rsidRPr="002C18B4">
        <w:rPr>
          <w:rFonts w:cs="Arial"/>
          <w:b/>
          <w:bCs/>
        </w:rPr>
        <w:t>acional</w:t>
      </w:r>
      <w:bookmarkEnd w:id="29"/>
    </w:p>
    <w:p w:rsidR="007769FD" w:rsidRPr="002C18B4" w:rsidRDefault="007769FD" w:rsidP="000B3466">
      <w:pPr>
        <w:spacing w:line="360" w:lineRule="auto"/>
        <w:jc w:val="both"/>
        <w:rPr>
          <w:rFonts w:ascii="Times New Roman" w:hAnsi="Times New Roman"/>
          <w:color w:val="000000"/>
        </w:rPr>
      </w:pPr>
      <w:r>
        <w:rPr>
          <w:rFonts w:cs="Arial"/>
          <w:lang w:val="es-MX"/>
        </w:rPr>
        <w:t>Al igual que en E</w:t>
      </w:r>
      <w:r w:rsidRPr="002C18B4">
        <w:rPr>
          <w:rFonts w:cs="Arial"/>
          <w:lang w:val="es-MX"/>
        </w:rPr>
        <w:t>jercicios anteriores, d</w:t>
      </w:r>
      <w:r>
        <w:rPr>
          <w:rFonts w:cs="Arial"/>
          <w:lang w:val="es-MX"/>
        </w:rPr>
        <w:t>urante el E</w:t>
      </w:r>
      <w:r w:rsidRPr="002C18B4">
        <w:rPr>
          <w:rFonts w:cs="Arial"/>
          <w:lang w:val="es-MX"/>
        </w:rPr>
        <w:t xml:space="preserve">jercicio 2014 se aplicó para la Contribución Inmobiliaria Rural un descuento del 10% por pago contado y una bonificación del 10% para buenos pagadores. Asimismo, para </w:t>
      </w:r>
      <w:r w:rsidRPr="002C18B4">
        <w:rPr>
          <w:color w:val="000000"/>
        </w:rPr>
        <w:t xml:space="preserve">el Impuesto a las </w:t>
      </w:r>
      <w:r w:rsidRPr="002C18B4">
        <w:rPr>
          <w:color w:val="000000"/>
        </w:rPr>
        <w:lastRenderedPageBreak/>
        <w:t>ventas de semovientes creado por la Ley N° 12.700, se otorgó un descuento del 5% para aquellos contribuyentes que lo abonaran dentro de los 30 días siguientes a la venta.</w:t>
      </w:r>
    </w:p>
    <w:p w:rsidR="007769FD" w:rsidRPr="002C18B4" w:rsidRDefault="007769FD" w:rsidP="000B3466">
      <w:pPr>
        <w:spacing w:line="360" w:lineRule="auto"/>
        <w:jc w:val="both"/>
      </w:pPr>
      <w:r w:rsidRPr="002C18B4">
        <w:rPr>
          <w:rFonts w:cs="Arial"/>
          <w:iCs/>
          <w:lang w:val="es-MX"/>
        </w:rPr>
        <w:t>Estos descuentos y bonificaciones exceden la potestad tributaria del Gobierno Departamental por cuanto los citados impuestos tienen origen legal de carácter nacional, siendo competencia del Gobierno Nacional el establecimiento de tales bonificaciones y descuentos, p</w:t>
      </w:r>
      <w:proofErr w:type="spellStart"/>
      <w:r w:rsidRPr="002C18B4">
        <w:t>or</w:t>
      </w:r>
      <w:proofErr w:type="spellEnd"/>
      <w:r w:rsidRPr="002C18B4">
        <w:t xml:space="preserve"> lo que la Intendencia de Soriano incumplió lo establecido por el Artículo 297 de la Constitución de la República.</w:t>
      </w:r>
    </w:p>
    <w:p w:rsidR="007769FD" w:rsidRPr="002C18B4" w:rsidRDefault="007769FD" w:rsidP="000B3466">
      <w:pPr>
        <w:tabs>
          <w:tab w:val="left" w:pos="360"/>
        </w:tabs>
        <w:spacing w:line="360" w:lineRule="auto"/>
        <w:jc w:val="both"/>
      </w:pPr>
    </w:p>
    <w:p w:rsidR="007769FD" w:rsidRPr="002C18B4" w:rsidRDefault="007769FD" w:rsidP="000B3466">
      <w:pPr>
        <w:keepNext/>
        <w:spacing w:line="360" w:lineRule="auto"/>
        <w:outlineLvl w:val="2"/>
        <w:rPr>
          <w:rFonts w:cs="Arial"/>
          <w:b/>
          <w:bCs/>
        </w:rPr>
      </w:pPr>
      <w:bookmarkStart w:id="30" w:name="_Toc177977159"/>
      <w:bookmarkStart w:id="31" w:name="_Toc400023278"/>
      <w:r w:rsidRPr="002C18B4">
        <w:rPr>
          <w:rFonts w:cs="Arial"/>
          <w:b/>
          <w:bCs/>
        </w:rPr>
        <w:t xml:space="preserve">2.5 </w:t>
      </w:r>
      <w:bookmarkEnd w:id="30"/>
      <w:r w:rsidRPr="002C18B4">
        <w:rPr>
          <w:rFonts w:cs="Arial"/>
          <w:b/>
          <w:bCs/>
        </w:rPr>
        <w:t>Modificaciones de recursos</w:t>
      </w:r>
      <w:bookmarkEnd w:id="31"/>
    </w:p>
    <w:p w:rsidR="007769FD" w:rsidRPr="002C18B4" w:rsidRDefault="007769FD" w:rsidP="000B3466">
      <w:pPr>
        <w:shd w:val="clear" w:color="auto" w:fill="FFFFFF"/>
        <w:spacing w:line="360" w:lineRule="auto"/>
        <w:jc w:val="both"/>
      </w:pPr>
      <w:r w:rsidRPr="002C18B4">
        <w:t>N</w:t>
      </w:r>
      <w:r>
        <w:t>o se dio cumplimiento con el</w:t>
      </w:r>
      <w:r w:rsidRPr="002C18B4">
        <w:t xml:space="preserve"> procedimiento dispuesto en la Ordenanza Nº 62 del Tribunal de Cuentas, al otorgarse las siguientes exoneraciones que no fueron enviadas al Tribunal de Cuentas para que se expidiera:</w:t>
      </w:r>
    </w:p>
    <w:p w:rsidR="007769FD" w:rsidRPr="002C18B4" w:rsidRDefault="007769FD" w:rsidP="007769FD">
      <w:pPr>
        <w:numPr>
          <w:ilvl w:val="0"/>
          <w:numId w:val="4"/>
        </w:numPr>
        <w:tabs>
          <w:tab w:val="left" w:pos="0"/>
          <w:tab w:val="left" w:pos="284"/>
        </w:tabs>
        <w:spacing w:line="360" w:lineRule="auto"/>
      </w:pPr>
      <w:r w:rsidRPr="002C18B4">
        <w:t xml:space="preserve">de tasas a la Cooperativa de Viviendas </w:t>
      </w:r>
      <w:proofErr w:type="spellStart"/>
      <w:r w:rsidRPr="002C18B4">
        <w:t>Coovisor</w:t>
      </w:r>
      <w:proofErr w:type="spellEnd"/>
      <w:r w:rsidRPr="002C18B4">
        <w:t>;</w:t>
      </w:r>
    </w:p>
    <w:p w:rsidR="007769FD" w:rsidRPr="002C18B4" w:rsidRDefault="007769FD" w:rsidP="007769FD">
      <w:pPr>
        <w:numPr>
          <w:ilvl w:val="0"/>
          <w:numId w:val="4"/>
        </w:numPr>
        <w:tabs>
          <w:tab w:val="left" w:pos="0"/>
          <w:tab w:val="left" w:pos="284"/>
        </w:tabs>
        <w:spacing w:line="360" w:lineRule="auto"/>
        <w:jc w:val="both"/>
      </w:pPr>
      <w:r w:rsidRPr="002C18B4">
        <w:t xml:space="preserve">de tributos a los bonos colaboración de los Hospitales de Dolores y </w:t>
      </w:r>
      <w:r>
        <w:t>C</w:t>
      </w:r>
      <w:r w:rsidRPr="002C18B4">
        <w:t>ardona;</w:t>
      </w:r>
    </w:p>
    <w:p w:rsidR="007769FD" w:rsidRPr="002C18B4" w:rsidRDefault="007769FD" w:rsidP="007769FD">
      <w:pPr>
        <w:numPr>
          <w:ilvl w:val="0"/>
          <w:numId w:val="4"/>
        </w:numPr>
        <w:tabs>
          <w:tab w:val="left" w:pos="0"/>
          <w:tab w:val="left" w:pos="284"/>
        </w:tabs>
        <w:spacing w:line="360" w:lineRule="auto"/>
        <w:jc w:val="both"/>
      </w:pPr>
      <w:r w:rsidRPr="002C18B4">
        <w:t>de tributos a los bonos colaboración del Hogar de Ancianos de Mercedes; y</w:t>
      </w:r>
    </w:p>
    <w:p w:rsidR="007769FD" w:rsidRPr="002C18B4" w:rsidRDefault="007769FD" w:rsidP="007769FD">
      <w:pPr>
        <w:numPr>
          <w:ilvl w:val="0"/>
          <w:numId w:val="4"/>
        </w:numPr>
        <w:tabs>
          <w:tab w:val="left" w:pos="0"/>
          <w:tab w:val="left" w:pos="284"/>
        </w:tabs>
        <w:spacing w:line="360" w:lineRule="auto"/>
      </w:pPr>
      <w:r w:rsidRPr="002C18B4">
        <w:t>cancelación de adeudos de Patentes de Rodados.</w:t>
      </w:r>
    </w:p>
    <w:p w:rsidR="007769FD" w:rsidRPr="002C18B4" w:rsidRDefault="007769FD" w:rsidP="000B3466">
      <w:pPr>
        <w:tabs>
          <w:tab w:val="left" w:pos="0"/>
          <w:tab w:val="left" w:pos="284"/>
        </w:tabs>
      </w:pPr>
    </w:p>
    <w:p w:rsidR="007769FD" w:rsidRPr="002C18B4" w:rsidRDefault="007769FD" w:rsidP="000B3466">
      <w:pPr>
        <w:keepNext/>
        <w:spacing w:line="360" w:lineRule="auto"/>
        <w:outlineLvl w:val="2"/>
        <w:rPr>
          <w:b/>
          <w:bCs/>
        </w:rPr>
      </w:pPr>
      <w:bookmarkStart w:id="32" w:name="_Toc177977150"/>
      <w:bookmarkStart w:id="33" w:name="_Toc400023279"/>
      <w:r w:rsidRPr="002C18B4">
        <w:rPr>
          <w:b/>
          <w:bCs/>
        </w:rPr>
        <w:t>2.6 Instructivo del Tribunal de Cuentas (Resolución del 28/01/04)</w:t>
      </w:r>
      <w:bookmarkEnd w:id="32"/>
      <w:bookmarkEnd w:id="33"/>
    </w:p>
    <w:p w:rsidR="007769FD" w:rsidRPr="002C18B4" w:rsidRDefault="007769FD" w:rsidP="000B3466">
      <w:pPr>
        <w:spacing w:line="360" w:lineRule="auto"/>
        <w:jc w:val="both"/>
        <w:rPr>
          <w:rFonts w:cs="Arial"/>
        </w:rPr>
      </w:pPr>
      <w:r w:rsidRPr="002C18B4">
        <w:rPr>
          <w:rFonts w:cs="Arial"/>
        </w:rPr>
        <w:t xml:space="preserve">El documento presentado no se ajusta totalmente en su formulación a </w:t>
      </w:r>
      <w:smartTag w:uri="urn:schemas-microsoft-com:office:smarttags" w:element="PersonName">
        <w:smartTagPr>
          <w:attr w:name="ProductID" w:val="la Resoluci￳n"/>
        </w:smartTagPr>
        <w:r w:rsidRPr="002C18B4">
          <w:rPr>
            <w:rFonts w:cs="Arial"/>
          </w:rPr>
          <w:t>la Resolución</w:t>
        </w:r>
      </w:smartTag>
      <w:r w:rsidRPr="002C18B4">
        <w:rPr>
          <w:rFonts w:cs="Arial"/>
        </w:rPr>
        <w:t xml:space="preserve"> de este Tribunal, de 28 de enero de 2004, en tanto:</w:t>
      </w:r>
    </w:p>
    <w:p w:rsidR="007769FD" w:rsidRPr="002C18B4" w:rsidRDefault="007769FD" w:rsidP="007769FD">
      <w:pPr>
        <w:numPr>
          <w:ilvl w:val="0"/>
          <w:numId w:val="3"/>
        </w:numPr>
        <w:suppressAutoHyphens/>
        <w:spacing w:after="200" w:line="360" w:lineRule="auto"/>
        <w:ind w:left="357" w:hanging="357"/>
        <w:textAlignment w:val="baseline"/>
        <w:rPr>
          <w:rFonts w:cs="Arial"/>
        </w:rPr>
      </w:pPr>
      <w:r w:rsidRPr="002C18B4">
        <w:rPr>
          <w:rFonts w:cs="Arial"/>
        </w:rPr>
        <w:t>No se presenta Estado N° 1, del grado de cumplimiento de los objetivos y metas.</w:t>
      </w:r>
    </w:p>
    <w:p w:rsidR="007769FD" w:rsidRPr="002C18B4" w:rsidRDefault="007769FD" w:rsidP="007769FD">
      <w:pPr>
        <w:numPr>
          <w:ilvl w:val="0"/>
          <w:numId w:val="3"/>
        </w:numPr>
        <w:suppressAutoHyphens/>
        <w:spacing w:after="200"/>
        <w:ind w:left="357" w:hanging="357"/>
        <w:textAlignment w:val="baseline"/>
        <w:rPr>
          <w:rFonts w:cs="Arial"/>
        </w:rPr>
      </w:pPr>
      <w:r w:rsidRPr="002C18B4">
        <w:rPr>
          <w:rFonts w:cs="Arial"/>
        </w:rPr>
        <w:t>No se presenta Estado N° 3.3.2, de la ejecución a nivel de objeto.</w:t>
      </w:r>
    </w:p>
    <w:p w:rsidR="007769FD" w:rsidRPr="002C18B4" w:rsidRDefault="007769FD" w:rsidP="007769FD">
      <w:pPr>
        <w:numPr>
          <w:ilvl w:val="0"/>
          <w:numId w:val="3"/>
        </w:numPr>
        <w:suppressAutoHyphens/>
        <w:spacing w:after="200" w:line="360" w:lineRule="auto"/>
        <w:ind w:left="357" w:hanging="357"/>
        <w:textAlignment w:val="baseline"/>
        <w:rPr>
          <w:rFonts w:cs="Arial"/>
        </w:rPr>
      </w:pPr>
      <w:r w:rsidRPr="002C18B4">
        <w:rPr>
          <w:rFonts w:cs="Arial"/>
        </w:rPr>
        <w:t>No se presenta Estado N° 3.3.4, de trasposiciones e indexaciones.</w:t>
      </w:r>
    </w:p>
    <w:p w:rsidR="007769FD" w:rsidRPr="002C18B4" w:rsidRDefault="007769FD" w:rsidP="007769FD">
      <w:pPr>
        <w:numPr>
          <w:ilvl w:val="0"/>
          <w:numId w:val="3"/>
        </w:numPr>
        <w:suppressAutoHyphens/>
        <w:spacing w:after="200" w:line="360" w:lineRule="auto"/>
        <w:ind w:left="357" w:hanging="357"/>
        <w:textAlignment w:val="baseline"/>
        <w:rPr>
          <w:rFonts w:cs="Arial"/>
        </w:rPr>
      </w:pPr>
      <w:r w:rsidRPr="002C18B4">
        <w:rPr>
          <w:rFonts w:cs="Arial"/>
        </w:rPr>
        <w:lastRenderedPageBreak/>
        <w:t>No se presenta Estado N° 3.3.5, de los compromisos de inversi</w:t>
      </w:r>
      <w:r>
        <w:rPr>
          <w:rFonts w:cs="Arial"/>
        </w:rPr>
        <w:t>ón no ejecutados al cierre del E</w:t>
      </w:r>
      <w:r w:rsidRPr="002C18B4">
        <w:rPr>
          <w:rFonts w:cs="Arial"/>
        </w:rPr>
        <w:t>jercicio.</w:t>
      </w:r>
    </w:p>
    <w:p w:rsidR="007769FD" w:rsidRPr="002C18B4" w:rsidRDefault="007769FD" w:rsidP="007769FD">
      <w:pPr>
        <w:numPr>
          <w:ilvl w:val="0"/>
          <w:numId w:val="3"/>
        </w:numPr>
        <w:suppressAutoHyphens/>
        <w:spacing w:after="200" w:line="360" w:lineRule="auto"/>
        <w:ind w:left="357" w:hanging="357"/>
        <w:jc w:val="both"/>
        <w:textAlignment w:val="baseline"/>
        <w:rPr>
          <w:rFonts w:cs="Arial"/>
        </w:rPr>
      </w:pPr>
      <w:r w:rsidRPr="002C18B4">
        <w:rPr>
          <w:rFonts w:cs="Arial"/>
        </w:rPr>
        <w:t>En acta de arqueo de la Junta Local de Villa Soriano, falta detallar la fecha de los comprobantes pendientes.</w:t>
      </w:r>
    </w:p>
    <w:p w:rsidR="007769FD" w:rsidRPr="002C18B4" w:rsidRDefault="007769FD" w:rsidP="007769FD">
      <w:pPr>
        <w:numPr>
          <w:ilvl w:val="0"/>
          <w:numId w:val="3"/>
        </w:numPr>
        <w:suppressAutoHyphens/>
        <w:spacing w:after="200" w:line="360" w:lineRule="auto"/>
        <w:ind w:left="357" w:hanging="357"/>
        <w:jc w:val="both"/>
        <w:textAlignment w:val="baseline"/>
        <w:rPr>
          <w:rFonts w:cs="Arial"/>
        </w:rPr>
      </w:pPr>
      <w:r>
        <w:rPr>
          <w:rFonts w:cs="Arial"/>
        </w:rPr>
        <w:t xml:space="preserve"> Asimismo, no constan las A</w:t>
      </w:r>
      <w:r w:rsidRPr="002C18B4">
        <w:rPr>
          <w:rFonts w:cs="Arial"/>
        </w:rPr>
        <w:t>ctas de arqueo de la caja chica de la Tesorería de Mercedes, del fondo fijo de Tránsito de Mercedes, ni de la Junta Local de Palmar.</w:t>
      </w:r>
    </w:p>
    <w:p w:rsidR="007769FD" w:rsidRPr="002C18B4" w:rsidRDefault="007769FD" w:rsidP="007769FD">
      <w:pPr>
        <w:numPr>
          <w:ilvl w:val="0"/>
          <w:numId w:val="3"/>
        </w:numPr>
        <w:suppressAutoHyphens/>
        <w:spacing w:after="200" w:line="360" w:lineRule="auto"/>
        <w:ind w:left="357" w:hanging="357"/>
        <w:jc w:val="both"/>
        <w:textAlignment w:val="baseline"/>
        <w:rPr>
          <w:rFonts w:cs="Arial"/>
        </w:rPr>
      </w:pPr>
      <w:r w:rsidRPr="002C18B4">
        <w:rPr>
          <w:rFonts w:cs="Arial"/>
        </w:rPr>
        <w:t>No se detalla la cantidad de arqueos realizados por Auditoría Interna, como indica el Estado N° 3.6.4.</w:t>
      </w:r>
    </w:p>
    <w:p w:rsidR="007769FD" w:rsidRPr="002C18B4" w:rsidRDefault="007769FD" w:rsidP="007769FD">
      <w:pPr>
        <w:numPr>
          <w:ilvl w:val="0"/>
          <w:numId w:val="3"/>
        </w:numPr>
        <w:suppressAutoHyphens/>
        <w:spacing w:after="200" w:line="360" w:lineRule="auto"/>
        <w:ind w:left="357" w:hanging="357"/>
        <w:jc w:val="both"/>
        <w:textAlignment w:val="baseline"/>
        <w:rPr>
          <w:rFonts w:cs="Arial"/>
        </w:rPr>
      </w:pPr>
      <w:r w:rsidRPr="002C18B4">
        <w:rPr>
          <w:rFonts w:cs="Arial"/>
        </w:rPr>
        <w:t>Se incluyen los cheques diferidos integrando el saldo de caja, sin identificar los recursos que le dieron origen, contraviniendo lo indicado en el Estado   N° 3.6.7.</w:t>
      </w:r>
    </w:p>
    <w:p w:rsidR="007769FD" w:rsidRPr="002C18B4" w:rsidRDefault="007769FD" w:rsidP="007769FD">
      <w:pPr>
        <w:numPr>
          <w:ilvl w:val="0"/>
          <w:numId w:val="3"/>
        </w:numPr>
        <w:suppressAutoHyphens/>
        <w:spacing w:after="200" w:line="360" w:lineRule="auto"/>
        <w:ind w:left="357" w:hanging="357"/>
        <w:jc w:val="both"/>
        <w:textAlignment w:val="baseline"/>
        <w:rPr>
          <w:rFonts w:cs="Arial"/>
        </w:rPr>
      </w:pPr>
      <w:r w:rsidRPr="002C18B4">
        <w:rPr>
          <w:rFonts w:cs="Arial"/>
        </w:rPr>
        <w:t>No se incluyen los saldos certificados de los Organismos Públicos, como indica el Estado N° 3.8.2.</w:t>
      </w:r>
    </w:p>
    <w:p w:rsidR="007769FD" w:rsidRPr="002C18B4" w:rsidRDefault="007769FD" w:rsidP="007769FD">
      <w:pPr>
        <w:numPr>
          <w:ilvl w:val="0"/>
          <w:numId w:val="3"/>
        </w:numPr>
        <w:suppressAutoHyphens/>
        <w:spacing w:after="200" w:line="360" w:lineRule="auto"/>
        <w:ind w:left="357" w:hanging="357"/>
        <w:jc w:val="both"/>
        <w:textAlignment w:val="baseline"/>
        <w:rPr>
          <w:rFonts w:cs="Arial"/>
        </w:rPr>
      </w:pPr>
      <w:r w:rsidRPr="002C18B4">
        <w:rPr>
          <w:rFonts w:cs="Arial"/>
        </w:rPr>
        <w:t>No se presenta fotocopia del documento de evolución de convenios, como se indica para el Estado N° 10.</w:t>
      </w:r>
    </w:p>
    <w:p w:rsidR="007769FD" w:rsidRPr="002C18B4" w:rsidRDefault="007769FD" w:rsidP="007769FD">
      <w:pPr>
        <w:numPr>
          <w:ilvl w:val="0"/>
          <w:numId w:val="3"/>
        </w:numPr>
        <w:suppressAutoHyphens/>
        <w:spacing w:after="200" w:line="360" w:lineRule="auto"/>
        <w:ind w:left="357" w:hanging="357"/>
        <w:jc w:val="both"/>
        <w:textAlignment w:val="baseline"/>
        <w:rPr>
          <w:rFonts w:cs="Arial"/>
        </w:rPr>
      </w:pPr>
      <w:r w:rsidRPr="002C18B4">
        <w:rPr>
          <w:rFonts w:cs="Arial"/>
        </w:rPr>
        <w:t>No se adjunta inventario de activos. El mismo no está actual</w:t>
      </w:r>
      <w:r>
        <w:rPr>
          <w:rFonts w:cs="Arial"/>
        </w:rPr>
        <w:t>izado ni valuado al cierre del E</w:t>
      </w:r>
      <w:r w:rsidRPr="002C18B4">
        <w:rPr>
          <w:rFonts w:cs="Arial"/>
        </w:rPr>
        <w:t>jercicio 2015.</w:t>
      </w:r>
    </w:p>
    <w:p w:rsidR="007769FD" w:rsidRPr="002C18B4" w:rsidRDefault="007769FD" w:rsidP="000B3466">
      <w:pPr>
        <w:spacing w:line="360" w:lineRule="auto"/>
        <w:jc w:val="both"/>
        <w:rPr>
          <w:rFonts w:cs="Arial"/>
          <w:b/>
          <w:bCs/>
          <w:color w:val="000000"/>
        </w:rPr>
      </w:pPr>
    </w:p>
    <w:p w:rsidR="007769FD" w:rsidRPr="002C18B4" w:rsidRDefault="007769FD" w:rsidP="000B3466">
      <w:pPr>
        <w:numPr>
          <w:ilvl w:val="1"/>
          <w:numId w:val="0"/>
        </w:numPr>
        <w:tabs>
          <w:tab w:val="num" w:pos="0"/>
        </w:tabs>
        <w:spacing w:line="360" w:lineRule="auto"/>
        <w:outlineLvl w:val="1"/>
        <w:rPr>
          <w:b/>
          <w:kern w:val="18"/>
          <w:szCs w:val="20"/>
        </w:rPr>
      </w:pPr>
      <w:bookmarkStart w:id="34" w:name="_Toc400023280"/>
      <w:r w:rsidRPr="002C18B4">
        <w:rPr>
          <w:b/>
          <w:kern w:val="18"/>
          <w:szCs w:val="20"/>
        </w:rPr>
        <w:t>3 DEBILIDADES DE CONTROL INTERNO</w:t>
      </w:r>
      <w:bookmarkEnd w:id="34"/>
    </w:p>
    <w:p w:rsidR="007769FD" w:rsidRPr="002C18B4" w:rsidRDefault="007769FD" w:rsidP="000B3466">
      <w:pPr>
        <w:keepNext/>
        <w:spacing w:line="360" w:lineRule="auto"/>
        <w:jc w:val="both"/>
        <w:outlineLvl w:val="2"/>
        <w:rPr>
          <w:rFonts w:cs="Arial"/>
          <w:b/>
          <w:bCs/>
          <w:kern w:val="18"/>
        </w:rPr>
      </w:pPr>
      <w:r w:rsidRPr="002C18B4">
        <w:rPr>
          <w:rFonts w:cs="Arial"/>
          <w:b/>
          <w:bCs/>
          <w:kern w:val="18"/>
        </w:rPr>
        <w:t>3.1 Respecto a recursos o manejo de fondos</w:t>
      </w:r>
    </w:p>
    <w:p w:rsidR="007769FD" w:rsidRPr="002C18B4" w:rsidRDefault="007769FD" w:rsidP="007769FD">
      <w:pPr>
        <w:numPr>
          <w:ilvl w:val="0"/>
          <w:numId w:val="7"/>
        </w:numPr>
        <w:suppressAutoHyphens/>
        <w:spacing w:after="200" w:line="360" w:lineRule="auto"/>
        <w:jc w:val="both"/>
        <w:textAlignment w:val="baseline"/>
        <w:rPr>
          <w:rFonts w:cs="Arial"/>
          <w:lang w:val="es-MX"/>
        </w:rPr>
      </w:pPr>
      <w:r w:rsidRPr="002C18B4">
        <w:rPr>
          <w:rFonts w:cs="Arial"/>
        </w:rPr>
        <w:t xml:space="preserve">La mayoría de los pagos a proveedores se realizan en efectivo,  </w:t>
      </w:r>
      <w:r w:rsidRPr="002C18B4">
        <w:rPr>
          <w:rFonts w:cs="Arial"/>
          <w:lang w:val="es-MX"/>
        </w:rPr>
        <w:t>manteniéndose importantes sumas en la Tesorería.</w:t>
      </w:r>
    </w:p>
    <w:p w:rsidR="007769FD" w:rsidRPr="002C18B4" w:rsidRDefault="007769FD" w:rsidP="007769FD">
      <w:pPr>
        <w:numPr>
          <w:ilvl w:val="0"/>
          <w:numId w:val="7"/>
        </w:numPr>
        <w:suppressAutoHyphens/>
        <w:spacing w:after="200" w:line="360" w:lineRule="auto"/>
        <w:jc w:val="both"/>
        <w:textAlignment w:val="baseline"/>
        <w:rPr>
          <w:rFonts w:cs="Arial"/>
          <w:lang w:val="es-MX"/>
        </w:rPr>
      </w:pPr>
      <w:r w:rsidRPr="002C18B4">
        <w:rPr>
          <w:rFonts w:cs="Arial"/>
        </w:rPr>
        <w:lastRenderedPageBreak/>
        <w:t>Cuando se emiten cheques para efectuar pagos los mismos son a la orden de la Tesorera, siendo ella la que los endosa a favor de los proveedores.</w:t>
      </w:r>
    </w:p>
    <w:p w:rsidR="007769FD" w:rsidRPr="002C18B4" w:rsidRDefault="007769FD" w:rsidP="007769FD">
      <w:pPr>
        <w:numPr>
          <w:ilvl w:val="0"/>
          <w:numId w:val="7"/>
        </w:numPr>
        <w:suppressAutoHyphens/>
        <w:spacing w:after="200" w:line="360" w:lineRule="auto"/>
        <w:jc w:val="both"/>
        <w:textAlignment w:val="baseline"/>
        <w:rPr>
          <w:rFonts w:cs="Arial"/>
          <w:lang w:val="es-MX"/>
        </w:rPr>
      </w:pPr>
      <w:r w:rsidRPr="002C18B4">
        <w:rPr>
          <w:rFonts w:cs="Arial"/>
        </w:rPr>
        <w:t xml:space="preserve">Al rendirse a Tesorería los ingresos recibidos por el uso del polideportivo, no se confrontan lo rendido con lo recaudado a efectos de poder verificar si se rinde </w:t>
      </w:r>
      <w:r w:rsidR="005976B7">
        <w:rPr>
          <w:rFonts w:cs="Arial"/>
        </w:rPr>
        <w:t>la totalidad de la recaudación.</w:t>
      </w:r>
    </w:p>
    <w:p w:rsidR="007769FD" w:rsidRPr="002C18B4" w:rsidRDefault="007769FD" w:rsidP="007769FD">
      <w:pPr>
        <w:numPr>
          <w:ilvl w:val="0"/>
          <w:numId w:val="7"/>
        </w:numPr>
        <w:suppressAutoHyphens/>
        <w:spacing w:after="200" w:line="360" w:lineRule="auto"/>
        <w:jc w:val="both"/>
        <w:textAlignment w:val="baseline"/>
        <w:rPr>
          <w:rFonts w:cs="Arial"/>
          <w:lang w:val="es-MX"/>
        </w:rPr>
      </w:pPr>
      <w:r w:rsidRPr="002C18B4">
        <w:rPr>
          <w:rFonts w:cs="Arial"/>
        </w:rPr>
        <w:t xml:space="preserve">Las libretas de cobranza utilizadas para las ventas de Guías de Propiedad y Tránsito del MGAP no son devueltas a la Intendencia para su control. </w:t>
      </w:r>
      <w:r w:rsidRPr="002C18B4">
        <w:rPr>
          <w:rFonts w:cs="Arial"/>
          <w:lang w:val="es-MX"/>
        </w:rPr>
        <w:t xml:space="preserve">Contaduría no lleva control de que se rinda la totalidad de las </w:t>
      </w:r>
      <w:r w:rsidRPr="002C18B4">
        <w:rPr>
          <w:rFonts w:cs="Arial"/>
        </w:rPr>
        <w:t>Guías de Propiedad y Tránsito del MGAP, entregadas a la Policía para su venta a los productores. Las boletas de venta, no identifican las Guías vendidas.</w:t>
      </w:r>
    </w:p>
    <w:p w:rsidR="007769FD" w:rsidRPr="002C18B4" w:rsidRDefault="007769FD" w:rsidP="007769FD">
      <w:pPr>
        <w:numPr>
          <w:ilvl w:val="0"/>
          <w:numId w:val="7"/>
        </w:numPr>
        <w:suppressAutoHyphens/>
        <w:spacing w:after="200" w:line="360" w:lineRule="auto"/>
        <w:jc w:val="both"/>
        <w:textAlignment w:val="baseline"/>
        <w:rPr>
          <w:rFonts w:cs="Arial"/>
          <w:lang w:val="es-MX"/>
        </w:rPr>
      </w:pPr>
      <w:r w:rsidRPr="002C18B4">
        <w:rPr>
          <w:rFonts w:cs="Arial"/>
          <w:lang w:val="es-MX"/>
        </w:rPr>
        <w:t>Se reciben cheques al portador y/o sin cruzar.</w:t>
      </w:r>
    </w:p>
    <w:p w:rsidR="007769FD" w:rsidRPr="002C18B4" w:rsidRDefault="007769FD" w:rsidP="007769FD">
      <w:pPr>
        <w:numPr>
          <w:ilvl w:val="0"/>
          <w:numId w:val="7"/>
        </w:numPr>
        <w:suppressAutoHyphens/>
        <w:spacing w:after="200" w:line="360" w:lineRule="auto"/>
        <w:jc w:val="both"/>
        <w:textAlignment w:val="baseline"/>
        <w:rPr>
          <w:rFonts w:cs="Arial"/>
          <w:lang w:val="es-MX"/>
        </w:rPr>
      </w:pPr>
      <w:r w:rsidRPr="002C18B4">
        <w:rPr>
          <w:rFonts w:cs="Arial"/>
          <w:lang w:val="es-MX"/>
        </w:rPr>
        <w:t>No se controla que los cheques recibidos sean presentados al cobro in</w:t>
      </w:r>
      <w:r w:rsidR="005976B7">
        <w:rPr>
          <w:rFonts w:cs="Arial"/>
          <w:lang w:val="es-MX"/>
        </w:rPr>
        <w:t>media</w:t>
      </w:r>
      <w:r w:rsidR="005976B7">
        <w:rPr>
          <w:rFonts w:cs="Arial"/>
          <w:lang w:val="es-MX"/>
        </w:rPr>
        <w:softHyphen/>
        <w:t>tamente a su vencimiento.</w:t>
      </w:r>
    </w:p>
    <w:p w:rsidR="007769FD" w:rsidRPr="002C18B4" w:rsidRDefault="007769FD" w:rsidP="007769FD">
      <w:pPr>
        <w:numPr>
          <w:ilvl w:val="0"/>
          <w:numId w:val="7"/>
        </w:numPr>
        <w:suppressAutoHyphens/>
        <w:spacing w:after="200" w:line="360" w:lineRule="auto"/>
        <w:jc w:val="both"/>
        <w:textAlignment w:val="baseline"/>
        <w:rPr>
          <w:rFonts w:cs="Arial"/>
          <w:lang w:val="es-MX"/>
        </w:rPr>
      </w:pPr>
      <w:r w:rsidRPr="002C18B4">
        <w:rPr>
          <w:rFonts w:cs="Arial"/>
          <w:lang w:val="es-MX"/>
        </w:rPr>
        <w:t>No se realizan arqueo</w:t>
      </w:r>
      <w:r w:rsidR="005976B7">
        <w:rPr>
          <w:rFonts w:cs="Arial"/>
          <w:lang w:val="es-MX"/>
        </w:rPr>
        <w:t>s de fondos en forma periódica.</w:t>
      </w:r>
    </w:p>
    <w:p w:rsidR="007769FD" w:rsidRPr="002C18B4" w:rsidRDefault="007769FD" w:rsidP="007769FD">
      <w:pPr>
        <w:numPr>
          <w:ilvl w:val="0"/>
          <w:numId w:val="7"/>
        </w:numPr>
        <w:suppressAutoHyphens/>
        <w:spacing w:after="200" w:line="360" w:lineRule="auto"/>
        <w:jc w:val="both"/>
        <w:textAlignment w:val="baseline"/>
        <w:rPr>
          <w:rFonts w:cs="Arial"/>
        </w:rPr>
      </w:pPr>
      <w:r w:rsidRPr="002C18B4">
        <w:rPr>
          <w:rFonts w:cs="Arial"/>
          <w:lang w:val="es-MX"/>
        </w:rPr>
        <w:t>La Sección Tesorería centraliza todo lo relacionado con los recursos, es decir, se encarga de las cobranzas, los pagos y realiza los asientos correspondientes a los recursos de origen nacional, por lo que no existe una ade</w:t>
      </w:r>
      <w:r w:rsidRPr="002C18B4">
        <w:rPr>
          <w:rFonts w:cs="Arial"/>
          <w:lang w:val="es-MX"/>
        </w:rPr>
        <w:softHyphen/>
        <w:t>cuada separación de funciones ni oposición de int</w:t>
      </w:r>
      <w:r w:rsidR="005976B7">
        <w:rPr>
          <w:rFonts w:cs="Arial"/>
          <w:lang w:val="es-MX"/>
        </w:rPr>
        <w:t>ereses.</w:t>
      </w:r>
    </w:p>
    <w:p w:rsidR="007769FD" w:rsidRPr="002C18B4" w:rsidRDefault="007769FD" w:rsidP="007769FD">
      <w:pPr>
        <w:numPr>
          <w:ilvl w:val="0"/>
          <w:numId w:val="7"/>
        </w:numPr>
        <w:suppressAutoHyphens/>
        <w:spacing w:after="200" w:line="360" w:lineRule="auto"/>
        <w:jc w:val="both"/>
        <w:textAlignment w:val="baseline"/>
        <w:rPr>
          <w:rFonts w:cs="Arial"/>
        </w:rPr>
      </w:pPr>
      <w:r w:rsidRPr="002C18B4">
        <w:rPr>
          <w:rFonts w:cs="Arial"/>
          <w:kern w:val="18"/>
        </w:rPr>
        <w:t>En el Balneario La Concordia, la</w:t>
      </w:r>
      <w:r w:rsidRPr="002C18B4">
        <w:rPr>
          <w:rFonts w:cs="Arial"/>
        </w:rPr>
        <w:t xml:space="preserve">s reservas de alquiler de cabañas se realizan por depósitos en </w:t>
      </w:r>
      <w:proofErr w:type="spellStart"/>
      <w:r w:rsidRPr="002C18B4">
        <w:rPr>
          <w:rFonts w:cs="Arial"/>
        </w:rPr>
        <w:t>Abitab</w:t>
      </w:r>
      <w:proofErr w:type="spellEnd"/>
      <w:r w:rsidRPr="002C18B4">
        <w:rPr>
          <w:rFonts w:cs="Arial"/>
        </w:rPr>
        <w:t>, a nombre de un funcionario del Municipio de Dolores.</w:t>
      </w:r>
    </w:p>
    <w:p w:rsidR="007769FD" w:rsidRPr="002C18B4" w:rsidRDefault="007769FD" w:rsidP="000B3466">
      <w:pPr>
        <w:keepNext/>
        <w:spacing w:line="360" w:lineRule="auto"/>
        <w:jc w:val="both"/>
        <w:outlineLvl w:val="2"/>
        <w:rPr>
          <w:rFonts w:cs="Arial"/>
          <w:b/>
          <w:bCs/>
          <w:kern w:val="18"/>
        </w:rPr>
      </w:pPr>
      <w:r w:rsidRPr="002C18B4">
        <w:rPr>
          <w:rFonts w:cs="Arial"/>
          <w:b/>
          <w:bCs/>
          <w:kern w:val="18"/>
        </w:rPr>
        <w:t>3.2 Respecto del área compras</w:t>
      </w:r>
    </w:p>
    <w:p w:rsidR="007769FD" w:rsidRPr="002C18B4" w:rsidRDefault="007769FD" w:rsidP="007769FD">
      <w:pPr>
        <w:numPr>
          <w:ilvl w:val="0"/>
          <w:numId w:val="8"/>
        </w:numPr>
        <w:suppressAutoHyphens/>
        <w:spacing w:after="200" w:line="360" w:lineRule="auto"/>
        <w:jc w:val="both"/>
        <w:textAlignment w:val="baseline"/>
        <w:rPr>
          <w:rFonts w:cs="Arial"/>
        </w:rPr>
      </w:pPr>
      <w:r w:rsidRPr="002C18B4">
        <w:rPr>
          <w:rFonts w:cs="Arial"/>
        </w:rPr>
        <w:t>No se actualizaron los inventarios de las dependencias de la Intendencia. Los bienes inventariados no se encuentran valuados y no se identific</w:t>
      </w:r>
      <w:r w:rsidR="005976B7">
        <w:rPr>
          <w:rFonts w:cs="Arial"/>
        </w:rPr>
        <w:t>a la fecha de su incorporación.</w:t>
      </w:r>
    </w:p>
    <w:p w:rsidR="007769FD" w:rsidRPr="002C18B4" w:rsidRDefault="007769FD" w:rsidP="007769FD">
      <w:pPr>
        <w:numPr>
          <w:ilvl w:val="0"/>
          <w:numId w:val="8"/>
        </w:numPr>
        <w:suppressAutoHyphens/>
        <w:spacing w:after="200" w:line="360" w:lineRule="auto"/>
        <w:jc w:val="both"/>
        <w:textAlignment w:val="baseline"/>
        <w:rPr>
          <w:rFonts w:cs="Arial"/>
        </w:rPr>
      </w:pPr>
      <w:r w:rsidRPr="002C18B4">
        <w:rPr>
          <w:rFonts w:cs="Arial"/>
        </w:rPr>
        <w:lastRenderedPageBreak/>
        <w:t xml:space="preserve">No se realizan conciliaciones y/o </w:t>
      </w:r>
      <w:proofErr w:type="spellStart"/>
      <w:r w:rsidRPr="002C18B4">
        <w:rPr>
          <w:rFonts w:cs="Arial"/>
        </w:rPr>
        <w:t>circularizaciones</w:t>
      </w:r>
      <w:proofErr w:type="spellEnd"/>
      <w:r w:rsidRPr="002C18B4">
        <w:rPr>
          <w:rFonts w:cs="Arial"/>
        </w:rPr>
        <w:t xml:space="preserve"> respecto de los saldos incluidos como obligaciones presupuestales impagas.</w:t>
      </w:r>
    </w:p>
    <w:p w:rsidR="007769FD" w:rsidRPr="002C18B4" w:rsidRDefault="007769FD" w:rsidP="007769FD">
      <w:pPr>
        <w:numPr>
          <w:ilvl w:val="0"/>
          <w:numId w:val="8"/>
        </w:numPr>
        <w:suppressAutoHyphens/>
        <w:spacing w:after="200" w:line="360" w:lineRule="auto"/>
        <w:jc w:val="both"/>
        <w:textAlignment w:val="baseline"/>
        <w:rPr>
          <w:rFonts w:cs="Arial"/>
        </w:rPr>
      </w:pPr>
      <w:r w:rsidRPr="002C18B4">
        <w:rPr>
          <w:rFonts w:cs="Arial"/>
        </w:rPr>
        <w:t>No es posible verificar el cumplimiento de las inversiones previstas, ya que no se incluye la unidad de medida de cada una de ellas y algunas inversiones son expuestas en forma global, sin identificación.</w:t>
      </w:r>
    </w:p>
    <w:p w:rsidR="007769FD" w:rsidRPr="002C18B4" w:rsidRDefault="007769FD" w:rsidP="007769FD">
      <w:pPr>
        <w:numPr>
          <w:ilvl w:val="0"/>
          <w:numId w:val="8"/>
        </w:numPr>
        <w:suppressAutoHyphens/>
        <w:spacing w:after="200" w:line="360" w:lineRule="auto"/>
        <w:jc w:val="both"/>
        <w:textAlignment w:val="baseline"/>
        <w:rPr>
          <w:rFonts w:cs="Arial"/>
        </w:rPr>
      </w:pPr>
      <w:r w:rsidRPr="002C18B4">
        <w:rPr>
          <w:rFonts w:cs="Arial"/>
        </w:rPr>
        <w:t>Se realizan gastos que no cuentan con documentación oficial que los respalde, lo que no permite asegurar la veracidad del gasto efectuado.</w:t>
      </w:r>
    </w:p>
    <w:p w:rsidR="007769FD" w:rsidRPr="002C18B4" w:rsidRDefault="007769FD" w:rsidP="000B3466">
      <w:pPr>
        <w:keepNext/>
        <w:spacing w:line="360" w:lineRule="auto"/>
        <w:jc w:val="both"/>
        <w:outlineLvl w:val="2"/>
        <w:rPr>
          <w:rFonts w:cs="Arial"/>
          <w:b/>
          <w:bCs/>
          <w:kern w:val="18"/>
        </w:rPr>
      </w:pPr>
      <w:r w:rsidRPr="002C18B4">
        <w:rPr>
          <w:rFonts w:cs="Arial"/>
          <w:b/>
          <w:bCs/>
          <w:kern w:val="18"/>
        </w:rPr>
        <w:t>3.3 R</w:t>
      </w:r>
      <w:r w:rsidR="005976B7">
        <w:rPr>
          <w:rFonts w:cs="Arial"/>
          <w:b/>
          <w:bCs/>
          <w:kern w:val="18"/>
        </w:rPr>
        <w:t>especto del sistema informático</w:t>
      </w:r>
    </w:p>
    <w:p w:rsidR="007769FD" w:rsidRPr="002C18B4" w:rsidRDefault="007769FD" w:rsidP="007769FD">
      <w:pPr>
        <w:numPr>
          <w:ilvl w:val="0"/>
          <w:numId w:val="9"/>
        </w:numPr>
        <w:suppressAutoHyphens/>
        <w:spacing w:after="200" w:line="360" w:lineRule="auto"/>
        <w:jc w:val="both"/>
        <w:textAlignment w:val="baseline"/>
        <w:rPr>
          <w:rFonts w:cs="Arial"/>
          <w:lang w:val="es-MX"/>
        </w:rPr>
      </w:pPr>
      <w:r w:rsidRPr="002C18B4">
        <w:rPr>
          <w:rFonts w:cs="Arial"/>
        </w:rPr>
        <w:t>El sistema informático brinda información que, en ciertas oportunidades, no es correcta respecto de la disponibilidad presupuestal de los objetos correspondientes a programas de inversión. En algunos casos imprime la leyenda “observado por no tener disponibilidad” cuando el objeto cuenta con disponibilidad de crédito presupuestal, por lo que esta revisión d</w:t>
      </w:r>
      <w:r w:rsidR="005976B7">
        <w:rPr>
          <w:rFonts w:cs="Arial"/>
        </w:rPr>
        <w:t>ebe realizarse en forma manual.</w:t>
      </w:r>
    </w:p>
    <w:p w:rsidR="007769FD" w:rsidRPr="002C18B4" w:rsidRDefault="007769FD" w:rsidP="007769FD">
      <w:pPr>
        <w:numPr>
          <w:ilvl w:val="0"/>
          <w:numId w:val="9"/>
        </w:numPr>
        <w:suppressAutoHyphens/>
        <w:spacing w:after="200" w:line="360" w:lineRule="auto"/>
        <w:jc w:val="both"/>
        <w:textAlignment w:val="baseline"/>
        <w:rPr>
          <w:rFonts w:cs="Arial"/>
          <w:lang w:val="es-MX"/>
        </w:rPr>
      </w:pPr>
      <w:r w:rsidRPr="002C18B4">
        <w:rPr>
          <w:rFonts w:cs="Arial"/>
          <w:lang w:val="es-MX"/>
        </w:rPr>
        <w:t>La leyenda que luce en los mayores emitidos por el sistema informático respecto a los recursos de origen d</w:t>
      </w:r>
      <w:r w:rsidR="005976B7">
        <w:rPr>
          <w:rFonts w:cs="Arial"/>
          <w:lang w:val="es-MX"/>
        </w:rPr>
        <w:t>epartamental no es la correcta.</w:t>
      </w:r>
    </w:p>
    <w:p w:rsidR="007769FD" w:rsidRPr="002C18B4" w:rsidRDefault="007769FD" w:rsidP="000B3466">
      <w:pPr>
        <w:keepNext/>
        <w:widowControl w:val="0"/>
        <w:spacing w:before="240" w:after="60" w:line="360" w:lineRule="auto"/>
        <w:jc w:val="both"/>
        <w:outlineLvl w:val="1"/>
        <w:rPr>
          <w:rFonts w:cs="Arial"/>
          <w:b/>
          <w:kern w:val="18"/>
        </w:rPr>
      </w:pPr>
      <w:r w:rsidRPr="002C18B4">
        <w:rPr>
          <w:rFonts w:cs="Arial"/>
          <w:b/>
          <w:kern w:val="18"/>
        </w:rPr>
        <w:t>3.4 Otras debilidades de control interno</w:t>
      </w:r>
    </w:p>
    <w:p w:rsidR="007769FD" w:rsidRPr="002C18B4" w:rsidRDefault="007769FD" w:rsidP="003364CA">
      <w:pPr>
        <w:numPr>
          <w:ilvl w:val="0"/>
          <w:numId w:val="6"/>
        </w:numPr>
        <w:tabs>
          <w:tab w:val="left" w:pos="360"/>
          <w:tab w:val="left" w:pos="567"/>
          <w:tab w:val="left" w:pos="1560"/>
          <w:tab w:val="right" w:pos="5387"/>
          <w:tab w:val="right" w:pos="7513"/>
        </w:tabs>
        <w:suppressAutoHyphens/>
        <w:spacing w:line="360" w:lineRule="auto"/>
        <w:ind w:left="357" w:hanging="357"/>
        <w:jc w:val="both"/>
        <w:textAlignment w:val="baseline"/>
        <w:rPr>
          <w:rFonts w:cs="Arial"/>
          <w:kern w:val="18"/>
          <w:lang w:val="es-ES_tradnl"/>
        </w:rPr>
      </w:pPr>
      <w:r w:rsidRPr="002C18B4">
        <w:rPr>
          <w:rFonts w:cs="Arial"/>
          <w:kern w:val="18"/>
          <w:lang w:val="es-ES_tradnl"/>
        </w:rPr>
        <w:t>No se pudo constatar la existencia</w:t>
      </w:r>
      <w:r w:rsidR="005976B7">
        <w:rPr>
          <w:rFonts w:cs="Arial"/>
          <w:kern w:val="18"/>
          <w:lang w:val="es-ES_tradnl"/>
        </w:rPr>
        <w:t xml:space="preserve"> de Manuales de Procedimientos.</w:t>
      </w:r>
    </w:p>
    <w:p w:rsidR="007769FD" w:rsidRPr="002C18B4" w:rsidRDefault="007769FD" w:rsidP="003364CA">
      <w:pPr>
        <w:numPr>
          <w:ilvl w:val="0"/>
          <w:numId w:val="6"/>
        </w:numPr>
        <w:suppressAutoHyphens/>
        <w:spacing w:after="200" w:line="360" w:lineRule="auto"/>
        <w:ind w:left="357" w:hanging="357"/>
        <w:jc w:val="both"/>
        <w:textAlignment w:val="baseline"/>
        <w:rPr>
          <w:rFonts w:cs="Arial"/>
        </w:rPr>
      </w:pPr>
      <w:r w:rsidRPr="002C18B4">
        <w:rPr>
          <w:rFonts w:cs="Arial"/>
        </w:rPr>
        <w:t>No se exigió a la totalidad de los funcionarios declaración jurada de no percibir más de una remuneración con cargo a fondos públicos, lo que no permite verificar el cumplimiento del artículo 32 de la Ley 11.923.</w:t>
      </w:r>
    </w:p>
    <w:p w:rsidR="007769FD" w:rsidRPr="002C18B4" w:rsidRDefault="007769FD" w:rsidP="000B3466">
      <w:pPr>
        <w:numPr>
          <w:ilvl w:val="1"/>
          <w:numId w:val="0"/>
        </w:numPr>
        <w:tabs>
          <w:tab w:val="num" w:pos="0"/>
        </w:tabs>
        <w:spacing w:line="360" w:lineRule="auto"/>
        <w:ind w:left="450" w:hanging="450"/>
        <w:outlineLvl w:val="1"/>
        <w:rPr>
          <w:b/>
          <w:kern w:val="18"/>
          <w:szCs w:val="20"/>
        </w:rPr>
      </w:pPr>
      <w:bookmarkStart w:id="35" w:name="_Toc400023284"/>
      <w:r w:rsidRPr="002C18B4">
        <w:rPr>
          <w:b/>
          <w:kern w:val="18"/>
          <w:szCs w:val="20"/>
        </w:rPr>
        <w:t>4 RECOMENDACIONES</w:t>
      </w:r>
      <w:bookmarkEnd w:id="35"/>
    </w:p>
    <w:p w:rsidR="007769FD" w:rsidRPr="002C18B4" w:rsidRDefault="007769FD" w:rsidP="000B3466">
      <w:pPr>
        <w:keepNext/>
        <w:spacing w:line="360" w:lineRule="auto"/>
        <w:outlineLvl w:val="2"/>
        <w:rPr>
          <w:b/>
          <w:bCs/>
          <w:kern w:val="18"/>
        </w:rPr>
      </w:pPr>
      <w:bookmarkStart w:id="36" w:name="_Toc400023285"/>
      <w:r w:rsidRPr="002C18B4">
        <w:rPr>
          <w:b/>
          <w:bCs/>
          <w:kern w:val="18"/>
        </w:rPr>
        <w:t xml:space="preserve">4.1 </w:t>
      </w:r>
      <w:r>
        <w:rPr>
          <w:b/>
          <w:bCs/>
          <w:kern w:val="18"/>
        </w:rPr>
        <w:t>Recomendaciones del E</w:t>
      </w:r>
      <w:r w:rsidRPr="002C18B4">
        <w:rPr>
          <w:b/>
          <w:bCs/>
          <w:kern w:val="18"/>
        </w:rPr>
        <w:t>jercicio anterior cumplidas</w:t>
      </w:r>
      <w:bookmarkEnd w:id="36"/>
    </w:p>
    <w:p w:rsidR="007769FD" w:rsidRPr="002C18B4" w:rsidRDefault="007769FD" w:rsidP="000B3466">
      <w:pPr>
        <w:tabs>
          <w:tab w:val="left" w:pos="360"/>
          <w:tab w:val="center" w:pos="4419"/>
          <w:tab w:val="right" w:pos="8838"/>
        </w:tabs>
        <w:spacing w:line="360" w:lineRule="auto"/>
        <w:jc w:val="both"/>
        <w:rPr>
          <w:b/>
          <w:bCs/>
        </w:rPr>
      </w:pPr>
      <w:bookmarkStart w:id="37" w:name="_Toc398906386"/>
      <w:bookmarkStart w:id="38" w:name="_Toc400023286"/>
      <w:r w:rsidRPr="002C18B4">
        <w:rPr>
          <w:b/>
        </w:rPr>
        <w:t xml:space="preserve">4.1.1 </w:t>
      </w:r>
      <w:bookmarkStart w:id="39" w:name="_Toc398906387"/>
      <w:bookmarkStart w:id="40" w:name="_Toc400023287"/>
      <w:bookmarkEnd w:id="37"/>
      <w:bookmarkEnd w:id="38"/>
      <w:r w:rsidRPr="002C18B4">
        <w:rPr>
          <w:b/>
          <w:bCs/>
        </w:rPr>
        <w:t xml:space="preserve">Artículo 80 de </w:t>
      </w:r>
      <w:smartTag w:uri="urn:schemas-microsoft-com:office:smarttags" w:element="PersonName">
        <w:smartTagPr>
          <w:attr w:name="ProductID" w:val="la Ley N"/>
        </w:smartTagPr>
        <w:r w:rsidRPr="002C18B4">
          <w:rPr>
            <w:b/>
            <w:bCs/>
          </w:rPr>
          <w:t>la Ley N</w:t>
        </w:r>
      </w:smartTag>
      <w:r w:rsidRPr="002C18B4">
        <w:rPr>
          <w:b/>
          <w:bCs/>
        </w:rPr>
        <w:t>° 17.555</w:t>
      </w:r>
    </w:p>
    <w:p w:rsidR="007769FD" w:rsidRPr="002C18B4" w:rsidRDefault="007769FD" w:rsidP="000B3466">
      <w:pPr>
        <w:spacing w:line="360" w:lineRule="auto"/>
        <w:jc w:val="both"/>
        <w:rPr>
          <w:kern w:val="18"/>
          <w:szCs w:val="20"/>
        </w:rPr>
      </w:pPr>
      <w:r w:rsidRPr="002C18B4">
        <w:rPr>
          <w:kern w:val="18"/>
          <w:szCs w:val="20"/>
        </w:rPr>
        <w:t>Todos los depósitos de fondos fueron realiza</w:t>
      </w:r>
      <w:r w:rsidR="005976B7">
        <w:rPr>
          <w:kern w:val="18"/>
          <w:szCs w:val="20"/>
        </w:rPr>
        <w:t>dos, sin excepción, en el BROU.</w:t>
      </w:r>
    </w:p>
    <w:p w:rsidR="007769FD" w:rsidRPr="002C18B4" w:rsidRDefault="007769FD" w:rsidP="000B3466">
      <w:pPr>
        <w:spacing w:line="360" w:lineRule="auto"/>
        <w:jc w:val="both"/>
        <w:rPr>
          <w:kern w:val="18"/>
          <w:szCs w:val="20"/>
        </w:rPr>
      </w:pPr>
    </w:p>
    <w:bookmarkEnd w:id="39"/>
    <w:bookmarkEnd w:id="40"/>
    <w:p w:rsidR="007769FD" w:rsidRPr="002C18B4" w:rsidRDefault="007769FD" w:rsidP="000B3466">
      <w:pPr>
        <w:tabs>
          <w:tab w:val="left" w:pos="360"/>
          <w:tab w:val="center" w:pos="4419"/>
          <w:tab w:val="right" w:pos="8838"/>
        </w:tabs>
        <w:spacing w:line="360" w:lineRule="auto"/>
        <w:jc w:val="both"/>
        <w:rPr>
          <w:b/>
        </w:rPr>
      </w:pPr>
      <w:r w:rsidRPr="002C18B4">
        <w:rPr>
          <w:b/>
        </w:rPr>
        <w:lastRenderedPageBreak/>
        <w:t>4.1.2 Artículo 40 del TOCAF</w:t>
      </w:r>
    </w:p>
    <w:p w:rsidR="007769FD" w:rsidRPr="002C18B4" w:rsidRDefault="007769FD" w:rsidP="000B3466">
      <w:pPr>
        <w:spacing w:line="360" w:lineRule="auto"/>
        <w:jc w:val="both"/>
        <w:rPr>
          <w:kern w:val="18"/>
          <w:szCs w:val="20"/>
          <w:lang w:val="es-ES_tradnl"/>
        </w:rPr>
      </w:pPr>
      <w:r>
        <w:rPr>
          <w:kern w:val="18"/>
          <w:szCs w:val="20"/>
        </w:rPr>
        <w:t>Conforme con</w:t>
      </w:r>
      <w:r w:rsidRPr="002C18B4">
        <w:rPr>
          <w:kern w:val="18"/>
          <w:szCs w:val="20"/>
        </w:rPr>
        <w:t xml:space="preserve"> lo señalado en el Artículo 40 del TOCAF, e</w:t>
      </w:r>
      <w:r w:rsidRPr="002C18B4">
        <w:rPr>
          <w:kern w:val="18"/>
          <w:szCs w:val="20"/>
          <w:lang w:val="es-ES_tradnl"/>
        </w:rPr>
        <w:t>n los casos de arrendamientos de inmuebles se solicitó un informe previo de una oficina técnica competente con respecto al valor del arrendamiento a pagar o cobrar.</w:t>
      </w:r>
    </w:p>
    <w:p w:rsidR="007769FD" w:rsidRPr="002C18B4" w:rsidRDefault="007769FD" w:rsidP="000B3466">
      <w:pPr>
        <w:tabs>
          <w:tab w:val="left" w:pos="360"/>
          <w:tab w:val="center" w:pos="4419"/>
          <w:tab w:val="right" w:pos="8838"/>
        </w:tabs>
        <w:spacing w:line="360" w:lineRule="auto"/>
        <w:jc w:val="both"/>
        <w:rPr>
          <w:b/>
        </w:rPr>
      </w:pPr>
    </w:p>
    <w:p w:rsidR="007769FD" w:rsidRPr="002C18B4" w:rsidRDefault="007769FD" w:rsidP="000B3466">
      <w:pPr>
        <w:keepNext/>
        <w:spacing w:line="360" w:lineRule="auto"/>
        <w:outlineLvl w:val="2"/>
        <w:rPr>
          <w:b/>
          <w:bCs/>
          <w:kern w:val="18"/>
        </w:rPr>
      </w:pPr>
      <w:bookmarkStart w:id="41" w:name="_Toc400023290"/>
      <w:r>
        <w:rPr>
          <w:b/>
          <w:bCs/>
          <w:kern w:val="18"/>
        </w:rPr>
        <w:t>4.2 Recomendaciones del E</w:t>
      </w:r>
      <w:r w:rsidRPr="002C18B4">
        <w:rPr>
          <w:b/>
          <w:bCs/>
          <w:kern w:val="18"/>
        </w:rPr>
        <w:t>jercicio anterior no cumplidas</w:t>
      </w:r>
      <w:bookmarkEnd w:id="41"/>
    </w:p>
    <w:p w:rsidR="007769FD" w:rsidRPr="002C18B4" w:rsidRDefault="007769FD" w:rsidP="000B3466">
      <w:pPr>
        <w:keepNext/>
        <w:spacing w:line="360" w:lineRule="auto"/>
        <w:outlineLvl w:val="2"/>
        <w:rPr>
          <w:b/>
          <w:bCs/>
        </w:rPr>
      </w:pPr>
      <w:bookmarkStart w:id="42" w:name="_Toc400023327"/>
      <w:r w:rsidRPr="002C18B4">
        <w:rPr>
          <w:b/>
          <w:bCs/>
        </w:rPr>
        <w:t>4.2.1 Cartera de Tierras</w:t>
      </w:r>
      <w:bookmarkEnd w:id="42"/>
    </w:p>
    <w:p w:rsidR="007769FD" w:rsidRPr="002C18B4" w:rsidRDefault="007769FD" w:rsidP="000B3466">
      <w:pPr>
        <w:spacing w:line="360" w:lineRule="auto"/>
        <w:jc w:val="both"/>
      </w:pPr>
      <w:r w:rsidRPr="002C18B4">
        <w:t>Se deberá tener en cuenta que, las adquisiciones de tierras que se efec</w:t>
      </w:r>
      <w:r>
        <w:t>túen al amparo del Artículo 36 N</w:t>
      </w:r>
      <w:r w:rsidRPr="002C18B4">
        <w:t>umeral 1 de la Ley Nº 9.515 y del Artículo 67 de la Ley Nº 18.308, deben ser expuestas afectando los objetos de gasto</w:t>
      </w:r>
      <w:r>
        <w:t>s que correspondan de acuerdo con el</w:t>
      </w:r>
      <w:r w:rsidRPr="002C18B4">
        <w:t xml:space="preserve"> clasificador de gastos. Asimismo, las ventas de las mismas deben exponerse integrando los recursos de origen departamental de acuerdo a lo establecido en la Ordenanza Nº 84.</w:t>
      </w:r>
    </w:p>
    <w:p w:rsidR="007769FD" w:rsidRPr="002C18B4" w:rsidRDefault="007769FD" w:rsidP="000B3466"/>
    <w:p w:rsidR="007769FD" w:rsidRPr="002C18B4" w:rsidRDefault="007769FD" w:rsidP="000B3466">
      <w:pPr>
        <w:keepNext/>
        <w:spacing w:line="360" w:lineRule="auto"/>
        <w:outlineLvl w:val="2"/>
        <w:rPr>
          <w:b/>
          <w:bCs/>
        </w:rPr>
      </w:pPr>
      <w:bookmarkStart w:id="43" w:name="_Toc177977189"/>
      <w:bookmarkStart w:id="44" w:name="_Toc400023291"/>
      <w:r w:rsidRPr="002C18B4">
        <w:rPr>
          <w:b/>
          <w:bCs/>
        </w:rPr>
        <w:t>4.2.2 Estructura orgánica</w:t>
      </w:r>
      <w:bookmarkEnd w:id="43"/>
      <w:bookmarkEnd w:id="44"/>
    </w:p>
    <w:p w:rsidR="007769FD" w:rsidRPr="002C18B4" w:rsidRDefault="007769FD" w:rsidP="000B3466">
      <w:pPr>
        <w:tabs>
          <w:tab w:val="num" w:pos="885"/>
        </w:tabs>
        <w:spacing w:line="360" w:lineRule="auto"/>
        <w:jc w:val="both"/>
        <w:rPr>
          <w:bCs/>
          <w:color w:val="000000"/>
        </w:rPr>
      </w:pPr>
      <w:r w:rsidRPr="002C18B4">
        <w:rPr>
          <w:rFonts w:cs="Arial"/>
          <w:color w:val="000000"/>
        </w:rPr>
        <w:t xml:space="preserve">A efectos de cumplir con la estructura orgánica aprobada por la Junta Departamental en la Modificación Presupuestal 2012 – 2015, la Intendencia deberá ajustar el número de funcionarios por Programa, respetando los escalafones y cargos aprobados. </w:t>
      </w:r>
      <w:r w:rsidRPr="002C18B4">
        <w:rPr>
          <w:bCs/>
          <w:color w:val="000000"/>
        </w:rPr>
        <w:t>Los sueldos y tareas de los funcionarios deberán adecuarse a lo indicado en los Presupuestos.</w:t>
      </w:r>
    </w:p>
    <w:p w:rsidR="007769FD" w:rsidRPr="002C18B4" w:rsidRDefault="007769FD" w:rsidP="000B3466">
      <w:pPr>
        <w:spacing w:line="360" w:lineRule="auto"/>
      </w:pPr>
    </w:p>
    <w:p w:rsidR="007769FD" w:rsidRPr="002C18B4" w:rsidRDefault="007769FD" w:rsidP="000B3466">
      <w:pPr>
        <w:keepNext/>
        <w:spacing w:line="360" w:lineRule="auto"/>
        <w:outlineLvl w:val="2"/>
        <w:rPr>
          <w:b/>
          <w:bCs/>
        </w:rPr>
      </w:pPr>
      <w:bookmarkStart w:id="45" w:name="_Toc177977170"/>
      <w:bookmarkStart w:id="46" w:name="_Toc400023292"/>
      <w:r w:rsidRPr="002C18B4">
        <w:rPr>
          <w:b/>
          <w:bCs/>
        </w:rPr>
        <w:t>4.2.3  Intervención preventiva de gastos  y pagos</w:t>
      </w:r>
      <w:bookmarkEnd w:id="45"/>
      <w:bookmarkEnd w:id="46"/>
    </w:p>
    <w:p w:rsidR="007769FD" w:rsidRPr="002C18B4" w:rsidRDefault="007769FD" w:rsidP="000B3466">
      <w:pPr>
        <w:spacing w:line="360" w:lineRule="auto"/>
        <w:jc w:val="both"/>
        <w:rPr>
          <w:kern w:val="18"/>
          <w:szCs w:val="20"/>
        </w:rPr>
      </w:pPr>
      <w:r w:rsidRPr="002C18B4">
        <w:rPr>
          <w:kern w:val="18"/>
          <w:szCs w:val="20"/>
        </w:rPr>
        <w:t xml:space="preserve">Todos los gastos y pagos de </w:t>
      </w:r>
      <w:smartTag w:uri="urn:schemas-microsoft-com:office:smarttags" w:element="PersonName">
        <w:smartTagPr>
          <w:attr w:name="ProductID" w:val="la Intendencia"/>
        </w:smartTagPr>
        <w:r w:rsidRPr="002C18B4">
          <w:rPr>
            <w:kern w:val="18"/>
            <w:szCs w:val="20"/>
          </w:rPr>
          <w:t>la Intendencia</w:t>
        </w:r>
      </w:smartTag>
      <w:r w:rsidRPr="002C18B4">
        <w:rPr>
          <w:kern w:val="18"/>
          <w:szCs w:val="20"/>
        </w:rPr>
        <w:t xml:space="preserve"> deben ser sometidos a la intervención preventiva del Tribunal de Cuentas, tal como lo establece el Artículo 211 Literal B) de </w:t>
      </w:r>
      <w:smartTag w:uri="urn:schemas-microsoft-com:office:smarttags" w:element="PersonName">
        <w:smartTagPr>
          <w:attr w:name="ProductID" w:val="la Constituci￳n"/>
        </w:smartTagPr>
        <w:r w:rsidRPr="002C18B4">
          <w:rPr>
            <w:kern w:val="18"/>
            <w:szCs w:val="20"/>
          </w:rPr>
          <w:t>la Constitución</w:t>
        </w:r>
      </w:smartTag>
      <w:r w:rsidRPr="002C18B4">
        <w:rPr>
          <w:kern w:val="18"/>
          <w:szCs w:val="20"/>
        </w:rPr>
        <w:t xml:space="preserve"> de </w:t>
      </w:r>
      <w:smartTag w:uri="urn:schemas-microsoft-com:office:smarttags" w:element="PersonName">
        <w:smartTagPr>
          <w:attr w:name="ProductID" w:val="la Rep￺blica. Asimismo"/>
        </w:smartTagPr>
        <w:r w:rsidRPr="002C18B4">
          <w:rPr>
            <w:kern w:val="18"/>
            <w:szCs w:val="20"/>
          </w:rPr>
          <w:t>la República. Asimismo</w:t>
        </w:r>
      </w:smartTag>
      <w:r w:rsidRPr="002C18B4">
        <w:rPr>
          <w:kern w:val="18"/>
          <w:szCs w:val="20"/>
        </w:rPr>
        <w:t xml:space="preserve">, se debe cumplir con lo dispuesto por el Artículo </w:t>
      </w:r>
      <w:r w:rsidRPr="002C18B4">
        <w:rPr>
          <w:kern w:val="18"/>
          <w:szCs w:val="20"/>
          <w:lang w:val="es-ES_tradnl"/>
        </w:rPr>
        <w:t>87 del TOCAF</w:t>
      </w:r>
      <w:r w:rsidRPr="002C18B4">
        <w:rPr>
          <w:kern w:val="18"/>
          <w:szCs w:val="20"/>
        </w:rPr>
        <w:t xml:space="preserve">, que establece que le queda prohibido a </w:t>
      </w:r>
      <w:smartTag w:uri="urn:schemas-microsoft-com:office:smarttags" w:element="PersonName">
        <w:smartTagPr>
          <w:attr w:name="ProductID" w:val="la Tesorer￭a"/>
        </w:smartTagPr>
        <w:r w:rsidRPr="002C18B4">
          <w:rPr>
            <w:kern w:val="18"/>
            <w:szCs w:val="20"/>
          </w:rPr>
          <w:t>la Tesorería</w:t>
        </w:r>
      </w:smartTag>
      <w:r w:rsidRPr="002C18B4">
        <w:rPr>
          <w:kern w:val="18"/>
          <w:szCs w:val="20"/>
        </w:rPr>
        <w:t xml:space="preserve"> realizar pagos o entregas de dinero sin que la documentación haya sido previamente intervenida por el Órgano de contralor.</w:t>
      </w:r>
    </w:p>
    <w:p w:rsidR="007769FD" w:rsidRPr="002C18B4" w:rsidRDefault="007769FD" w:rsidP="000B3466">
      <w:pPr>
        <w:spacing w:line="360" w:lineRule="auto"/>
        <w:jc w:val="both"/>
        <w:rPr>
          <w:kern w:val="18"/>
          <w:szCs w:val="20"/>
        </w:rPr>
      </w:pPr>
    </w:p>
    <w:p w:rsidR="007769FD" w:rsidRPr="002C18B4" w:rsidRDefault="007769FD" w:rsidP="000B3466">
      <w:pPr>
        <w:keepNext/>
        <w:spacing w:line="360" w:lineRule="auto"/>
        <w:outlineLvl w:val="2"/>
        <w:rPr>
          <w:b/>
          <w:bCs/>
        </w:rPr>
      </w:pPr>
      <w:bookmarkStart w:id="47" w:name="_Toc400023293"/>
      <w:bookmarkStart w:id="48" w:name="_Toc177977190"/>
      <w:r w:rsidRPr="002C18B4">
        <w:rPr>
          <w:b/>
          <w:bCs/>
        </w:rPr>
        <w:lastRenderedPageBreak/>
        <w:t>4.2.4 Modificación Presupuestal 2012-2015</w:t>
      </w:r>
      <w:bookmarkEnd w:id="47"/>
      <w:bookmarkEnd w:id="48"/>
    </w:p>
    <w:p w:rsidR="007769FD" w:rsidRPr="002C18B4" w:rsidRDefault="007769FD" w:rsidP="000B3466">
      <w:pPr>
        <w:spacing w:line="360" w:lineRule="auto"/>
        <w:jc w:val="both"/>
        <w:rPr>
          <w:szCs w:val="20"/>
          <w:lang w:val="es-ES_tradnl"/>
        </w:rPr>
      </w:pPr>
      <w:r w:rsidRPr="002C18B4">
        <w:rPr>
          <w:szCs w:val="20"/>
          <w:lang w:val="es-ES_tradnl"/>
        </w:rPr>
        <w:t>A efectos de cumplir con el procedimiento establecido en el Artículo 225 de la Constitución de la República y en la Ordenanza N° 71 de este Tribunal, cuando la Junta Departamental, al sancionar definitivamente los Presupuestos o Modificaciones Presupuestales acepte las observaciones formuladas, deberá introducir efectivamente las</w:t>
      </w:r>
      <w:r w:rsidR="00D55E72">
        <w:rPr>
          <w:szCs w:val="20"/>
          <w:lang w:val="es-ES_tradnl"/>
        </w:rPr>
        <w:t xml:space="preserve"> correcciones correspondientes.</w:t>
      </w:r>
    </w:p>
    <w:p w:rsidR="007769FD" w:rsidRPr="00D55E72" w:rsidRDefault="007769FD" w:rsidP="000B3466">
      <w:pPr>
        <w:keepNext/>
        <w:spacing w:line="360" w:lineRule="auto"/>
        <w:outlineLvl w:val="2"/>
        <w:rPr>
          <w:b/>
          <w:bCs/>
          <w:lang w:val="es-ES_tradnl"/>
        </w:rPr>
      </w:pPr>
      <w:bookmarkStart w:id="49" w:name="_Toc207184783"/>
      <w:bookmarkStart w:id="50" w:name="_Toc400023294"/>
    </w:p>
    <w:p w:rsidR="007769FD" w:rsidRPr="002C18B4" w:rsidRDefault="007769FD" w:rsidP="000B3466">
      <w:pPr>
        <w:keepNext/>
        <w:spacing w:line="360" w:lineRule="auto"/>
        <w:outlineLvl w:val="2"/>
        <w:rPr>
          <w:b/>
          <w:bCs/>
        </w:rPr>
      </w:pPr>
      <w:r w:rsidRPr="002C18B4">
        <w:rPr>
          <w:b/>
          <w:bCs/>
        </w:rPr>
        <w:t xml:space="preserve">4.2.5 Bonificaciones y descuentos </w:t>
      </w:r>
      <w:bookmarkEnd w:id="49"/>
      <w:r>
        <w:rPr>
          <w:b/>
          <w:bCs/>
        </w:rPr>
        <w:t>a impuestos creados por Ley N</w:t>
      </w:r>
      <w:r w:rsidRPr="002C18B4">
        <w:rPr>
          <w:b/>
          <w:bCs/>
        </w:rPr>
        <w:t>acional</w:t>
      </w:r>
      <w:bookmarkEnd w:id="50"/>
    </w:p>
    <w:p w:rsidR="007769FD" w:rsidRPr="002C18B4" w:rsidRDefault="007769FD" w:rsidP="000B3466">
      <w:pPr>
        <w:spacing w:line="360" w:lineRule="auto"/>
        <w:jc w:val="both"/>
      </w:pPr>
      <w:r>
        <w:t>De acuerdo con</w:t>
      </w:r>
      <w:r w:rsidRPr="002C18B4">
        <w:t xml:space="preserve"> lo dispuesto por el Artículo 297 de </w:t>
      </w:r>
      <w:smartTag w:uri="urn:schemas-microsoft-com:office:smarttags" w:element="PersonName">
        <w:smartTagPr>
          <w:attr w:name="ProductID" w:val="la Constituci￳n"/>
        </w:smartTagPr>
        <w:r w:rsidRPr="002C18B4">
          <w:t>la Constitución</w:t>
        </w:r>
      </w:smartTag>
      <w:r w:rsidRPr="002C18B4">
        <w:t xml:space="preserve"> de </w:t>
      </w:r>
      <w:smartTag w:uri="urn:schemas-microsoft-com:office:smarttags" w:element="PersonName">
        <w:smartTagPr>
          <w:attr w:name="ProductID" w:val="la Rep￺blica"/>
        </w:smartTagPr>
        <w:r w:rsidRPr="002C18B4">
          <w:t>la República</w:t>
        </w:r>
      </w:smartTag>
      <w:r w:rsidRPr="002C18B4">
        <w:t xml:space="preserve">, la </w:t>
      </w:r>
      <w:proofErr w:type="spellStart"/>
      <w:r w:rsidRPr="002C18B4">
        <w:t>lntendencia</w:t>
      </w:r>
      <w:proofErr w:type="spellEnd"/>
      <w:r w:rsidRPr="002C18B4">
        <w:t xml:space="preserve"> no deberá otorgar bonificaciones y descuentos en lo que refiere a Impuestos sobre la propiedad inmueble rural ni al Impuesto de semovientes, dado que esta norma en el Numeral 1) establece que su recaudación y la totalidad de su producido, excepto el de los adicionales establecidos o que se establecieren, corresponde a los Go</w:t>
      </w:r>
      <w:r w:rsidRPr="002C18B4">
        <w:softHyphen/>
        <w:t>biernos Departamentales respectivos, no obstante los mismos serán fijados por el Poder Legislativo. La regulación de las exoneraciones así como las bonificaciones, no son competencia de las entidades territoriales, sino que corresponden al titular o al sujeto activo de la potestad tributaria que, en este caso</w:t>
      </w:r>
      <w:r w:rsidR="00D55E72">
        <w:t>, es el Gobierno Nacional.</w:t>
      </w:r>
    </w:p>
    <w:p w:rsidR="007769FD" w:rsidRPr="002C18B4" w:rsidRDefault="007769FD" w:rsidP="000B3466">
      <w:pPr>
        <w:spacing w:line="360" w:lineRule="auto"/>
        <w:jc w:val="both"/>
        <w:rPr>
          <w:szCs w:val="20"/>
        </w:rPr>
      </w:pPr>
    </w:p>
    <w:p w:rsidR="007769FD" w:rsidRPr="002C18B4" w:rsidRDefault="007769FD" w:rsidP="000B3466">
      <w:pPr>
        <w:keepNext/>
        <w:spacing w:line="360" w:lineRule="auto"/>
        <w:outlineLvl w:val="2"/>
        <w:rPr>
          <w:b/>
          <w:bCs/>
        </w:rPr>
      </w:pPr>
      <w:bookmarkStart w:id="51" w:name="_Toc177977171"/>
      <w:bookmarkStart w:id="52" w:name="_Toc400023295"/>
      <w:r w:rsidRPr="002C18B4">
        <w:rPr>
          <w:b/>
          <w:bCs/>
        </w:rPr>
        <w:t>4.2.6 Depósito de disponibilidades</w:t>
      </w:r>
      <w:bookmarkEnd w:id="51"/>
      <w:bookmarkEnd w:id="52"/>
    </w:p>
    <w:p w:rsidR="007769FD" w:rsidRDefault="007769FD" w:rsidP="000B3466">
      <w:pPr>
        <w:spacing w:line="360" w:lineRule="auto"/>
        <w:jc w:val="both"/>
        <w:rPr>
          <w:rFonts w:cs="Arial"/>
          <w:color w:val="000000"/>
        </w:rPr>
      </w:pPr>
      <w:r w:rsidRPr="002C18B4">
        <w:rPr>
          <w:rFonts w:cs="Arial"/>
          <w:color w:val="000000"/>
        </w:rPr>
        <w:t>Considerando lo establecido en el Artículo 11 del TOCAF, el importe total recaudado por las distintas dependencias deberá ser depositado conforme a lo previsto en los Artículos 4 y 5 del texto normativo mencionado. A efectos de un adecuado manejo de fondos es aconsejable que los pagos se efectúen a través de la emisión de cheques y/o de la constitución de Fondos Permanentes.</w:t>
      </w:r>
    </w:p>
    <w:p w:rsidR="00ED5324" w:rsidRPr="002C18B4" w:rsidRDefault="00ED5324" w:rsidP="000B3466">
      <w:pPr>
        <w:spacing w:line="360" w:lineRule="auto"/>
        <w:jc w:val="both"/>
        <w:rPr>
          <w:rFonts w:cs="Arial"/>
          <w:color w:val="000000"/>
        </w:rPr>
      </w:pPr>
    </w:p>
    <w:p w:rsidR="007769FD" w:rsidRPr="002C18B4" w:rsidRDefault="007769FD" w:rsidP="000B3466">
      <w:pPr>
        <w:keepNext/>
        <w:spacing w:line="360" w:lineRule="auto"/>
        <w:outlineLvl w:val="2"/>
        <w:rPr>
          <w:b/>
          <w:bCs/>
        </w:rPr>
      </w:pPr>
      <w:bookmarkStart w:id="53" w:name="_Toc148859097"/>
      <w:bookmarkStart w:id="54" w:name="_Toc177977172"/>
      <w:bookmarkStart w:id="55" w:name="_Toc400023296"/>
      <w:r w:rsidRPr="002C18B4">
        <w:rPr>
          <w:b/>
          <w:bCs/>
        </w:rPr>
        <w:lastRenderedPageBreak/>
        <w:t>4.2.</w:t>
      </w:r>
      <w:bookmarkEnd w:id="53"/>
      <w:r w:rsidRPr="002C18B4">
        <w:rPr>
          <w:b/>
          <w:bCs/>
        </w:rPr>
        <w:t>7 Cheques diferidos que integran el saldo de disponibilidades</w:t>
      </w:r>
      <w:bookmarkEnd w:id="54"/>
      <w:bookmarkEnd w:id="55"/>
    </w:p>
    <w:p w:rsidR="007769FD" w:rsidRPr="002C18B4" w:rsidRDefault="007769FD" w:rsidP="000B3466">
      <w:pPr>
        <w:spacing w:line="360" w:lineRule="auto"/>
        <w:jc w:val="both"/>
        <w:rPr>
          <w:kern w:val="18"/>
          <w:szCs w:val="20"/>
        </w:rPr>
      </w:pPr>
      <w:r w:rsidRPr="002C18B4">
        <w:rPr>
          <w:kern w:val="18"/>
          <w:szCs w:val="20"/>
        </w:rPr>
        <w:t>El Artículo 12 del TOCAF establece que s</w:t>
      </w:r>
      <w:r>
        <w:rPr>
          <w:kern w:val="18"/>
          <w:szCs w:val="20"/>
        </w:rPr>
        <w:t>e computarán como recursos del E</w:t>
      </w:r>
      <w:r w:rsidRPr="002C18B4">
        <w:rPr>
          <w:kern w:val="18"/>
          <w:szCs w:val="20"/>
        </w:rPr>
        <w:t>jercicio, los efectivamente depositados en las cuentas del Tesoro Nacional o ingresados al 31 de diciembre en los organismos u oficinas a que refieren los Artículos 2 y 4. Asimismo, los ingresos correspondientes a situaciones en las que el Estado sea depositario o tenedor temporario, no constituyen recursos. En consecuencia, es al vencimiento de los cheques, cuando pueden hacerse efectivos y deben considerarse como recurso.</w:t>
      </w:r>
    </w:p>
    <w:p w:rsidR="007769FD" w:rsidRPr="002C18B4" w:rsidRDefault="007769FD" w:rsidP="000B3466">
      <w:pPr>
        <w:spacing w:line="360" w:lineRule="auto"/>
        <w:jc w:val="both"/>
        <w:rPr>
          <w:kern w:val="18"/>
          <w:szCs w:val="20"/>
        </w:rPr>
      </w:pPr>
      <w:r w:rsidRPr="002C18B4">
        <w:rPr>
          <w:kern w:val="18"/>
          <w:szCs w:val="20"/>
        </w:rPr>
        <w:t>Los cheques diferidos no constituyen un fondo disponible por lo que la Intendencia debería dar de baja los correspondientes importes del saldo contable de dispon</w:t>
      </w:r>
      <w:r w:rsidR="00D55E72">
        <w:rPr>
          <w:kern w:val="18"/>
          <w:szCs w:val="20"/>
        </w:rPr>
        <w:t>ibilidades.</w:t>
      </w:r>
    </w:p>
    <w:p w:rsidR="007769FD" w:rsidRPr="002C18B4" w:rsidRDefault="007769FD" w:rsidP="000B3466">
      <w:pPr>
        <w:spacing w:line="360" w:lineRule="auto"/>
        <w:jc w:val="both"/>
        <w:rPr>
          <w:kern w:val="18"/>
          <w:szCs w:val="20"/>
        </w:rPr>
      </w:pPr>
    </w:p>
    <w:p w:rsidR="007769FD" w:rsidRPr="002C18B4" w:rsidRDefault="007769FD" w:rsidP="000B3466">
      <w:pPr>
        <w:keepNext/>
        <w:spacing w:line="360" w:lineRule="auto"/>
        <w:outlineLvl w:val="2"/>
        <w:rPr>
          <w:b/>
          <w:bCs/>
        </w:rPr>
      </w:pPr>
      <w:bookmarkStart w:id="56" w:name="_Toc207184771"/>
      <w:bookmarkStart w:id="57" w:name="_Toc400023297"/>
      <w:r w:rsidRPr="002C18B4">
        <w:rPr>
          <w:b/>
          <w:bCs/>
        </w:rPr>
        <w:t xml:space="preserve">4.2.8 Gastos ejecutados por </w:t>
      </w:r>
      <w:smartTag w:uri="urn:schemas-microsoft-com:office:smarttags" w:element="PersonName">
        <w:smartTagPr>
          <w:attr w:name="ProductID" w:val="la Intendencia"/>
        </w:smartTagPr>
        <w:r w:rsidRPr="002C18B4">
          <w:rPr>
            <w:b/>
            <w:bCs/>
          </w:rPr>
          <w:t>la Intendencia</w:t>
        </w:r>
      </w:smartTag>
      <w:bookmarkEnd w:id="56"/>
      <w:bookmarkEnd w:id="57"/>
    </w:p>
    <w:p w:rsidR="007769FD" w:rsidRPr="002C18B4" w:rsidRDefault="007769FD" w:rsidP="000B3466">
      <w:pPr>
        <w:spacing w:line="360" w:lineRule="auto"/>
        <w:jc w:val="both"/>
        <w:rPr>
          <w:kern w:val="18"/>
          <w:szCs w:val="20"/>
        </w:rPr>
      </w:pPr>
      <w:r w:rsidRPr="002C18B4">
        <w:rPr>
          <w:kern w:val="18"/>
          <w:szCs w:val="20"/>
        </w:rPr>
        <w:t>La Intendencia deberá instrumentar los procedimientos correspondientes a efectos de que todos los gastos en los que incurra sean autorizados previamente por autoridad</w:t>
      </w:r>
      <w:r>
        <w:rPr>
          <w:kern w:val="18"/>
          <w:szCs w:val="20"/>
        </w:rPr>
        <w:t xml:space="preserve"> competente dando cumplimiento con</w:t>
      </w:r>
      <w:r w:rsidRPr="002C18B4">
        <w:rPr>
          <w:kern w:val="18"/>
          <w:szCs w:val="20"/>
        </w:rPr>
        <w:t xml:space="preserve"> lo dispuest</w:t>
      </w:r>
      <w:r w:rsidR="00D55E72">
        <w:rPr>
          <w:kern w:val="18"/>
          <w:szCs w:val="20"/>
        </w:rPr>
        <w:t>o por el Artículo 14 del TOCAF.</w:t>
      </w:r>
    </w:p>
    <w:p w:rsidR="007769FD" w:rsidRPr="002C18B4" w:rsidRDefault="007769FD" w:rsidP="000B3466">
      <w:pPr>
        <w:spacing w:line="360" w:lineRule="auto"/>
        <w:jc w:val="both"/>
        <w:rPr>
          <w:kern w:val="18"/>
          <w:szCs w:val="20"/>
        </w:rPr>
      </w:pPr>
    </w:p>
    <w:p w:rsidR="007769FD" w:rsidRPr="002C18B4" w:rsidRDefault="007769FD" w:rsidP="000B3466">
      <w:pPr>
        <w:keepNext/>
        <w:spacing w:line="360" w:lineRule="auto"/>
        <w:outlineLvl w:val="2"/>
        <w:rPr>
          <w:b/>
          <w:bCs/>
        </w:rPr>
      </w:pPr>
      <w:bookmarkStart w:id="58" w:name="_Toc269741065"/>
      <w:bookmarkStart w:id="59" w:name="_Toc275529746"/>
      <w:bookmarkStart w:id="60" w:name="_Toc400023299"/>
      <w:r w:rsidRPr="002C18B4">
        <w:rPr>
          <w:b/>
          <w:bCs/>
        </w:rPr>
        <w:t>4.2.9 Requisitos mínimos que deben contener las órdenes de pago</w:t>
      </w:r>
      <w:bookmarkEnd w:id="58"/>
      <w:bookmarkEnd w:id="59"/>
      <w:bookmarkEnd w:id="60"/>
    </w:p>
    <w:p w:rsidR="007769FD" w:rsidRDefault="007769FD" w:rsidP="000B3466">
      <w:pPr>
        <w:widowControl w:val="0"/>
        <w:spacing w:line="360" w:lineRule="auto"/>
        <w:jc w:val="both"/>
        <w:rPr>
          <w:rFonts w:cs="Arial"/>
          <w:kern w:val="18"/>
          <w:szCs w:val="20"/>
          <w:lang w:val="es-ES_tradnl"/>
        </w:rPr>
      </w:pPr>
      <w:r w:rsidRPr="002C18B4">
        <w:rPr>
          <w:rFonts w:cs="Arial"/>
          <w:kern w:val="18"/>
          <w:szCs w:val="20"/>
          <w:lang w:val="es-ES_tradnl"/>
        </w:rPr>
        <w:t>A efectos de dar cumplimiento a lo dispuesto por el Artículo 23 del TOCAF, los documentos de donde surja el pago de las obligaciones deberán contener como mínimo: 1) número de documento, 2) determinación del beneficiario, 3)origen de la obligación, 4) monto expresado en letras y números, 5) crédito imputado, 6) financiación, 7) constancia de la intervención del órgano de control previsto en las normas vigentes y 8) firma del ordenador.</w:t>
      </w:r>
    </w:p>
    <w:p w:rsidR="00ED5324" w:rsidRPr="002C18B4" w:rsidRDefault="00ED5324" w:rsidP="000B3466">
      <w:pPr>
        <w:widowControl w:val="0"/>
        <w:spacing w:line="360" w:lineRule="auto"/>
        <w:jc w:val="both"/>
        <w:rPr>
          <w:rFonts w:cs="Arial"/>
          <w:kern w:val="18"/>
          <w:szCs w:val="20"/>
          <w:lang w:val="es-ES_tradnl"/>
        </w:rPr>
      </w:pPr>
    </w:p>
    <w:p w:rsidR="007769FD" w:rsidRPr="002C18B4" w:rsidRDefault="007769FD" w:rsidP="000B3466">
      <w:pPr>
        <w:spacing w:line="360" w:lineRule="auto"/>
        <w:jc w:val="both"/>
        <w:rPr>
          <w:lang w:val="es-ES_tradnl"/>
        </w:rPr>
      </w:pPr>
    </w:p>
    <w:p w:rsidR="007769FD" w:rsidRPr="002C18B4" w:rsidRDefault="007769FD" w:rsidP="000B3466">
      <w:pPr>
        <w:keepNext/>
        <w:spacing w:line="360" w:lineRule="auto"/>
        <w:outlineLvl w:val="2"/>
        <w:rPr>
          <w:b/>
          <w:bCs/>
        </w:rPr>
      </w:pPr>
      <w:bookmarkStart w:id="61" w:name="_Toc148859091"/>
      <w:bookmarkStart w:id="62" w:name="_Toc177977174"/>
      <w:bookmarkStart w:id="63" w:name="_Toc400023300"/>
      <w:r w:rsidRPr="002C18B4">
        <w:rPr>
          <w:b/>
          <w:bCs/>
        </w:rPr>
        <w:lastRenderedPageBreak/>
        <w:t>4.2.10 Contratación de suministros y servicios</w:t>
      </w:r>
      <w:bookmarkEnd w:id="61"/>
      <w:bookmarkEnd w:id="62"/>
      <w:bookmarkEnd w:id="63"/>
    </w:p>
    <w:p w:rsidR="007769FD" w:rsidRPr="00ED5324" w:rsidRDefault="007769FD" w:rsidP="000B3466">
      <w:pPr>
        <w:spacing w:line="360" w:lineRule="auto"/>
        <w:jc w:val="both"/>
        <w:rPr>
          <w:rFonts w:cs="Arial"/>
          <w:kern w:val="18"/>
          <w:szCs w:val="20"/>
          <w:lang w:val="es-ES_tradnl"/>
        </w:rPr>
      </w:pPr>
      <w:r w:rsidRPr="002C18B4">
        <w:t xml:space="preserve">En cumplimiento </w:t>
      </w:r>
      <w:r>
        <w:t>con</w:t>
      </w:r>
      <w:r w:rsidRPr="002C18B4">
        <w:t xml:space="preserve"> lo dispuesto por el Artículo 33 del TOCAF, se debe tener presente que l</w:t>
      </w:r>
      <w:proofErr w:type="spellStart"/>
      <w:r w:rsidRPr="002C18B4">
        <w:rPr>
          <w:rFonts w:cs="Arial"/>
          <w:kern w:val="18"/>
          <w:szCs w:val="20"/>
          <w:lang w:val="es-ES_tradnl"/>
        </w:rPr>
        <w:t>as</w:t>
      </w:r>
      <w:proofErr w:type="spellEnd"/>
      <w:r w:rsidRPr="002C18B4">
        <w:rPr>
          <w:rFonts w:cs="Arial"/>
          <w:kern w:val="18"/>
          <w:szCs w:val="20"/>
          <w:lang w:val="es-ES_tradnl"/>
        </w:rPr>
        <w:t xml:space="preserve"> contrataciones se realizarán mediante </w:t>
      </w:r>
      <w:r>
        <w:rPr>
          <w:rFonts w:cs="Arial"/>
          <w:kern w:val="18"/>
          <w:szCs w:val="20"/>
          <w:lang w:val="es-ES_tradnl"/>
        </w:rPr>
        <w:t>Licitación P</w:t>
      </w:r>
      <w:r w:rsidRPr="002C18B4">
        <w:rPr>
          <w:rFonts w:cs="Arial"/>
          <w:kern w:val="18"/>
          <w:szCs w:val="20"/>
          <w:lang w:val="es-ES_tradnl"/>
        </w:rPr>
        <w:t>ública u otro procedimiento competitivo exp</w:t>
      </w:r>
      <w:r>
        <w:rPr>
          <w:rFonts w:cs="Arial"/>
          <w:kern w:val="18"/>
          <w:szCs w:val="20"/>
          <w:lang w:val="es-ES_tradnl"/>
        </w:rPr>
        <w:t>resamente previsto, de acuerdo con</w:t>
      </w:r>
      <w:r w:rsidRPr="002C18B4">
        <w:rPr>
          <w:rFonts w:cs="Arial"/>
          <w:kern w:val="18"/>
          <w:szCs w:val="20"/>
          <w:lang w:val="es-ES_tradnl"/>
        </w:rPr>
        <w:t xml:space="preserve"> lo que mejor se adecue a su objeto, a los principios generales de la contratación administrativa y de acuerdo a lo previsto en la normativa vigente</w:t>
      </w:r>
      <w:r w:rsidR="00ED5324">
        <w:rPr>
          <w:rFonts w:cs="Arial"/>
          <w:kern w:val="18"/>
          <w:szCs w:val="20"/>
          <w:lang w:val="es-ES_tradnl"/>
        </w:rPr>
        <w:t>.</w:t>
      </w:r>
    </w:p>
    <w:p w:rsidR="007769FD" w:rsidRPr="002C18B4" w:rsidRDefault="007769FD" w:rsidP="000B3466">
      <w:pPr>
        <w:spacing w:line="360" w:lineRule="auto"/>
        <w:jc w:val="both"/>
      </w:pPr>
      <w:r w:rsidRPr="002C18B4">
        <w:t>Asimismo, las contrataciones que realice la Intendencia deberán ser formalizadas a través del contrato que corresponda o, en caso contrario, las respectivas resoluciones deben incluir el detalle de los términos en que se va a prestar el servicio como por ejemplo la cantidad, el precio y la vig</w:t>
      </w:r>
      <w:r w:rsidR="00ED5324">
        <w:t>encia.</w:t>
      </w:r>
    </w:p>
    <w:p w:rsidR="007769FD" w:rsidRPr="002C18B4" w:rsidRDefault="007769FD" w:rsidP="000B3466">
      <w:pPr>
        <w:spacing w:line="360" w:lineRule="auto"/>
        <w:jc w:val="both"/>
      </w:pPr>
    </w:p>
    <w:p w:rsidR="007769FD" w:rsidRPr="002C18B4" w:rsidRDefault="007769FD" w:rsidP="000B3466">
      <w:pPr>
        <w:keepNext/>
        <w:spacing w:line="360" w:lineRule="auto"/>
        <w:outlineLvl w:val="2"/>
        <w:rPr>
          <w:b/>
          <w:bCs/>
        </w:rPr>
      </w:pPr>
      <w:bookmarkStart w:id="64" w:name="_Toc177977192"/>
      <w:bookmarkStart w:id="65" w:name="_Toc400023302"/>
      <w:r w:rsidRPr="002C18B4">
        <w:rPr>
          <w:b/>
          <w:bCs/>
        </w:rPr>
        <w:t>4.2.11 Seguro de caución de fidelidad</w:t>
      </w:r>
      <w:bookmarkEnd w:id="64"/>
      <w:bookmarkEnd w:id="65"/>
    </w:p>
    <w:p w:rsidR="007769FD" w:rsidRPr="002C18B4" w:rsidRDefault="007769FD" w:rsidP="000B3466">
      <w:pPr>
        <w:spacing w:line="360" w:lineRule="auto"/>
        <w:jc w:val="both"/>
        <w:rPr>
          <w:rFonts w:cs="Arial"/>
          <w:kern w:val="18"/>
          <w:szCs w:val="20"/>
          <w:lang w:val="es-ES_tradnl"/>
        </w:rPr>
      </w:pPr>
      <w:r>
        <w:t>De acuerdo con</w:t>
      </w:r>
      <w:r w:rsidRPr="002C18B4">
        <w:t xml:space="preserve"> lo dispuesto por los </w:t>
      </w:r>
      <w:r w:rsidRPr="002C18B4">
        <w:rPr>
          <w:rFonts w:cs="Arial"/>
        </w:rPr>
        <w:t>Artículos 90 y 154 del TOCAF,</w:t>
      </w:r>
      <w:r w:rsidRPr="002C18B4">
        <w:t xml:space="preserve"> l</w:t>
      </w:r>
      <w:r w:rsidRPr="002C18B4">
        <w:rPr>
          <w:rFonts w:cs="Arial"/>
          <w:kern w:val="18"/>
          <w:szCs w:val="20"/>
          <w:lang w:val="es-ES_tradnl"/>
        </w:rPr>
        <w:t>a Administración está obligada a contratar fianzas o pólizas de seguro por los casos, montos y forma que establezca la reglamentación, respecto a todo funcionario que maneje</w:t>
      </w:r>
      <w:r w:rsidR="00D55E72">
        <w:rPr>
          <w:rFonts w:cs="Arial"/>
          <w:kern w:val="18"/>
          <w:szCs w:val="20"/>
          <w:lang w:val="es-ES_tradnl"/>
        </w:rPr>
        <w:t xml:space="preserve"> o custodie fondos o valores.</w:t>
      </w:r>
    </w:p>
    <w:p w:rsidR="007769FD" w:rsidRPr="00D55E72" w:rsidRDefault="007769FD" w:rsidP="000B3466">
      <w:pPr>
        <w:spacing w:line="360" w:lineRule="auto"/>
        <w:jc w:val="both"/>
        <w:rPr>
          <w:lang w:val="es-ES_tradnl"/>
        </w:rPr>
      </w:pPr>
    </w:p>
    <w:p w:rsidR="007769FD" w:rsidRPr="002C18B4" w:rsidRDefault="007769FD" w:rsidP="000B3466">
      <w:pPr>
        <w:keepNext/>
        <w:spacing w:line="360" w:lineRule="auto"/>
        <w:outlineLvl w:val="2"/>
        <w:rPr>
          <w:b/>
          <w:iCs/>
          <w:sz w:val="26"/>
          <w:szCs w:val="26"/>
        </w:rPr>
      </w:pPr>
      <w:bookmarkStart w:id="66" w:name="_Toc177977175"/>
      <w:bookmarkStart w:id="67" w:name="_Toc400023303"/>
      <w:r w:rsidRPr="002C18B4">
        <w:rPr>
          <w:b/>
          <w:bCs/>
        </w:rPr>
        <w:t>4.2.12 Gestión patrimonial</w:t>
      </w:r>
      <w:bookmarkEnd w:id="66"/>
      <w:bookmarkEnd w:id="67"/>
    </w:p>
    <w:p w:rsidR="007769FD" w:rsidRPr="002C18B4" w:rsidRDefault="007769FD" w:rsidP="000B3466">
      <w:pPr>
        <w:spacing w:line="360" w:lineRule="auto"/>
        <w:jc w:val="both"/>
      </w:pPr>
      <w:r w:rsidRPr="002C18B4">
        <w:t xml:space="preserve">De acuerdo con lo establecido en el Artículo 94 del TOCAF, </w:t>
      </w:r>
      <w:smartTag w:uri="urn:schemas-microsoft-com:office:smarttags" w:element="PersonName">
        <w:smartTagPr>
          <w:attr w:name="ProductID" w:val="la Intendencia"/>
        </w:smartTagPr>
        <w:r w:rsidRPr="002C18B4">
          <w:t>la Intendencia</w:t>
        </w:r>
      </w:smartTag>
      <w:r w:rsidRPr="002C18B4">
        <w:t xml:space="preserve"> deberá implementar un sistema que permita conocer la gestión patrimonial y formular los estados financieros requeridos por </w:t>
      </w:r>
      <w:smartTag w:uri="urn:schemas-microsoft-com:office:smarttags" w:element="PersonName">
        <w:smartTagPr>
          <w:attr w:name="ProductID" w:val="la Ordenanza N"/>
        </w:smartTagPr>
        <w:r w:rsidRPr="002C18B4">
          <w:t>la Ordenanza N</w:t>
        </w:r>
      </w:smartTag>
      <w:r w:rsidRPr="002C18B4">
        <w:t>º 81 de este Tribunal.</w:t>
      </w:r>
    </w:p>
    <w:p w:rsidR="007769FD" w:rsidRPr="002C18B4" w:rsidRDefault="007769FD" w:rsidP="000B3466">
      <w:pPr>
        <w:spacing w:line="360" w:lineRule="auto"/>
        <w:jc w:val="both"/>
        <w:rPr>
          <w:rFonts w:cs="Arial"/>
          <w:kern w:val="18"/>
          <w:szCs w:val="20"/>
        </w:rPr>
      </w:pPr>
    </w:p>
    <w:p w:rsidR="007769FD" w:rsidRPr="002C18B4" w:rsidRDefault="007769FD" w:rsidP="000B3466">
      <w:pPr>
        <w:keepNext/>
        <w:spacing w:line="360" w:lineRule="auto"/>
        <w:outlineLvl w:val="2"/>
        <w:rPr>
          <w:b/>
          <w:bCs/>
        </w:rPr>
      </w:pPr>
      <w:bookmarkStart w:id="68" w:name="_Toc177977186"/>
      <w:bookmarkStart w:id="69" w:name="_Toc400023304"/>
      <w:r w:rsidRPr="002C18B4">
        <w:rPr>
          <w:b/>
          <w:bCs/>
        </w:rPr>
        <w:t>4.2.13 Inventario de bienes de uso</w:t>
      </w:r>
      <w:bookmarkEnd w:id="68"/>
      <w:bookmarkEnd w:id="69"/>
    </w:p>
    <w:p w:rsidR="007769FD" w:rsidRPr="002C18B4" w:rsidRDefault="007769FD" w:rsidP="000B3466">
      <w:pPr>
        <w:spacing w:line="360" w:lineRule="auto"/>
        <w:jc w:val="both"/>
        <w:rPr>
          <w:rFonts w:cs="Arial"/>
          <w:kern w:val="18"/>
          <w:szCs w:val="20"/>
          <w:lang w:val="es-ES_tradnl"/>
        </w:rPr>
      </w:pPr>
      <w:r w:rsidRPr="002C18B4">
        <w:rPr>
          <w:kern w:val="18"/>
          <w:szCs w:val="20"/>
        </w:rPr>
        <w:t xml:space="preserve">Se deberá incluir en el documento de Rendición de Cuentas, copia del inventario de todos los activos </w:t>
      </w:r>
      <w:r>
        <w:rPr>
          <w:kern w:val="18"/>
          <w:szCs w:val="20"/>
        </w:rPr>
        <w:t>que integran el patrimonio del Organismo al cierre del E</w:t>
      </w:r>
      <w:r w:rsidRPr="002C18B4">
        <w:rPr>
          <w:kern w:val="18"/>
          <w:szCs w:val="20"/>
        </w:rPr>
        <w:t>jercicio. Además la Intendencia debe mantener actualizado dicho inventario tal como lo establece e</w:t>
      </w:r>
      <w:r w:rsidRPr="002C18B4">
        <w:rPr>
          <w:rFonts w:cs="Arial"/>
          <w:szCs w:val="20"/>
          <w:lang w:val="es-ES_tradnl"/>
        </w:rPr>
        <w:t>l Artículo 97 del TOCAF</w:t>
      </w:r>
      <w:r w:rsidRPr="002C18B4">
        <w:rPr>
          <w:kern w:val="18"/>
          <w:szCs w:val="20"/>
          <w:lang w:val="es-ES_tradnl"/>
        </w:rPr>
        <w:t>,</w:t>
      </w:r>
      <w:r w:rsidRPr="002C18B4">
        <w:rPr>
          <w:rFonts w:cs="Arial"/>
          <w:szCs w:val="20"/>
          <w:lang w:val="es-ES_tradnl"/>
        </w:rPr>
        <w:t xml:space="preserve"> el cual dispone que </w:t>
      </w:r>
      <w:r w:rsidRPr="002C18B4">
        <w:rPr>
          <w:rFonts w:cs="Arial"/>
          <w:kern w:val="18"/>
          <w:szCs w:val="20"/>
          <w:lang w:val="es-ES_tradnl"/>
        </w:rPr>
        <w:t xml:space="preserve">en cuanto a los activos, el sistema contable debe registrar como mínimo las </w:t>
      </w:r>
      <w:r w:rsidRPr="002C18B4">
        <w:rPr>
          <w:rFonts w:cs="Arial"/>
          <w:kern w:val="18"/>
          <w:szCs w:val="20"/>
          <w:lang w:val="es-ES_tradnl"/>
        </w:rPr>
        <w:lastRenderedPageBreak/>
        <w:t>existencias y movimientos, con especial determinación de los que integran el patrimonio del Estado por ejecución del Pre</w:t>
      </w:r>
      <w:r w:rsidR="00D55E72">
        <w:rPr>
          <w:rFonts w:cs="Arial"/>
          <w:kern w:val="18"/>
          <w:szCs w:val="20"/>
          <w:lang w:val="es-ES_tradnl"/>
        </w:rPr>
        <w:t>supuesto o por otros conceptos.</w:t>
      </w:r>
    </w:p>
    <w:p w:rsidR="007769FD" w:rsidRPr="002C18B4" w:rsidRDefault="007769FD" w:rsidP="000B3466">
      <w:pPr>
        <w:spacing w:line="360" w:lineRule="auto"/>
        <w:jc w:val="both"/>
        <w:rPr>
          <w:rFonts w:cs="Arial"/>
          <w:kern w:val="18"/>
          <w:szCs w:val="20"/>
          <w:lang w:val="es-ES_tradnl"/>
        </w:rPr>
      </w:pPr>
    </w:p>
    <w:p w:rsidR="007769FD" w:rsidRPr="002C18B4" w:rsidRDefault="007769FD" w:rsidP="000B3466">
      <w:pPr>
        <w:keepNext/>
        <w:spacing w:line="360" w:lineRule="auto"/>
        <w:outlineLvl w:val="2"/>
        <w:rPr>
          <w:b/>
          <w:bCs/>
        </w:rPr>
      </w:pPr>
      <w:bookmarkStart w:id="70" w:name="_Toc177977176"/>
      <w:bookmarkStart w:id="71" w:name="_Toc400023305"/>
      <w:r w:rsidRPr="002C18B4">
        <w:rPr>
          <w:b/>
          <w:bCs/>
        </w:rPr>
        <w:t>4.2.14 Registro de fondos y valores</w:t>
      </w:r>
      <w:bookmarkEnd w:id="70"/>
      <w:bookmarkEnd w:id="71"/>
    </w:p>
    <w:p w:rsidR="007769FD" w:rsidRPr="002C18B4" w:rsidRDefault="007769FD" w:rsidP="000B3466">
      <w:pPr>
        <w:spacing w:line="360" w:lineRule="auto"/>
        <w:jc w:val="both"/>
      </w:pPr>
      <w:r>
        <w:t>De acuerdo con</w:t>
      </w:r>
      <w:r w:rsidRPr="002C18B4">
        <w:t xml:space="preserve"> lo dispuesto por el Artículo 99 del TOCAF,</w:t>
      </w:r>
      <w:r w:rsidRPr="002C18B4">
        <w:rPr>
          <w:rFonts w:cs="Arial"/>
        </w:rPr>
        <w:t xml:space="preserve"> </w:t>
      </w:r>
      <w:smartTag w:uri="urn:schemas-microsoft-com:office:smarttags" w:element="PersonName">
        <w:smartTagPr>
          <w:attr w:name="ProductID" w:val="la Intendencia"/>
        </w:smartTagPr>
        <w:r w:rsidRPr="002C18B4">
          <w:t>la Intendencia</w:t>
        </w:r>
      </w:smartTag>
      <w:r w:rsidRPr="002C18B4">
        <w:t xml:space="preserve"> deberá registrar el movimiento de fondos y valores por los cuales deba rendirse cuenta, así como de los bienes o especies en servicio, guarda o custodia, identificando al funcionario responsable de los mismos.</w:t>
      </w:r>
    </w:p>
    <w:p w:rsidR="007769FD" w:rsidRPr="002C18B4" w:rsidRDefault="007769FD" w:rsidP="000B3466">
      <w:pPr>
        <w:spacing w:line="360" w:lineRule="auto"/>
        <w:jc w:val="both"/>
      </w:pPr>
    </w:p>
    <w:p w:rsidR="007769FD" w:rsidRPr="002C18B4" w:rsidRDefault="007769FD" w:rsidP="000B3466">
      <w:pPr>
        <w:keepNext/>
        <w:spacing w:line="360" w:lineRule="auto"/>
        <w:outlineLvl w:val="2"/>
        <w:rPr>
          <w:b/>
          <w:bCs/>
        </w:rPr>
      </w:pPr>
      <w:bookmarkStart w:id="72" w:name="_Toc86129205"/>
      <w:bookmarkStart w:id="73" w:name="_Toc148859083"/>
      <w:bookmarkStart w:id="74" w:name="_Toc177977177"/>
      <w:bookmarkStart w:id="75" w:name="_Toc400023306"/>
      <w:r w:rsidRPr="002C18B4">
        <w:rPr>
          <w:b/>
          <w:bCs/>
        </w:rPr>
        <w:t>4.2.15 Imputación previa</w:t>
      </w:r>
      <w:bookmarkEnd w:id="72"/>
      <w:bookmarkEnd w:id="73"/>
      <w:bookmarkEnd w:id="74"/>
      <w:bookmarkEnd w:id="75"/>
    </w:p>
    <w:p w:rsidR="007769FD" w:rsidRPr="002C18B4" w:rsidRDefault="007769FD" w:rsidP="000B3466">
      <w:pPr>
        <w:spacing w:line="360" w:lineRule="auto"/>
        <w:jc w:val="both"/>
      </w:pPr>
      <w:r w:rsidRPr="002C18B4">
        <w:t>A efectos de evitar excesos de gastos y cumplir con las correspondientes disposiciones legales, se deberá determinar fehacientemente la disponibilidad de créditos presupuestales existente. La imputación debe realizarse en forma previa, es de</w:t>
      </w:r>
      <w:r w:rsidRPr="002C18B4">
        <w:softHyphen/>
        <w:t>cir al momento de comprometerse el gasto (</w:t>
      </w:r>
      <w:r w:rsidRPr="002C18B4">
        <w:rPr>
          <w:bCs/>
          <w:kern w:val="18"/>
          <w:szCs w:val="20"/>
          <w:lang w:val="es-ES_tradnl"/>
        </w:rPr>
        <w:t>Artículo 102 numeral 3) del TOCAF).</w:t>
      </w:r>
    </w:p>
    <w:p w:rsidR="007769FD" w:rsidRPr="002C18B4" w:rsidRDefault="007769FD" w:rsidP="000B3466">
      <w:pPr>
        <w:spacing w:line="360" w:lineRule="auto"/>
        <w:jc w:val="both"/>
      </w:pPr>
    </w:p>
    <w:p w:rsidR="007769FD" w:rsidRPr="002C18B4" w:rsidRDefault="007769FD" w:rsidP="000B3466">
      <w:pPr>
        <w:keepNext/>
        <w:spacing w:line="360" w:lineRule="auto"/>
        <w:outlineLvl w:val="2"/>
        <w:rPr>
          <w:b/>
          <w:bCs/>
        </w:rPr>
      </w:pPr>
      <w:bookmarkStart w:id="76" w:name="_Toc51488274"/>
      <w:bookmarkStart w:id="77" w:name="_Toc148859090"/>
      <w:bookmarkStart w:id="78" w:name="_Toc177977178"/>
      <w:bookmarkStart w:id="79" w:name="_Toc400023307"/>
      <w:r w:rsidRPr="002C18B4">
        <w:rPr>
          <w:b/>
          <w:bCs/>
        </w:rPr>
        <w:t>4.2.16 Auditoría interna</w:t>
      </w:r>
      <w:bookmarkEnd w:id="76"/>
      <w:bookmarkEnd w:id="77"/>
      <w:bookmarkEnd w:id="78"/>
      <w:bookmarkEnd w:id="79"/>
    </w:p>
    <w:p w:rsidR="007769FD" w:rsidRPr="002C18B4" w:rsidRDefault="007769FD" w:rsidP="000B3466">
      <w:pPr>
        <w:spacing w:line="360" w:lineRule="auto"/>
        <w:jc w:val="both"/>
      </w:pPr>
      <w:r w:rsidRPr="002C18B4">
        <w:t xml:space="preserve">En cumplimiento a lo dispuesto por el </w:t>
      </w:r>
      <w:r>
        <w:rPr>
          <w:bCs/>
          <w:kern w:val="18"/>
          <w:szCs w:val="20"/>
          <w:lang w:val="es-ES_tradnl"/>
        </w:rPr>
        <w:t>Artículo 111 N</w:t>
      </w:r>
      <w:r w:rsidRPr="002C18B4">
        <w:rPr>
          <w:bCs/>
          <w:kern w:val="18"/>
          <w:szCs w:val="20"/>
          <w:lang w:val="es-ES_tradnl"/>
        </w:rPr>
        <w:t>umeral 6) del TOCAF</w:t>
      </w:r>
      <w:r w:rsidRPr="002C18B4">
        <w:rPr>
          <w:kern w:val="18"/>
          <w:szCs w:val="20"/>
          <w:lang w:val="es-ES_tradnl"/>
        </w:rPr>
        <w:t>,</w:t>
      </w:r>
      <w:r w:rsidRPr="002C18B4">
        <w:t xml:space="preserve"> </w:t>
      </w:r>
      <w:smartTag w:uri="urn:schemas-microsoft-com:office:smarttags" w:element="PersonName">
        <w:smartTagPr>
          <w:attr w:name="ProductID" w:val="la Unidad"/>
        </w:smartTagPr>
        <w:r w:rsidRPr="002C18B4">
          <w:t>la Unidad</w:t>
        </w:r>
      </w:smartTag>
      <w:r w:rsidRPr="002C18B4">
        <w:t xml:space="preserve"> de Auditoría interna deberá coordinar con el Tribunal de Cuentas la planificación de su actividad.</w:t>
      </w:r>
    </w:p>
    <w:p w:rsidR="007769FD" w:rsidRPr="002C18B4" w:rsidRDefault="007769FD" w:rsidP="000B3466">
      <w:pPr>
        <w:spacing w:line="360" w:lineRule="auto"/>
        <w:jc w:val="both"/>
      </w:pPr>
    </w:p>
    <w:p w:rsidR="007769FD" w:rsidRPr="002C18B4" w:rsidRDefault="007769FD" w:rsidP="000B3466">
      <w:pPr>
        <w:keepNext/>
        <w:spacing w:line="360" w:lineRule="auto"/>
        <w:outlineLvl w:val="2"/>
        <w:rPr>
          <w:b/>
          <w:bCs/>
        </w:rPr>
      </w:pPr>
      <w:bookmarkStart w:id="80" w:name="_Toc177977179"/>
      <w:bookmarkStart w:id="81" w:name="_Toc400023308"/>
      <w:r w:rsidRPr="002C18B4">
        <w:rPr>
          <w:b/>
          <w:bCs/>
        </w:rPr>
        <w:t>4.2.17 Arqueos de Fondos</w:t>
      </w:r>
      <w:bookmarkEnd w:id="80"/>
      <w:bookmarkEnd w:id="81"/>
    </w:p>
    <w:p w:rsidR="007769FD" w:rsidRPr="002C18B4" w:rsidRDefault="007769FD" w:rsidP="000B3466">
      <w:pPr>
        <w:spacing w:line="360" w:lineRule="auto"/>
        <w:jc w:val="both"/>
        <w:rPr>
          <w:rFonts w:cs="Arial"/>
          <w:kern w:val="18"/>
          <w:szCs w:val="20"/>
        </w:rPr>
      </w:pPr>
      <w:r w:rsidRPr="002C18B4">
        <w:rPr>
          <w:rFonts w:cs="Arial"/>
          <w:kern w:val="18"/>
          <w:szCs w:val="20"/>
        </w:rPr>
        <w:t>A efectos de cumplir con lo dispuesto por los Artículos 102 y 119, la Intendencia deberá incrementar la periodicidad de la realización de los arqueos de fondos y valores en todas sus dependencias.</w:t>
      </w:r>
    </w:p>
    <w:p w:rsidR="007769FD" w:rsidRPr="002C18B4" w:rsidRDefault="007769FD" w:rsidP="000B3466">
      <w:pPr>
        <w:spacing w:line="360" w:lineRule="auto"/>
        <w:jc w:val="both"/>
        <w:rPr>
          <w:rFonts w:cs="Arial"/>
          <w:kern w:val="18"/>
          <w:szCs w:val="20"/>
        </w:rPr>
      </w:pPr>
    </w:p>
    <w:p w:rsidR="007769FD" w:rsidRPr="002C18B4" w:rsidRDefault="007769FD" w:rsidP="000B3466">
      <w:pPr>
        <w:keepNext/>
        <w:spacing w:line="360" w:lineRule="auto"/>
        <w:outlineLvl w:val="2"/>
        <w:rPr>
          <w:b/>
          <w:bCs/>
        </w:rPr>
      </w:pPr>
      <w:bookmarkStart w:id="82" w:name="_Toc400023309"/>
      <w:r w:rsidRPr="002C18B4">
        <w:rPr>
          <w:b/>
          <w:bCs/>
        </w:rPr>
        <w:t>4.2.18 Grado del cumplimiento de metas y objetivos</w:t>
      </w:r>
      <w:bookmarkEnd w:id="82"/>
    </w:p>
    <w:p w:rsidR="007769FD" w:rsidRPr="002C18B4" w:rsidRDefault="007769FD" w:rsidP="000B3466">
      <w:pPr>
        <w:spacing w:line="360" w:lineRule="auto"/>
        <w:jc w:val="both"/>
        <w:rPr>
          <w:rFonts w:cs="Arial"/>
          <w:kern w:val="18"/>
          <w:szCs w:val="20"/>
        </w:rPr>
      </w:pPr>
      <w:r>
        <w:rPr>
          <w:rFonts w:cs="Arial"/>
          <w:kern w:val="18"/>
          <w:szCs w:val="20"/>
        </w:rPr>
        <w:t>De acuerdo con</w:t>
      </w:r>
      <w:r w:rsidRPr="002C18B4">
        <w:rPr>
          <w:rFonts w:cs="Arial"/>
          <w:kern w:val="18"/>
          <w:szCs w:val="20"/>
        </w:rPr>
        <w:t xml:space="preserve"> lo establecido por el Artículo 128 del TOCAF, la Rendición de Cuentas deberá contener un estado demostrativo del grado de cumplimiento de </w:t>
      </w:r>
      <w:r w:rsidRPr="002C18B4">
        <w:rPr>
          <w:rFonts w:cs="Arial"/>
          <w:kern w:val="18"/>
          <w:szCs w:val="20"/>
        </w:rPr>
        <w:lastRenderedPageBreak/>
        <w:t>los objetivos y metas programadas, indicando los previstos y los alc</w:t>
      </w:r>
      <w:r w:rsidR="00ED5324">
        <w:rPr>
          <w:rFonts w:cs="Arial"/>
          <w:kern w:val="18"/>
          <w:szCs w:val="20"/>
        </w:rPr>
        <w:t>anza</w:t>
      </w:r>
      <w:r w:rsidR="00ED5324">
        <w:rPr>
          <w:rFonts w:cs="Arial"/>
          <w:kern w:val="18"/>
          <w:szCs w:val="20"/>
        </w:rPr>
        <w:softHyphen/>
        <w:t>dos y su costo resultante.</w:t>
      </w:r>
    </w:p>
    <w:p w:rsidR="007769FD" w:rsidRPr="002C18B4" w:rsidRDefault="007769FD" w:rsidP="000B3466">
      <w:pPr>
        <w:spacing w:line="360" w:lineRule="auto"/>
        <w:jc w:val="both"/>
      </w:pPr>
    </w:p>
    <w:p w:rsidR="007769FD" w:rsidRPr="002C18B4" w:rsidRDefault="007769FD" w:rsidP="000B3466">
      <w:pPr>
        <w:keepNext/>
        <w:spacing w:line="360" w:lineRule="auto"/>
        <w:outlineLvl w:val="2"/>
        <w:rPr>
          <w:b/>
          <w:bCs/>
        </w:rPr>
      </w:pPr>
      <w:bookmarkStart w:id="83" w:name="_Toc400023310"/>
      <w:r w:rsidRPr="002C18B4">
        <w:rPr>
          <w:b/>
          <w:bCs/>
        </w:rPr>
        <w:t>4.2.19 Salario vacacional</w:t>
      </w:r>
      <w:bookmarkEnd w:id="83"/>
    </w:p>
    <w:p w:rsidR="007769FD" w:rsidRPr="002C18B4" w:rsidRDefault="007769FD" w:rsidP="000B3466">
      <w:pPr>
        <w:spacing w:line="360" w:lineRule="auto"/>
        <w:jc w:val="both"/>
        <w:rPr>
          <w:rFonts w:cs="Arial"/>
          <w:color w:val="000000"/>
        </w:rPr>
      </w:pPr>
      <w:r>
        <w:rPr>
          <w:rFonts w:cs="Arial"/>
          <w:color w:val="000000"/>
        </w:rPr>
        <w:t>A efectos de dar cumplimiento con</w:t>
      </w:r>
      <w:r w:rsidRPr="002C18B4">
        <w:rPr>
          <w:rFonts w:cs="Arial"/>
          <w:color w:val="000000"/>
        </w:rPr>
        <w:t xml:space="preserve"> lo establecido por el Artículo 37 del Presupuesto Quinquenal 2006-2010, el pago del salario vacacional deberá hacerse efectivo en una sola vez y no más allá del último día hábil anterior al inicio de la li</w:t>
      </w:r>
      <w:r w:rsidRPr="002C18B4">
        <w:rPr>
          <w:rFonts w:cs="Arial"/>
          <w:color w:val="000000"/>
        </w:rPr>
        <w:softHyphen/>
        <w:t>cencia. Cuando la licencia anual se fraccionara, corresponderá el pago del sa</w:t>
      </w:r>
      <w:r w:rsidRPr="002C18B4">
        <w:rPr>
          <w:rFonts w:cs="Arial"/>
          <w:color w:val="000000"/>
        </w:rPr>
        <w:softHyphen/>
        <w:t>lario vacacional siempre que se trate de un período mínimo de diez días hábi</w:t>
      </w:r>
      <w:r w:rsidRPr="002C18B4">
        <w:rPr>
          <w:rFonts w:cs="Arial"/>
          <w:color w:val="000000"/>
        </w:rPr>
        <w:softHyphen/>
        <w:t>les. En tal caso, el pago se hará sobre la totalidad de la licencia anual regla</w:t>
      </w:r>
      <w:r w:rsidRPr="002C18B4">
        <w:rPr>
          <w:rFonts w:cs="Arial"/>
          <w:color w:val="000000"/>
        </w:rPr>
        <w:softHyphen/>
        <w:t>mentaria.</w:t>
      </w:r>
    </w:p>
    <w:p w:rsidR="007769FD" w:rsidRPr="002C18B4" w:rsidRDefault="007769FD" w:rsidP="000B3466">
      <w:pPr>
        <w:spacing w:line="360" w:lineRule="auto"/>
        <w:jc w:val="both"/>
        <w:rPr>
          <w:rFonts w:cs="Arial"/>
          <w:color w:val="000000"/>
        </w:rPr>
      </w:pPr>
    </w:p>
    <w:p w:rsidR="007769FD" w:rsidRPr="002C18B4" w:rsidRDefault="007769FD" w:rsidP="000B3466">
      <w:pPr>
        <w:keepNext/>
        <w:spacing w:line="360" w:lineRule="auto"/>
        <w:jc w:val="both"/>
        <w:outlineLvl w:val="2"/>
        <w:rPr>
          <w:b/>
          <w:bCs/>
        </w:rPr>
      </w:pPr>
      <w:bookmarkStart w:id="84" w:name="_Toc400023311"/>
      <w:r w:rsidRPr="002C18B4">
        <w:rPr>
          <w:b/>
          <w:bCs/>
        </w:rPr>
        <w:t xml:space="preserve">4.2.20 Certificados del Banco de Previsión Social y </w:t>
      </w:r>
      <w:smartTag w:uri="urn:schemas-microsoft-com:office:smarttags" w:element="PersonName">
        <w:smartTagPr>
          <w:attr w:name="ProductID" w:val="la Direcci￳n General"/>
        </w:smartTagPr>
        <w:r w:rsidRPr="002C18B4">
          <w:rPr>
            <w:b/>
            <w:bCs/>
          </w:rPr>
          <w:t>la Dirección General</w:t>
        </w:r>
      </w:smartTag>
      <w:r w:rsidRPr="002C18B4">
        <w:rPr>
          <w:b/>
          <w:bCs/>
        </w:rPr>
        <w:t xml:space="preserve"> Impositiva</w:t>
      </w:r>
      <w:bookmarkEnd w:id="84"/>
    </w:p>
    <w:p w:rsidR="007769FD" w:rsidRDefault="007769FD" w:rsidP="000B3466">
      <w:pPr>
        <w:tabs>
          <w:tab w:val="left" w:pos="1134"/>
        </w:tabs>
        <w:spacing w:line="360" w:lineRule="auto"/>
        <w:jc w:val="both"/>
        <w:rPr>
          <w:kern w:val="18"/>
          <w:szCs w:val="20"/>
          <w:lang w:val="es-ES_tradnl"/>
        </w:rPr>
      </w:pPr>
      <w:r w:rsidRPr="002C18B4">
        <w:rPr>
          <w:kern w:val="18"/>
          <w:szCs w:val="20"/>
          <w:lang w:val="es-ES_tradnl"/>
        </w:rPr>
        <w:t xml:space="preserve">En oportunidad de efectuar los pagos a proveedores se deberá verificar el cumplimiento de lo establecido en el Decreto N° 342/992, que reglamenta lo dispuesto por el Artículo 7 de </w:t>
      </w:r>
      <w:smartTag w:uri="urn:schemas-microsoft-com:office:smarttags" w:element="PersonName">
        <w:smartTagPr>
          <w:attr w:name="ProductID" w:val="la Ley N"/>
        </w:smartTagPr>
        <w:r w:rsidRPr="002C18B4">
          <w:rPr>
            <w:kern w:val="18"/>
            <w:szCs w:val="20"/>
            <w:lang w:val="es-ES_tradnl"/>
          </w:rPr>
          <w:t>la Ley N</w:t>
        </w:r>
      </w:smartTag>
      <w:r w:rsidRPr="002C18B4">
        <w:rPr>
          <w:kern w:val="18"/>
          <w:szCs w:val="20"/>
          <w:lang w:val="es-ES_tradnl"/>
        </w:rPr>
        <w:t xml:space="preserve">° 13.142, de 04 de julio de 1963 y el Artículo 1 del Decreto-Ley N° 14.632, de 24 de marzo de 1977, en cuanto a la verificación de que se encuentran al día con el pago de sus obligaciones correspondientes con el Banco de Previsión Social y </w:t>
      </w:r>
      <w:smartTag w:uri="urn:schemas-microsoft-com:office:smarttags" w:element="PersonName">
        <w:smartTagPr>
          <w:attr w:name="ProductID" w:val="la Direcci￳n General"/>
        </w:smartTagPr>
        <w:r w:rsidRPr="002C18B4">
          <w:rPr>
            <w:kern w:val="18"/>
            <w:szCs w:val="20"/>
            <w:lang w:val="es-ES_tradnl"/>
          </w:rPr>
          <w:t>la Dirección General</w:t>
        </w:r>
      </w:smartTag>
      <w:r w:rsidRPr="002C18B4">
        <w:rPr>
          <w:kern w:val="18"/>
          <w:szCs w:val="20"/>
          <w:lang w:val="es-ES_tradnl"/>
        </w:rPr>
        <w:t xml:space="preserve"> Impositiva.</w:t>
      </w:r>
    </w:p>
    <w:p w:rsidR="00ED5324" w:rsidRPr="002C18B4" w:rsidRDefault="00ED5324" w:rsidP="000B3466">
      <w:pPr>
        <w:tabs>
          <w:tab w:val="left" w:pos="1134"/>
        </w:tabs>
        <w:spacing w:line="360" w:lineRule="auto"/>
        <w:jc w:val="both"/>
        <w:rPr>
          <w:kern w:val="18"/>
          <w:szCs w:val="20"/>
          <w:lang w:val="es-ES_tradnl"/>
        </w:rPr>
      </w:pPr>
    </w:p>
    <w:p w:rsidR="007769FD" w:rsidRPr="002C18B4" w:rsidRDefault="007769FD" w:rsidP="000B3466">
      <w:pPr>
        <w:keepNext/>
        <w:spacing w:line="360" w:lineRule="auto"/>
        <w:outlineLvl w:val="2"/>
        <w:rPr>
          <w:b/>
          <w:bCs/>
        </w:rPr>
      </w:pPr>
      <w:bookmarkStart w:id="85" w:name="_Toc243388228"/>
      <w:bookmarkStart w:id="86" w:name="_Toc400023313"/>
      <w:r w:rsidRPr="002C18B4">
        <w:rPr>
          <w:b/>
          <w:bCs/>
        </w:rPr>
        <w:t>4.2.21 Ingresos líquidos a percibir</w:t>
      </w:r>
      <w:bookmarkEnd w:id="85"/>
      <w:bookmarkEnd w:id="86"/>
    </w:p>
    <w:p w:rsidR="007769FD" w:rsidRPr="002C18B4" w:rsidRDefault="007769FD" w:rsidP="000B3466">
      <w:pPr>
        <w:spacing w:line="360" w:lineRule="auto"/>
        <w:jc w:val="both"/>
        <w:rPr>
          <w:bCs/>
        </w:rPr>
      </w:pPr>
      <w:r w:rsidRPr="002C18B4">
        <w:rPr>
          <w:rFonts w:cs="Arial"/>
        </w:rPr>
        <w:t xml:space="preserve">Ninguna persona física podrá percibir por concepto de retribución salarial o pasividad una cantidad en efectivo inferior al porcentaje del monto nominal (deducido el impuesto, si correspondiere, y contribuciones de seguridad social) de acuerdo a lo dispuesto por el </w:t>
      </w:r>
      <w:r w:rsidRPr="002C18B4">
        <w:rPr>
          <w:bCs/>
        </w:rPr>
        <w:t>Artículo  34 de la Ley N° 19.210.</w:t>
      </w:r>
    </w:p>
    <w:p w:rsidR="007769FD" w:rsidRPr="002C18B4" w:rsidRDefault="007769FD" w:rsidP="000B3466">
      <w:pPr>
        <w:spacing w:line="360" w:lineRule="auto"/>
        <w:jc w:val="both"/>
        <w:rPr>
          <w:rFonts w:cs="Arial"/>
        </w:rPr>
      </w:pPr>
    </w:p>
    <w:p w:rsidR="007769FD" w:rsidRPr="002C18B4" w:rsidRDefault="007769FD" w:rsidP="000B3466">
      <w:pPr>
        <w:keepNext/>
        <w:spacing w:line="360" w:lineRule="auto"/>
        <w:outlineLvl w:val="2"/>
        <w:rPr>
          <w:b/>
          <w:bCs/>
        </w:rPr>
      </w:pPr>
      <w:bookmarkStart w:id="87" w:name="_Toc400023314"/>
      <w:r w:rsidRPr="002C18B4">
        <w:rPr>
          <w:b/>
          <w:bCs/>
        </w:rPr>
        <w:lastRenderedPageBreak/>
        <w:t>4.2.22 Documentación de respaldo de los gastos</w:t>
      </w:r>
      <w:bookmarkEnd w:id="87"/>
    </w:p>
    <w:p w:rsidR="007769FD" w:rsidRPr="002C18B4" w:rsidRDefault="007769FD" w:rsidP="000B3466">
      <w:pPr>
        <w:spacing w:line="360" w:lineRule="auto"/>
        <w:jc w:val="both"/>
      </w:pPr>
      <w:r w:rsidRPr="002C18B4">
        <w:t>Los gastos ejecutados deben ser respaldados cumpliendo con los requisitos establecidos en el Decreto N° 388/92 y Resolución N° 688/92 de l</w:t>
      </w:r>
      <w:r w:rsidR="00D55E72">
        <w:t>a Dirección General Impositiva.</w:t>
      </w:r>
    </w:p>
    <w:p w:rsidR="007769FD" w:rsidRPr="002C18B4" w:rsidRDefault="007769FD" w:rsidP="000B3466">
      <w:pPr>
        <w:spacing w:line="360" w:lineRule="auto"/>
        <w:jc w:val="both"/>
        <w:rPr>
          <w:rFonts w:cs="Arial"/>
        </w:rPr>
      </w:pPr>
    </w:p>
    <w:p w:rsidR="007769FD" w:rsidRPr="002C18B4" w:rsidRDefault="007769FD" w:rsidP="000B3466">
      <w:pPr>
        <w:keepNext/>
        <w:spacing w:line="360" w:lineRule="auto"/>
        <w:outlineLvl w:val="2"/>
        <w:rPr>
          <w:b/>
          <w:bCs/>
        </w:rPr>
      </w:pPr>
      <w:bookmarkStart w:id="88" w:name="_Toc177977182"/>
      <w:bookmarkStart w:id="89" w:name="_Toc400023315"/>
      <w:r w:rsidRPr="002C18B4">
        <w:rPr>
          <w:b/>
          <w:bCs/>
        </w:rPr>
        <w:t>4.2.23 Horas extras</w:t>
      </w:r>
      <w:bookmarkEnd w:id="88"/>
      <w:bookmarkEnd w:id="89"/>
    </w:p>
    <w:p w:rsidR="007769FD" w:rsidRPr="002C18B4" w:rsidRDefault="007769FD" w:rsidP="000B3466">
      <w:pPr>
        <w:spacing w:line="360" w:lineRule="auto"/>
        <w:jc w:val="both"/>
      </w:pPr>
      <w:r w:rsidRPr="002C18B4">
        <w:t>El otorgamiento de horas extras a los funcionarios de la Intendencia</w:t>
      </w:r>
      <w:r>
        <w:t xml:space="preserve"> debe realizarse de acuerdo con el</w:t>
      </w:r>
      <w:r w:rsidRPr="002C18B4">
        <w:t xml:space="preserve"> Convenio N° 30 de la Organización Internacional del Trabajo, el cual establece que no se podrán trabajar más de cuarenta y ocho horas semanales, incluyendo las horas simples y las extras.</w:t>
      </w:r>
    </w:p>
    <w:p w:rsidR="007769FD" w:rsidRPr="002C18B4" w:rsidRDefault="007769FD" w:rsidP="000B3466">
      <w:pPr>
        <w:spacing w:line="360" w:lineRule="auto"/>
        <w:jc w:val="both"/>
      </w:pPr>
    </w:p>
    <w:p w:rsidR="007769FD" w:rsidRPr="002C18B4" w:rsidRDefault="007769FD" w:rsidP="000B3466">
      <w:pPr>
        <w:keepNext/>
        <w:spacing w:line="360" w:lineRule="auto"/>
        <w:outlineLvl w:val="2"/>
        <w:rPr>
          <w:b/>
          <w:bCs/>
        </w:rPr>
      </w:pPr>
      <w:bookmarkStart w:id="90" w:name="_Toc400023316"/>
      <w:r w:rsidRPr="002C18B4">
        <w:rPr>
          <w:b/>
          <w:bCs/>
        </w:rPr>
        <w:t>4.2.24 Modificaciones de recursos</w:t>
      </w:r>
      <w:bookmarkEnd w:id="90"/>
    </w:p>
    <w:p w:rsidR="007769FD" w:rsidRPr="002C18B4" w:rsidRDefault="007769FD" w:rsidP="000B3466">
      <w:pPr>
        <w:spacing w:line="360" w:lineRule="auto"/>
        <w:jc w:val="both"/>
        <w:rPr>
          <w:rFonts w:cs="Arial"/>
          <w:szCs w:val="20"/>
        </w:rPr>
      </w:pPr>
      <w:r w:rsidRPr="002C18B4">
        <w:rPr>
          <w:rFonts w:cs="Arial"/>
          <w:szCs w:val="20"/>
        </w:rPr>
        <w:t xml:space="preserve">En cumplimiento de </w:t>
      </w:r>
      <w:smartTag w:uri="urn:schemas-microsoft-com:office:smarttags" w:element="PersonName">
        <w:smartTagPr>
          <w:attr w:name="ProductID" w:val="la Ordenanza N"/>
        </w:smartTagPr>
        <w:r w:rsidRPr="002C18B4">
          <w:rPr>
            <w:rFonts w:cs="Arial"/>
            <w:szCs w:val="20"/>
          </w:rPr>
          <w:t>la Ordenanza N</w:t>
        </w:r>
      </w:smartTag>
      <w:r w:rsidRPr="002C18B4">
        <w:rPr>
          <w:rFonts w:cs="Arial"/>
          <w:szCs w:val="20"/>
        </w:rPr>
        <w:t>° 62 de este Tribunal, toda creación o modificación de recursos debe ser sometida a dictamen de este Tribunal por la respectiva Junta Departamental, previamente a su aprobación.</w:t>
      </w:r>
    </w:p>
    <w:p w:rsidR="007769FD" w:rsidRPr="002C18B4" w:rsidRDefault="007769FD" w:rsidP="000B3466">
      <w:pPr>
        <w:spacing w:line="360" w:lineRule="auto"/>
        <w:jc w:val="both"/>
        <w:rPr>
          <w:rFonts w:cs="Arial"/>
          <w:color w:val="000000"/>
        </w:rPr>
      </w:pPr>
    </w:p>
    <w:p w:rsidR="007769FD" w:rsidRPr="002C18B4" w:rsidRDefault="007769FD" w:rsidP="000B3466">
      <w:pPr>
        <w:keepNext/>
        <w:spacing w:line="360" w:lineRule="auto"/>
        <w:outlineLvl w:val="2"/>
        <w:rPr>
          <w:b/>
          <w:bCs/>
        </w:rPr>
      </w:pPr>
      <w:bookmarkStart w:id="91" w:name="_Toc177977194"/>
      <w:bookmarkStart w:id="92" w:name="_Toc400023317"/>
      <w:r w:rsidRPr="002C18B4">
        <w:rPr>
          <w:b/>
          <w:bCs/>
        </w:rPr>
        <w:t>4.2.25 Instructivo del Tribunal de Cuentas</w:t>
      </w:r>
      <w:bookmarkEnd w:id="91"/>
      <w:bookmarkEnd w:id="92"/>
    </w:p>
    <w:p w:rsidR="007769FD" w:rsidRDefault="007769FD" w:rsidP="000B3466">
      <w:pPr>
        <w:tabs>
          <w:tab w:val="left" w:pos="993"/>
          <w:tab w:val="left" w:pos="1134"/>
          <w:tab w:val="center" w:pos="4252"/>
          <w:tab w:val="right" w:pos="8504"/>
        </w:tabs>
        <w:spacing w:line="360" w:lineRule="auto"/>
        <w:jc w:val="both"/>
      </w:pPr>
      <w:r w:rsidRPr="002C18B4">
        <w:t>Las Rendiciones de Cuentas que remitan los Gobie</w:t>
      </w:r>
      <w:r>
        <w:t>rnos Departamentales, conforme con</w:t>
      </w:r>
      <w:r w:rsidRPr="002C18B4">
        <w:t xml:space="preserve"> lo dispuesto en el Artículo 214, aplicable por remisión del Artículo 222 de </w:t>
      </w:r>
      <w:smartTag w:uri="urn:schemas-microsoft-com:office:smarttags" w:element="PersonName">
        <w:smartTagPr>
          <w:attr w:name="ProductID" w:val="la Constituci￳n"/>
        </w:smartTagPr>
        <w:r w:rsidRPr="002C18B4">
          <w:t>la Constitución</w:t>
        </w:r>
      </w:smartTag>
      <w:r w:rsidRPr="002C18B4">
        <w:t xml:space="preserve"> de </w:t>
      </w:r>
      <w:smartTag w:uri="urn:schemas-microsoft-com:office:smarttags" w:element="PersonName">
        <w:smartTagPr>
          <w:attr w:name="ProductID" w:val="la Rep￺blica"/>
        </w:smartTagPr>
        <w:r w:rsidRPr="002C18B4">
          <w:t>la República</w:t>
        </w:r>
      </w:smartTag>
      <w:r w:rsidRPr="002C18B4">
        <w:t xml:space="preserve">, </w:t>
      </w:r>
      <w:r>
        <w:t>se deben presentar de acuerdo con el</w:t>
      </w:r>
      <w:r w:rsidRPr="002C18B4">
        <w:t xml:space="preserve"> modelo establecido por </w:t>
      </w:r>
      <w:smartTag w:uri="urn:schemas-microsoft-com:office:smarttags" w:element="PersonName">
        <w:smartTagPr>
          <w:attr w:name="ProductID" w:val="la Resoluci￳n"/>
        </w:smartTagPr>
        <w:r w:rsidRPr="002C18B4">
          <w:t>la Resolución</w:t>
        </w:r>
      </w:smartTag>
      <w:r w:rsidRPr="002C18B4">
        <w:t xml:space="preserve"> del Tribunal de Cuentas del 28 de enero de 2004.</w:t>
      </w:r>
    </w:p>
    <w:p w:rsidR="00ED5324" w:rsidRDefault="00ED5324" w:rsidP="000B3466">
      <w:pPr>
        <w:tabs>
          <w:tab w:val="left" w:pos="993"/>
          <w:tab w:val="left" w:pos="1134"/>
          <w:tab w:val="center" w:pos="4252"/>
          <w:tab w:val="right" w:pos="8504"/>
        </w:tabs>
        <w:spacing w:line="360" w:lineRule="auto"/>
        <w:jc w:val="both"/>
      </w:pPr>
    </w:p>
    <w:p w:rsidR="007769FD" w:rsidRPr="002C18B4" w:rsidRDefault="007769FD" w:rsidP="000B3466">
      <w:pPr>
        <w:keepNext/>
        <w:spacing w:line="360" w:lineRule="auto"/>
        <w:outlineLvl w:val="2"/>
        <w:rPr>
          <w:b/>
          <w:bCs/>
        </w:rPr>
      </w:pPr>
      <w:bookmarkStart w:id="93" w:name="_Toc177977195"/>
      <w:bookmarkStart w:id="94" w:name="_Toc400023318"/>
      <w:r w:rsidRPr="002C18B4">
        <w:rPr>
          <w:b/>
          <w:bCs/>
        </w:rPr>
        <w:t>4.2.26 Concesiones</w:t>
      </w:r>
      <w:bookmarkEnd w:id="93"/>
      <w:bookmarkEnd w:id="94"/>
    </w:p>
    <w:p w:rsidR="007769FD" w:rsidRDefault="007769FD" w:rsidP="000B3466">
      <w:pPr>
        <w:spacing w:line="360" w:lineRule="auto"/>
        <w:jc w:val="both"/>
      </w:pPr>
      <w:r w:rsidRPr="002C18B4">
        <w:t xml:space="preserve">A efectos de dar cumplimiento a lo dispuesto por la Resolución de este Tribunal del 11 de mayo de 2005, se deben comunicar a este Tribunal antes del 31 de enero y del 31 de julio de cada año, los informes correspondientes al semestre anterior producidos por las Comisiones de Control u Oficinas que tengan a su </w:t>
      </w:r>
      <w:r w:rsidRPr="002C18B4">
        <w:lastRenderedPageBreak/>
        <w:t>cargo la verificación del cumplimiento de los contratos d</w:t>
      </w:r>
      <w:r w:rsidR="00ED5324">
        <w:t>e concesiones correspondientes.</w:t>
      </w:r>
    </w:p>
    <w:p w:rsidR="00ED5324" w:rsidRPr="002C18B4" w:rsidRDefault="00ED5324" w:rsidP="000B3466">
      <w:pPr>
        <w:spacing w:line="360" w:lineRule="auto"/>
        <w:jc w:val="both"/>
      </w:pPr>
    </w:p>
    <w:p w:rsidR="007769FD" w:rsidRPr="002C18B4" w:rsidRDefault="007769FD" w:rsidP="000B3466">
      <w:pPr>
        <w:keepNext/>
        <w:spacing w:line="360" w:lineRule="auto"/>
        <w:outlineLvl w:val="2"/>
        <w:rPr>
          <w:b/>
          <w:bCs/>
        </w:rPr>
      </w:pPr>
      <w:bookmarkStart w:id="95" w:name="_Toc400023319"/>
      <w:r w:rsidRPr="002C18B4">
        <w:rPr>
          <w:b/>
          <w:bCs/>
        </w:rPr>
        <w:t>4.2.27 Sistema informático</w:t>
      </w:r>
      <w:bookmarkEnd w:id="95"/>
    </w:p>
    <w:p w:rsidR="007769FD" w:rsidRPr="002C18B4" w:rsidRDefault="007769FD" w:rsidP="000B3466">
      <w:pPr>
        <w:tabs>
          <w:tab w:val="left" w:pos="5940"/>
          <w:tab w:val="left" w:pos="6660"/>
        </w:tabs>
        <w:spacing w:line="360" w:lineRule="auto"/>
        <w:jc w:val="both"/>
      </w:pPr>
      <w:r w:rsidRPr="002C18B4">
        <w:t xml:space="preserve">A efectos de subsanar las fallas detectadas en el sistema informático de </w:t>
      </w:r>
      <w:smartTag w:uri="urn:schemas-microsoft-com:office:smarttags" w:element="PersonName">
        <w:smartTagPr>
          <w:attr w:name="ProductID" w:val="la Intendencia"/>
        </w:smartTagPr>
        <w:r w:rsidRPr="002C18B4">
          <w:t>la Intendencia</w:t>
        </w:r>
      </w:smartTag>
      <w:r>
        <w:t>, de acuerdo con</w:t>
      </w:r>
      <w:r w:rsidRPr="002C18B4">
        <w:t xml:space="preserve"> lo expuesto en el párrafo 3.3), deberán analizarse las mismas y tomar las medidas correspondientes. Asimismo, deben implementarse controles que permitan verificar el correcto funcionamiento del software aplicado.</w:t>
      </w:r>
    </w:p>
    <w:p w:rsidR="007769FD" w:rsidRPr="002C18B4" w:rsidRDefault="007769FD" w:rsidP="000B3466">
      <w:pPr>
        <w:spacing w:line="360" w:lineRule="auto"/>
        <w:jc w:val="both"/>
        <w:rPr>
          <w:rFonts w:cs="Arial"/>
          <w:color w:val="000000"/>
        </w:rPr>
      </w:pPr>
    </w:p>
    <w:p w:rsidR="007769FD" w:rsidRPr="002C18B4" w:rsidRDefault="007769FD" w:rsidP="000B3466">
      <w:pPr>
        <w:keepNext/>
        <w:spacing w:line="360" w:lineRule="auto"/>
        <w:outlineLvl w:val="2"/>
        <w:rPr>
          <w:b/>
          <w:bCs/>
        </w:rPr>
      </w:pPr>
      <w:bookmarkStart w:id="96" w:name="_Toc234747880"/>
      <w:bookmarkStart w:id="97" w:name="_Toc239137581"/>
      <w:bookmarkStart w:id="98" w:name="_Toc400023321"/>
      <w:r w:rsidRPr="002C18B4">
        <w:rPr>
          <w:b/>
          <w:bCs/>
        </w:rPr>
        <w:t xml:space="preserve">4.2.28 </w:t>
      </w:r>
      <w:bookmarkEnd w:id="96"/>
      <w:bookmarkEnd w:id="97"/>
      <w:r w:rsidRPr="002C18B4">
        <w:rPr>
          <w:b/>
          <w:bCs/>
        </w:rPr>
        <w:t xml:space="preserve">Fondos indisponibles y </w:t>
      </w:r>
      <w:proofErr w:type="spellStart"/>
      <w:r w:rsidRPr="002C18B4">
        <w:rPr>
          <w:b/>
          <w:bCs/>
        </w:rPr>
        <w:t>extrapresupuestales</w:t>
      </w:r>
      <w:bookmarkEnd w:id="98"/>
      <w:proofErr w:type="spellEnd"/>
    </w:p>
    <w:p w:rsidR="007769FD" w:rsidRPr="002C18B4" w:rsidRDefault="007769FD" w:rsidP="000B3466">
      <w:pPr>
        <w:spacing w:line="360" w:lineRule="auto"/>
        <w:jc w:val="both"/>
        <w:rPr>
          <w:kern w:val="18"/>
          <w:szCs w:val="20"/>
        </w:rPr>
      </w:pPr>
      <w:r w:rsidRPr="002C18B4">
        <w:rPr>
          <w:kern w:val="18"/>
          <w:szCs w:val="20"/>
        </w:rPr>
        <w:t xml:space="preserve">Los saldos finales de los fondos indisponibles y </w:t>
      </w:r>
      <w:proofErr w:type="spellStart"/>
      <w:r w:rsidRPr="002C18B4">
        <w:rPr>
          <w:kern w:val="18"/>
          <w:szCs w:val="20"/>
        </w:rPr>
        <w:t>extrapresupuestales</w:t>
      </w:r>
      <w:proofErr w:type="spellEnd"/>
      <w:r w:rsidRPr="002C18B4">
        <w:rPr>
          <w:kern w:val="18"/>
          <w:szCs w:val="20"/>
        </w:rPr>
        <w:t>, deben ser proporcionados por el sistema contable y, si de la confrontación con los pagos efectuados resultan diferencias, las mismas deben ser explicadas y ajustadas en tiempo y forma a efectos de su correcta exposición.</w:t>
      </w:r>
    </w:p>
    <w:p w:rsidR="007769FD" w:rsidRPr="002C18B4" w:rsidRDefault="007769FD" w:rsidP="000B3466">
      <w:pPr>
        <w:spacing w:line="360" w:lineRule="auto"/>
        <w:jc w:val="both"/>
        <w:rPr>
          <w:kern w:val="18"/>
          <w:szCs w:val="20"/>
        </w:rPr>
      </w:pPr>
      <w:r w:rsidRPr="002C18B4">
        <w:rPr>
          <w:kern w:val="18"/>
          <w:szCs w:val="20"/>
        </w:rPr>
        <w:t xml:space="preserve">Asimismo, dicho cuadro no detalla la antigüedad de </w:t>
      </w:r>
      <w:r>
        <w:rPr>
          <w:kern w:val="18"/>
          <w:szCs w:val="20"/>
        </w:rPr>
        <w:t>los saldos no vertidos a los O</w:t>
      </w:r>
      <w:r w:rsidRPr="002C18B4">
        <w:rPr>
          <w:kern w:val="18"/>
          <w:szCs w:val="20"/>
        </w:rPr>
        <w:t>rganism</w:t>
      </w:r>
      <w:r>
        <w:rPr>
          <w:kern w:val="18"/>
          <w:szCs w:val="20"/>
        </w:rPr>
        <w:t>os destinatarios al cierre del E</w:t>
      </w:r>
      <w:r w:rsidRPr="002C18B4">
        <w:rPr>
          <w:kern w:val="18"/>
          <w:szCs w:val="20"/>
        </w:rPr>
        <w:t>jercicio.</w:t>
      </w:r>
    </w:p>
    <w:p w:rsidR="007769FD" w:rsidRPr="002C18B4" w:rsidRDefault="007769FD" w:rsidP="000B3466">
      <w:pPr>
        <w:spacing w:line="360" w:lineRule="auto"/>
        <w:jc w:val="both"/>
        <w:rPr>
          <w:kern w:val="18"/>
          <w:szCs w:val="20"/>
        </w:rPr>
      </w:pPr>
    </w:p>
    <w:p w:rsidR="007769FD" w:rsidRPr="002C18B4" w:rsidRDefault="007769FD" w:rsidP="000B3466">
      <w:pPr>
        <w:keepNext/>
        <w:spacing w:line="360" w:lineRule="auto"/>
        <w:outlineLvl w:val="2"/>
        <w:rPr>
          <w:b/>
          <w:bCs/>
        </w:rPr>
      </w:pPr>
      <w:bookmarkStart w:id="99" w:name="_Toc400023322"/>
      <w:bookmarkStart w:id="100" w:name="_Toc239757140"/>
      <w:bookmarkStart w:id="101" w:name="_Toc271807475"/>
      <w:r w:rsidRPr="002C18B4">
        <w:rPr>
          <w:b/>
          <w:bCs/>
        </w:rPr>
        <w:t>4.2.29 Conciliación de saldos</w:t>
      </w:r>
      <w:bookmarkEnd w:id="99"/>
      <w:bookmarkEnd w:id="100"/>
      <w:bookmarkEnd w:id="101"/>
    </w:p>
    <w:p w:rsidR="007769FD" w:rsidRPr="002C18B4" w:rsidRDefault="007769FD" w:rsidP="000B3466">
      <w:pPr>
        <w:spacing w:line="360" w:lineRule="auto"/>
        <w:jc w:val="both"/>
        <w:rPr>
          <w:kern w:val="18"/>
          <w:szCs w:val="20"/>
          <w:lang w:val="es-ES_tradnl"/>
        </w:rPr>
      </w:pPr>
      <w:r w:rsidRPr="002C18B4">
        <w:rPr>
          <w:kern w:val="18"/>
          <w:szCs w:val="20"/>
        </w:rPr>
        <w:t>Es</w:t>
      </w:r>
      <w:r w:rsidRPr="002C18B4">
        <w:rPr>
          <w:kern w:val="18"/>
          <w:szCs w:val="20"/>
          <w:lang w:val="es-ES_tradnl"/>
        </w:rPr>
        <w:t xml:space="preserve"> recomendable la realización periódica de conciliaciones de saldos con los acreedores, a fin de determinar </w:t>
      </w:r>
      <w:r w:rsidR="00D55E72">
        <w:rPr>
          <w:kern w:val="18"/>
          <w:szCs w:val="20"/>
          <w:lang w:val="es-ES_tradnl"/>
        </w:rPr>
        <w:t>con exactitud las obligaciones.</w:t>
      </w:r>
    </w:p>
    <w:p w:rsidR="007769FD" w:rsidRPr="002C18B4" w:rsidRDefault="007769FD" w:rsidP="000B3466">
      <w:pPr>
        <w:spacing w:line="360" w:lineRule="auto"/>
        <w:jc w:val="both"/>
        <w:rPr>
          <w:kern w:val="18"/>
          <w:szCs w:val="20"/>
          <w:lang w:val="es-ES_tradnl"/>
        </w:rPr>
      </w:pPr>
    </w:p>
    <w:p w:rsidR="007769FD" w:rsidRPr="002C18B4" w:rsidRDefault="007769FD" w:rsidP="000B3466">
      <w:pPr>
        <w:keepNext/>
        <w:spacing w:line="360" w:lineRule="auto"/>
        <w:outlineLvl w:val="2"/>
        <w:rPr>
          <w:b/>
          <w:bCs/>
        </w:rPr>
      </w:pPr>
      <w:bookmarkStart w:id="102" w:name="_Toc400023323"/>
      <w:r w:rsidRPr="002C18B4">
        <w:rPr>
          <w:b/>
          <w:bCs/>
        </w:rPr>
        <w:t>4.2.30 Proceso del gasto en Parador Palmar</w:t>
      </w:r>
      <w:bookmarkEnd w:id="102"/>
    </w:p>
    <w:p w:rsidR="007769FD" w:rsidRPr="002C18B4" w:rsidRDefault="007769FD" w:rsidP="000B3466">
      <w:pPr>
        <w:spacing w:line="360" w:lineRule="auto"/>
        <w:jc w:val="both"/>
        <w:rPr>
          <w:kern w:val="18"/>
          <w:szCs w:val="20"/>
        </w:rPr>
      </w:pPr>
      <w:smartTag w:uri="urn:schemas-microsoft-com:office:smarttags" w:element="PersonName">
        <w:smartTagPr>
          <w:attr w:name="ProductID" w:val="la Intendencia"/>
        </w:smartTagPr>
        <w:r w:rsidRPr="002C18B4">
          <w:rPr>
            <w:kern w:val="18"/>
            <w:szCs w:val="20"/>
          </w:rPr>
          <w:t>La Intendencia</w:t>
        </w:r>
      </w:smartTag>
      <w:r w:rsidRPr="002C18B4">
        <w:rPr>
          <w:kern w:val="18"/>
          <w:szCs w:val="20"/>
        </w:rPr>
        <w:t xml:space="preserve"> deberá continuar instrumentando los procedimientos correspondientes, a efectos de que todos los gastos en los que incurra se ajusten a derecho. Asimismo, se deberán tomar las medidas necesarias a efectos de que exista un adecuado control interno que permita asegurar el correcto manejo de los fondos públicos.</w:t>
      </w:r>
    </w:p>
    <w:p w:rsidR="007769FD" w:rsidRPr="002C18B4" w:rsidRDefault="007769FD" w:rsidP="000B3466">
      <w:pPr>
        <w:spacing w:line="360" w:lineRule="auto"/>
        <w:jc w:val="both"/>
      </w:pPr>
    </w:p>
    <w:p w:rsidR="007769FD" w:rsidRPr="002C18B4" w:rsidRDefault="007769FD" w:rsidP="000B3466">
      <w:pPr>
        <w:keepNext/>
        <w:spacing w:line="360" w:lineRule="auto"/>
        <w:outlineLvl w:val="2"/>
        <w:rPr>
          <w:b/>
          <w:bCs/>
        </w:rPr>
      </w:pPr>
      <w:bookmarkStart w:id="103" w:name="_Toc177977185"/>
      <w:bookmarkStart w:id="104" w:name="_Toc400023324"/>
      <w:r w:rsidRPr="002C18B4">
        <w:rPr>
          <w:b/>
          <w:bCs/>
        </w:rPr>
        <w:lastRenderedPageBreak/>
        <w:t>4.2.31 Control interno</w:t>
      </w:r>
      <w:bookmarkEnd w:id="103"/>
      <w:bookmarkEnd w:id="104"/>
    </w:p>
    <w:p w:rsidR="007769FD" w:rsidRDefault="007769FD" w:rsidP="000B3466">
      <w:pPr>
        <w:spacing w:line="360" w:lineRule="auto"/>
        <w:jc w:val="both"/>
        <w:rPr>
          <w:kern w:val="18"/>
          <w:szCs w:val="20"/>
        </w:rPr>
      </w:pPr>
      <w:smartTag w:uri="urn:schemas-microsoft-com:office:smarttags" w:element="PersonName">
        <w:smartTagPr>
          <w:attr w:name="ProductID" w:val="la Intendencia"/>
        </w:smartTagPr>
        <w:r w:rsidRPr="002C18B4">
          <w:rPr>
            <w:kern w:val="18"/>
            <w:szCs w:val="20"/>
          </w:rPr>
          <w:t>La Intendencia</w:t>
        </w:r>
      </w:smartTag>
      <w:r w:rsidRPr="002C18B4">
        <w:rPr>
          <w:kern w:val="18"/>
          <w:szCs w:val="20"/>
        </w:rPr>
        <w:t xml:space="preserve"> debería tomar las medidas necesarias para subsanar las restantes debilidades de control interno expuestas en el Capítulo 3).</w:t>
      </w:r>
    </w:p>
    <w:p w:rsidR="00ED5324" w:rsidRPr="002C18B4" w:rsidRDefault="00ED5324" w:rsidP="000B3466">
      <w:pPr>
        <w:spacing w:line="360" w:lineRule="auto"/>
        <w:jc w:val="both"/>
        <w:rPr>
          <w:kern w:val="18"/>
          <w:szCs w:val="20"/>
        </w:rPr>
      </w:pPr>
    </w:p>
    <w:p w:rsidR="007769FD" w:rsidRPr="002C18B4" w:rsidRDefault="007769FD" w:rsidP="000B3466">
      <w:pPr>
        <w:keepNext/>
        <w:spacing w:line="360" w:lineRule="auto"/>
        <w:outlineLvl w:val="2"/>
        <w:rPr>
          <w:b/>
          <w:bCs/>
          <w:kern w:val="18"/>
        </w:rPr>
      </w:pPr>
      <w:bookmarkStart w:id="105" w:name="_Toc177977188"/>
      <w:bookmarkStart w:id="106" w:name="_Toc400023325"/>
      <w:r>
        <w:rPr>
          <w:b/>
          <w:bCs/>
          <w:kern w:val="18"/>
        </w:rPr>
        <w:t>4.3 Recomendaciones del E</w:t>
      </w:r>
      <w:r w:rsidRPr="002C18B4">
        <w:rPr>
          <w:b/>
          <w:bCs/>
          <w:kern w:val="18"/>
        </w:rPr>
        <w:t>jercicio</w:t>
      </w:r>
      <w:bookmarkEnd w:id="105"/>
      <w:bookmarkEnd w:id="106"/>
    </w:p>
    <w:p w:rsidR="007769FD" w:rsidRPr="002C18B4" w:rsidRDefault="007769FD" w:rsidP="000B3466">
      <w:pPr>
        <w:spacing w:line="360" w:lineRule="auto"/>
        <w:jc w:val="both"/>
      </w:pPr>
      <w:r w:rsidRPr="002C18B4">
        <w:t>Se reiteran las recomendaciones señaladas en el numeral 4.2) y se agregan las siguientes:</w:t>
      </w:r>
    </w:p>
    <w:p w:rsidR="007769FD" w:rsidRPr="002C18B4" w:rsidRDefault="007769FD" w:rsidP="000B3466">
      <w:pPr>
        <w:spacing w:line="360" w:lineRule="auto"/>
        <w:jc w:val="both"/>
        <w:rPr>
          <w:lang w:val="es-ES_tradnl"/>
        </w:rPr>
      </w:pPr>
    </w:p>
    <w:p w:rsidR="007769FD" w:rsidRPr="002C18B4" w:rsidRDefault="007769FD" w:rsidP="000B3466">
      <w:pPr>
        <w:keepNext/>
        <w:spacing w:line="360" w:lineRule="auto"/>
        <w:outlineLvl w:val="2"/>
        <w:rPr>
          <w:b/>
          <w:bCs/>
        </w:rPr>
      </w:pPr>
      <w:bookmarkStart w:id="107" w:name="_Toc208913274"/>
      <w:bookmarkStart w:id="108" w:name="_Toc400023326"/>
      <w:r>
        <w:rPr>
          <w:b/>
          <w:bCs/>
        </w:rPr>
        <w:t>4.3.1 Ajustes al resultado del E</w:t>
      </w:r>
      <w:r w:rsidRPr="002C18B4">
        <w:rPr>
          <w:b/>
          <w:bCs/>
        </w:rPr>
        <w:t>jercicio y al resultado acumulado</w:t>
      </w:r>
      <w:bookmarkEnd w:id="107"/>
      <w:bookmarkEnd w:id="108"/>
    </w:p>
    <w:p w:rsidR="007769FD" w:rsidRPr="002C18B4" w:rsidRDefault="007769FD" w:rsidP="000B3466">
      <w:pPr>
        <w:spacing w:line="360" w:lineRule="auto"/>
        <w:jc w:val="both"/>
        <w:rPr>
          <w:kern w:val="18"/>
          <w:szCs w:val="20"/>
          <w:lang w:val="es-ES_tradnl"/>
        </w:rPr>
      </w:pPr>
      <w:smartTag w:uri="urn:schemas-microsoft-com:office:smarttags" w:element="PersonName">
        <w:smartTagPr>
          <w:attr w:name="ProductID" w:val="la Intendencia"/>
        </w:smartTagPr>
        <w:r w:rsidRPr="002C18B4">
          <w:rPr>
            <w:kern w:val="18"/>
            <w:szCs w:val="20"/>
            <w:lang w:val="es-ES_tradnl"/>
          </w:rPr>
          <w:t>La Intendencia</w:t>
        </w:r>
      </w:smartTag>
      <w:r w:rsidRPr="002C18B4">
        <w:rPr>
          <w:kern w:val="18"/>
          <w:szCs w:val="20"/>
          <w:lang w:val="es-ES_tradnl"/>
        </w:rPr>
        <w:t xml:space="preserve"> deberá conciliar con </w:t>
      </w:r>
      <w:smartTag w:uri="urn:schemas-microsoft-com:office:smarttags" w:element="PersonName">
        <w:smartTagPr>
          <w:attr w:name="ProductID" w:val="la Junta Departamental"/>
        </w:smartTagPr>
        <w:r w:rsidRPr="002C18B4">
          <w:rPr>
            <w:kern w:val="18"/>
            <w:szCs w:val="20"/>
            <w:lang w:val="es-ES_tradnl"/>
          </w:rPr>
          <w:t>la Junta Departamental</w:t>
        </w:r>
      </w:smartTag>
      <w:r w:rsidRPr="002C18B4">
        <w:rPr>
          <w:kern w:val="18"/>
          <w:szCs w:val="20"/>
          <w:lang w:val="es-ES_tradnl"/>
        </w:rPr>
        <w:t xml:space="preserve"> las cifras menciona</w:t>
      </w:r>
      <w:r w:rsidRPr="002C18B4">
        <w:rPr>
          <w:kern w:val="18"/>
          <w:szCs w:val="20"/>
          <w:lang w:val="es-ES_tradnl"/>
        </w:rPr>
        <w:softHyphen/>
        <w:t xml:space="preserve">das en el </w:t>
      </w:r>
      <w:r>
        <w:rPr>
          <w:kern w:val="18"/>
          <w:szCs w:val="20"/>
          <w:lang w:val="es-ES_tradnl"/>
        </w:rPr>
        <w:t>N</w:t>
      </w:r>
      <w:r w:rsidRPr="002C18B4">
        <w:rPr>
          <w:kern w:val="18"/>
          <w:szCs w:val="20"/>
          <w:lang w:val="es-ES_tradnl"/>
        </w:rPr>
        <w:t>umeral 1.2) y efectuar los ajustes detallados en los párra</w:t>
      </w:r>
      <w:r w:rsidRPr="002C18B4">
        <w:rPr>
          <w:kern w:val="18"/>
          <w:szCs w:val="20"/>
          <w:lang w:val="es-ES_tradnl"/>
        </w:rPr>
        <w:softHyphen/>
        <w:t>fos 1.1) a 1.4</w:t>
      </w:r>
      <w:r>
        <w:rPr>
          <w:kern w:val="18"/>
          <w:szCs w:val="20"/>
          <w:lang w:val="es-ES_tradnl"/>
        </w:rPr>
        <w:t>) para fijar el resultado del E</w:t>
      </w:r>
      <w:r w:rsidRPr="002C18B4">
        <w:rPr>
          <w:kern w:val="18"/>
          <w:szCs w:val="20"/>
          <w:lang w:val="es-ES_tradnl"/>
        </w:rPr>
        <w:t>jercicio y el resultado acumulado al 31 de diciembre de 2015 en las cifras establecidas por este Tribunal.</w:t>
      </w:r>
    </w:p>
    <w:p w:rsidR="007769FD" w:rsidRPr="002C18B4" w:rsidRDefault="007769FD" w:rsidP="000B3466">
      <w:pPr>
        <w:tabs>
          <w:tab w:val="left" w:pos="360"/>
          <w:tab w:val="num" w:pos="885"/>
        </w:tabs>
        <w:spacing w:line="360" w:lineRule="auto"/>
        <w:jc w:val="both"/>
      </w:pPr>
    </w:p>
    <w:p w:rsidR="007769FD" w:rsidRPr="002C18B4" w:rsidRDefault="007769FD" w:rsidP="000B3466">
      <w:pPr>
        <w:keepNext/>
        <w:spacing w:line="360" w:lineRule="auto"/>
        <w:outlineLvl w:val="2"/>
        <w:rPr>
          <w:b/>
          <w:bCs/>
        </w:rPr>
      </w:pPr>
      <w:r w:rsidRPr="002C18B4">
        <w:rPr>
          <w:b/>
          <w:bCs/>
        </w:rPr>
        <w:t>4.3.2 Rendición de Cuentas de los Municipios</w:t>
      </w:r>
    </w:p>
    <w:p w:rsidR="007769FD" w:rsidRPr="002C18B4" w:rsidRDefault="007769FD" w:rsidP="000B3466">
      <w:pPr>
        <w:tabs>
          <w:tab w:val="left" w:pos="360"/>
          <w:tab w:val="num" w:pos="885"/>
        </w:tabs>
        <w:spacing w:line="360" w:lineRule="auto"/>
        <w:jc w:val="both"/>
        <w:rPr>
          <w:rFonts w:cs="Arial"/>
          <w:bCs/>
          <w:color w:val="000000"/>
        </w:rPr>
      </w:pPr>
      <w:r w:rsidRPr="002C18B4">
        <w:rPr>
          <w:bCs/>
        </w:rPr>
        <w:t>Los Municipios deberán elaborar y presentar al Intendente la Rendición de Cuentas, dentro del plazo de 90 días co</w:t>
      </w:r>
      <w:r>
        <w:rPr>
          <w:bCs/>
        </w:rPr>
        <w:t>ntados a partir del cierre del E</w:t>
      </w:r>
      <w:r w:rsidRPr="002C18B4">
        <w:rPr>
          <w:bCs/>
        </w:rPr>
        <w:t>jercicio anual (Art</w:t>
      </w:r>
      <w:r>
        <w:rPr>
          <w:bCs/>
        </w:rPr>
        <w:t>ículo 13 N</w:t>
      </w:r>
      <w:r w:rsidRPr="002C18B4">
        <w:rPr>
          <w:bCs/>
        </w:rPr>
        <w:t>umeral 18 de la Ley Nº 19.272)</w:t>
      </w:r>
      <w:r w:rsidR="00D55E72">
        <w:rPr>
          <w:rFonts w:cs="Arial"/>
          <w:bCs/>
          <w:color w:val="000000"/>
        </w:rPr>
        <w:t>.</w:t>
      </w:r>
    </w:p>
    <w:p w:rsidR="007769FD" w:rsidRDefault="007769FD" w:rsidP="000B3466">
      <w:pPr>
        <w:jc w:val="right"/>
      </w:pPr>
      <w:r w:rsidRPr="002C18B4">
        <w:t>Montevideo, 24 de Octubre de 2016</w:t>
      </w:r>
    </w:p>
    <w:p w:rsidR="00ED5324" w:rsidRDefault="00ED5324" w:rsidP="000B3466">
      <w:pPr>
        <w:jc w:val="right"/>
      </w:pPr>
    </w:p>
    <w:p w:rsidR="007769FD" w:rsidRDefault="007769FD" w:rsidP="000B3466">
      <w:pPr>
        <w:jc w:val="right"/>
      </w:pPr>
    </w:p>
    <w:p w:rsidR="007769FD" w:rsidRDefault="007769FD" w:rsidP="007769FD">
      <w:pPr>
        <w:ind w:hanging="567"/>
      </w:pPr>
      <w:proofErr w:type="gramStart"/>
      <w:r>
        <w:t>dc</w:t>
      </w:r>
      <w:proofErr w:type="gramEnd"/>
    </w:p>
    <w:sectPr w:rsidR="007769FD" w:rsidSect="00E13004">
      <w:headerReference w:type="default" r:id="rId8"/>
      <w:footerReference w:type="even" r:id="rId9"/>
      <w:footerReference w:type="default" r:id="rId10"/>
      <w:pgSz w:w="11906" w:h="16838" w:code="9"/>
      <w:pgMar w:top="3119" w:right="1701" w:bottom="1701" w:left="1701" w:header="720" w:footer="720" w:gutter="0"/>
      <w:paperSrc w:first="4" w:other="4"/>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6B7" w:rsidRDefault="005976B7">
      <w:r>
        <w:separator/>
      </w:r>
    </w:p>
  </w:endnote>
  <w:endnote w:type="continuationSeparator" w:id="0">
    <w:p w:rsidR="005976B7" w:rsidRDefault="00597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F">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6B7" w:rsidRDefault="005976B7">
    <w:pPr>
      <w:framePr w:wrap="around" w:vAnchor="text" w:hAnchor="margin" w:xAlign="center" w:y="1"/>
    </w:pPr>
    <w:r>
      <w:fldChar w:fldCharType="begin"/>
    </w:r>
    <w:r>
      <w:instrText xml:space="preserve">PAGE  </w:instrText>
    </w:r>
    <w:r>
      <w:fldChar w:fldCharType="separate"/>
    </w:r>
    <w:r>
      <w:rPr>
        <w:noProof/>
      </w:rPr>
      <w:t>1</w:t>
    </w:r>
    <w:r>
      <w:fldChar w:fldCharType="end"/>
    </w:r>
  </w:p>
  <w:p w:rsidR="005976B7" w:rsidRDefault="005976B7">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6B7" w:rsidRDefault="005976B7">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364CA">
      <w:rPr>
        <w:rStyle w:val="Nmerodepgina"/>
        <w:noProof/>
      </w:rPr>
      <w:t>25</w:t>
    </w:r>
    <w:r>
      <w:rPr>
        <w:rStyle w:val="Nmerodepgina"/>
      </w:rPr>
      <w:fldChar w:fldCharType="end"/>
    </w:r>
  </w:p>
  <w:p w:rsidR="005976B7" w:rsidRDefault="005976B7">
    <w:pPr>
      <w:framePr w:wrap="around" w:vAnchor="text" w:hAnchor="margin" w:xAlign="right" w:y="1"/>
    </w:pPr>
  </w:p>
  <w:p w:rsidR="005976B7" w:rsidRDefault="005976B7">
    <w:pPr>
      <w:ind w:right="360"/>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6B7" w:rsidRDefault="005976B7">
      <w:r>
        <w:separator/>
      </w:r>
    </w:p>
  </w:footnote>
  <w:footnote w:type="continuationSeparator" w:id="0">
    <w:p w:rsidR="005976B7" w:rsidRDefault="005976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6B7" w:rsidRDefault="005976B7">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D6DD5"/>
    <w:multiLevelType w:val="hybridMultilevel"/>
    <w:tmpl w:val="64BCD720"/>
    <w:lvl w:ilvl="0" w:tplc="FA28866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01704C6"/>
    <w:multiLevelType w:val="hybridMultilevel"/>
    <w:tmpl w:val="8BF82AC4"/>
    <w:lvl w:ilvl="0" w:tplc="FE1CFDF8">
      <w:start w:val="503"/>
      <w:numFmt w:val="bullet"/>
      <w:lvlText w:val="-"/>
      <w:lvlJc w:val="left"/>
      <w:pPr>
        <w:ind w:left="360" w:hanging="360"/>
      </w:pPr>
      <w:rPr>
        <w:rFonts w:ascii="Calibri" w:eastAsia="Lucida Sans Unicode" w:hAnsi="Calibri" w:cs="F"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2">
    <w:nsid w:val="4129736A"/>
    <w:multiLevelType w:val="multilevel"/>
    <w:tmpl w:val="E370EB3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498827C5"/>
    <w:multiLevelType w:val="hybridMultilevel"/>
    <w:tmpl w:val="F68628A6"/>
    <w:lvl w:ilvl="0" w:tplc="FE1CFDF8">
      <w:start w:val="503"/>
      <w:numFmt w:val="bullet"/>
      <w:lvlText w:val="-"/>
      <w:lvlJc w:val="left"/>
      <w:pPr>
        <w:ind w:left="360" w:hanging="360"/>
      </w:pPr>
      <w:rPr>
        <w:rFonts w:ascii="Calibri" w:eastAsia="Lucida Sans Unicode" w:hAnsi="Calibri" w:cs="F"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4">
    <w:nsid w:val="4BCA4508"/>
    <w:multiLevelType w:val="hybridMultilevel"/>
    <w:tmpl w:val="F2BA839C"/>
    <w:lvl w:ilvl="0" w:tplc="FE1CFDF8">
      <w:start w:val="503"/>
      <w:numFmt w:val="bullet"/>
      <w:lvlText w:val="-"/>
      <w:lvlJc w:val="left"/>
      <w:pPr>
        <w:ind w:left="360" w:hanging="360"/>
      </w:pPr>
      <w:rPr>
        <w:rFonts w:ascii="Calibri" w:eastAsia="Lucida Sans Unicode" w:hAnsi="Calibri" w:cs="F"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5">
    <w:nsid w:val="56997AF0"/>
    <w:multiLevelType w:val="hybridMultilevel"/>
    <w:tmpl w:val="20083E04"/>
    <w:lvl w:ilvl="0" w:tplc="FE1CFDF8">
      <w:start w:val="503"/>
      <w:numFmt w:val="bullet"/>
      <w:lvlText w:val="-"/>
      <w:lvlJc w:val="left"/>
      <w:pPr>
        <w:ind w:left="720" w:hanging="360"/>
      </w:pPr>
      <w:rPr>
        <w:rFonts w:ascii="Calibri" w:eastAsia="Lucida Sans Unicode" w:hAnsi="Calibri" w:cs="F"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6">
    <w:nsid w:val="67FA29A5"/>
    <w:multiLevelType w:val="hybridMultilevel"/>
    <w:tmpl w:val="6BFCF916"/>
    <w:lvl w:ilvl="0" w:tplc="FE1CFDF8">
      <w:start w:val="503"/>
      <w:numFmt w:val="bullet"/>
      <w:lvlText w:val="-"/>
      <w:lvlJc w:val="left"/>
      <w:pPr>
        <w:ind w:left="360" w:hanging="360"/>
      </w:pPr>
      <w:rPr>
        <w:rFonts w:ascii="Calibri" w:eastAsia="Lucida Sans Unicode" w:hAnsi="Calibri" w:cs="F"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abstractNum w:abstractNumId="7">
    <w:nsid w:val="6A2736CF"/>
    <w:multiLevelType w:val="hybridMultilevel"/>
    <w:tmpl w:val="A774BD70"/>
    <w:lvl w:ilvl="0" w:tplc="691A9B28">
      <w:start w:val="1"/>
      <w:numFmt w:val="decimal"/>
      <w:lvlText w:val="%1-"/>
      <w:lvlJc w:val="left"/>
      <w:pPr>
        <w:tabs>
          <w:tab w:val="num" w:pos="525"/>
        </w:tabs>
        <w:ind w:left="525" w:hanging="525"/>
      </w:pPr>
      <w:rPr>
        <w:rFonts w:ascii="Arial" w:eastAsia="Times New Roman" w:hAnsi="Arial" w:cs="Times New Roman"/>
        <w:b/>
        <w:i w:val="0"/>
      </w:rPr>
    </w:lvl>
    <w:lvl w:ilvl="1" w:tplc="0C0A0019">
      <w:start w:val="1"/>
      <w:numFmt w:val="lowerLetter"/>
      <w:lvlText w:val="%2."/>
      <w:lvlJc w:val="left"/>
      <w:pPr>
        <w:tabs>
          <w:tab w:val="num" w:pos="2738"/>
        </w:tabs>
        <w:ind w:left="2738" w:hanging="360"/>
      </w:pPr>
    </w:lvl>
    <w:lvl w:ilvl="2" w:tplc="0C0A001B" w:tentative="1">
      <w:start w:val="1"/>
      <w:numFmt w:val="lowerRoman"/>
      <w:lvlText w:val="%3."/>
      <w:lvlJc w:val="right"/>
      <w:pPr>
        <w:tabs>
          <w:tab w:val="num" w:pos="3458"/>
        </w:tabs>
        <w:ind w:left="3458" w:hanging="180"/>
      </w:pPr>
    </w:lvl>
    <w:lvl w:ilvl="3" w:tplc="0C0A000F" w:tentative="1">
      <w:start w:val="1"/>
      <w:numFmt w:val="decimal"/>
      <w:lvlText w:val="%4."/>
      <w:lvlJc w:val="left"/>
      <w:pPr>
        <w:tabs>
          <w:tab w:val="num" w:pos="4178"/>
        </w:tabs>
        <w:ind w:left="4178" w:hanging="360"/>
      </w:pPr>
    </w:lvl>
    <w:lvl w:ilvl="4" w:tplc="0C0A0019" w:tentative="1">
      <w:start w:val="1"/>
      <w:numFmt w:val="lowerLetter"/>
      <w:lvlText w:val="%5."/>
      <w:lvlJc w:val="left"/>
      <w:pPr>
        <w:tabs>
          <w:tab w:val="num" w:pos="4898"/>
        </w:tabs>
        <w:ind w:left="4898" w:hanging="360"/>
      </w:pPr>
    </w:lvl>
    <w:lvl w:ilvl="5" w:tplc="0C0A001B" w:tentative="1">
      <w:start w:val="1"/>
      <w:numFmt w:val="lowerRoman"/>
      <w:lvlText w:val="%6."/>
      <w:lvlJc w:val="right"/>
      <w:pPr>
        <w:tabs>
          <w:tab w:val="num" w:pos="5618"/>
        </w:tabs>
        <w:ind w:left="5618" w:hanging="180"/>
      </w:pPr>
    </w:lvl>
    <w:lvl w:ilvl="6" w:tplc="0C0A000F" w:tentative="1">
      <w:start w:val="1"/>
      <w:numFmt w:val="decimal"/>
      <w:lvlText w:val="%7."/>
      <w:lvlJc w:val="left"/>
      <w:pPr>
        <w:tabs>
          <w:tab w:val="num" w:pos="6338"/>
        </w:tabs>
        <w:ind w:left="6338" w:hanging="360"/>
      </w:pPr>
    </w:lvl>
    <w:lvl w:ilvl="7" w:tplc="0C0A0019" w:tentative="1">
      <w:start w:val="1"/>
      <w:numFmt w:val="lowerLetter"/>
      <w:lvlText w:val="%8."/>
      <w:lvlJc w:val="left"/>
      <w:pPr>
        <w:tabs>
          <w:tab w:val="num" w:pos="7058"/>
        </w:tabs>
        <w:ind w:left="7058" w:hanging="360"/>
      </w:pPr>
    </w:lvl>
    <w:lvl w:ilvl="8" w:tplc="0C0A001B" w:tentative="1">
      <w:start w:val="1"/>
      <w:numFmt w:val="lowerRoman"/>
      <w:lvlText w:val="%9."/>
      <w:lvlJc w:val="right"/>
      <w:pPr>
        <w:tabs>
          <w:tab w:val="num" w:pos="7778"/>
        </w:tabs>
        <w:ind w:left="7778" w:hanging="180"/>
      </w:pPr>
    </w:lvl>
  </w:abstractNum>
  <w:abstractNum w:abstractNumId="8">
    <w:nsid w:val="6D517C02"/>
    <w:multiLevelType w:val="hybridMultilevel"/>
    <w:tmpl w:val="9F225C5A"/>
    <w:lvl w:ilvl="0" w:tplc="FE1CFDF8">
      <w:start w:val="503"/>
      <w:numFmt w:val="bullet"/>
      <w:lvlText w:val="-"/>
      <w:lvlJc w:val="left"/>
      <w:pPr>
        <w:ind w:left="360" w:hanging="360"/>
      </w:pPr>
      <w:rPr>
        <w:rFonts w:ascii="Calibri" w:eastAsia="Lucida Sans Unicode" w:hAnsi="Calibri" w:cs="F" w:hint="default"/>
      </w:rPr>
    </w:lvl>
    <w:lvl w:ilvl="1" w:tplc="380A0003" w:tentative="1">
      <w:start w:val="1"/>
      <w:numFmt w:val="bullet"/>
      <w:lvlText w:val="o"/>
      <w:lvlJc w:val="left"/>
      <w:pPr>
        <w:ind w:left="1080" w:hanging="360"/>
      </w:pPr>
      <w:rPr>
        <w:rFonts w:ascii="Courier New" w:hAnsi="Courier New" w:cs="Courier New" w:hint="default"/>
      </w:rPr>
    </w:lvl>
    <w:lvl w:ilvl="2" w:tplc="380A0005" w:tentative="1">
      <w:start w:val="1"/>
      <w:numFmt w:val="bullet"/>
      <w:lvlText w:val=""/>
      <w:lvlJc w:val="left"/>
      <w:pPr>
        <w:ind w:left="1800" w:hanging="360"/>
      </w:pPr>
      <w:rPr>
        <w:rFonts w:ascii="Wingdings" w:hAnsi="Wingdings" w:hint="default"/>
      </w:rPr>
    </w:lvl>
    <w:lvl w:ilvl="3" w:tplc="380A0001" w:tentative="1">
      <w:start w:val="1"/>
      <w:numFmt w:val="bullet"/>
      <w:lvlText w:val=""/>
      <w:lvlJc w:val="left"/>
      <w:pPr>
        <w:ind w:left="2520" w:hanging="360"/>
      </w:pPr>
      <w:rPr>
        <w:rFonts w:ascii="Symbol" w:hAnsi="Symbol" w:hint="default"/>
      </w:rPr>
    </w:lvl>
    <w:lvl w:ilvl="4" w:tplc="380A0003" w:tentative="1">
      <w:start w:val="1"/>
      <w:numFmt w:val="bullet"/>
      <w:lvlText w:val="o"/>
      <w:lvlJc w:val="left"/>
      <w:pPr>
        <w:ind w:left="3240" w:hanging="360"/>
      </w:pPr>
      <w:rPr>
        <w:rFonts w:ascii="Courier New" w:hAnsi="Courier New" w:cs="Courier New" w:hint="default"/>
      </w:rPr>
    </w:lvl>
    <w:lvl w:ilvl="5" w:tplc="380A0005" w:tentative="1">
      <w:start w:val="1"/>
      <w:numFmt w:val="bullet"/>
      <w:lvlText w:val=""/>
      <w:lvlJc w:val="left"/>
      <w:pPr>
        <w:ind w:left="3960" w:hanging="360"/>
      </w:pPr>
      <w:rPr>
        <w:rFonts w:ascii="Wingdings" w:hAnsi="Wingdings" w:hint="default"/>
      </w:rPr>
    </w:lvl>
    <w:lvl w:ilvl="6" w:tplc="380A0001" w:tentative="1">
      <w:start w:val="1"/>
      <w:numFmt w:val="bullet"/>
      <w:lvlText w:val=""/>
      <w:lvlJc w:val="left"/>
      <w:pPr>
        <w:ind w:left="4680" w:hanging="360"/>
      </w:pPr>
      <w:rPr>
        <w:rFonts w:ascii="Symbol" w:hAnsi="Symbol" w:hint="default"/>
      </w:rPr>
    </w:lvl>
    <w:lvl w:ilvl="7" w:tplc="380A0003" w:tentative="1">
      <w:start w:val="1"/>
      <w:numFmt w:val="bullet"/>
      <w:lvlText w:val="o"/>
      <w:lvlJc w:val="left"/>
      <w:pPr>
        <w:ind w:left="5400" w:hanging="360"/>
      </w:pPr>
      <w:rPr>
        <w:rFonts w:ascii="Courier New" w:hAnsi="Courier New" w:cs="Courier New" w:hint="default"/>
      </w:rPr>
    </w:lvl>
    <w:lvl w:ilvl="8" w:tplc="380A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8"/>
  </w:num>
  <w:num w:numId="4">
    <w:abstractNumId w:val="5"/>
  </w:num>
  <w:num w:numId="5">
    <w:abstractNumId w:val="2"/>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427"/>
    <w:rsid w:val="0005501F"/>
    <w:rsid w:val="000B3466"/>
    <w:rsid w:val="001A0427"/>
    <w:rsid w:val="001B0C99"/>
    <w:rsid w:val="001D0138"/>
    <w:rsid w:val="002C2939"/>
    <w:rsid w:val="003364CA"/>
    <w:rsid w:val="004F4134"/>
    <w:rsid w:val="00561B16"/>
    <w:rsid w:val="005976B7"/>
    <w:rsid w:val="005F2FD7"/>
    <w:rsid w:val="00764E88"/>
    <w:rsid w:val="007769FD"/>
    <w:rsid w:val="00902472"/>
    <w:rsid w:val="00995EDB"/>
    <w:rsid w:val="00C90F78"/>
    <w:rsid w:val="00D55E72"/>
    <w:rsid w:val="00E13004"/>
    <w:rsid w:val="00ED5324"/>
    <w:rsid w:val="00F845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427"/>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7769FD"/>
    <w:pPr>
      <w:keepNext/>
      <w:spacing w:before="240" w:after="60"/>
      <w:outlineLvl w:val="0"/>
    </w:pPr>
    <w:rPr>
      <w:rFonts w:cs="Arial"/>
      <w:b/>
      <w:bCs/>
      <w:kern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A0427"/>
  </w:style>
  <w:style w:type="paragraph" w:styleId="Piedepgina">
    <w:name w:val="footer"/>
    <w:basedOn w:val="Normal"/>
    <w:link w:val="PiedepginaCar"/>
    <w:rsid w:val="001A0427"/>
    <w:pPr>
      <w:tabs>
        <w:tab w:val="center" w:pos="4419"/>
        <w:tab w:val="right" w:pos="8838"/>
      </w:tabs>
      <w:spacing w:line="360" w:lineRule="auto"/>
      <w:jc w:val="both"/>
    </w:pPr>
    <w:rPr>
      <w:kern w:val="18"/>
      <w:lang w:val="es-ES_tradnl"/>
    </w:rPr>
  </w:style>
  <w:style w:type="character" w:customStyle="1" w:styleId="PiedepginaCar">
    <w:name w:val="Pie de página Car"/>
    <w:basedOn w:val="Fuentedeprrafopredeter"/>
    <w:link w:val="Piedepgina"/>
    <w:rsid w:val="001A0427"/>
    <w:rPr>
      <w:rFonts w:ascii="Arial" w:eastAsia="Times New Roman" w:hAnsi="Arial" w:cs="Times New Roman"/>
      <w:kern w:val="18"/>
      <w:sz w:val="24"/>
      <w:szCs w:val="24"/>
      <w:lang w:val="es-ES_tradnl" w:eastAsia="es-ES"/>
    </w:rPr>
  </w:style>
  <w:style w:type="paragraph" w:styleId="Prrafodelista">
    <w:name w:val="List Paragraph"/>
    <w:basedOn w:val="Normal"/>
    <w:uiPriority w:val="34"/>
    <w:qFormat/>
    <w:rsid w:val="00561B16"/>
    <w:pPr>
      <w:ind w:left="720"/>
      <w:contextualSpacing/>
    </w:pPr>
  </w:style>
  <w:style w:type="character" w:customStyle="1" w:styleId="Ttulo1Car">
    <w:name w:val="Título 1 Car"/>
    <w:basedOn w:val="Fuentedeprrafopredeter"/>
    <w:link w:val="Ttulo1"/>
    <w:rsid w:val="007769FD"/>
    <w:rPr>
      <w:rFonts w:ascii="Arial" w:eastAsia="Times New Roman" w:hAnsi="Arial" w:cs="Arial"/>
      <w:b/>
      <w:bCs/>
      <w:kern w:val="32"/>
      <w:sz w:val="24"/>
      <w:szCs w:val="32"/>
      <w:lang w:eastAsia="es-ES"/>
    </w:rPr>
  </w:style>
  <w:style w:type="paragraph" w:styleId="Textoindependiente">
    <w:name w:val="Body Text"/>
    <w:basedOn w:val="Normal"/>
    <w:link w:val="TextoindependienteCar"/>
    <w:rsid w:val="007769FD"/>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rsid w:val="007769FD"/>
    <w:rPr>
      <w:rFonts w:ascii="Arial" w:eastAsia="Times New Roman" w:hAnsi="Arial" w:cs="Times New Roman"/>
      <w:kern w:val="18"/>
      <w:sz w:val="24"/>
      <w:szCs w:val="20"/>
      <w:lang w:val="es-ES_tradnl" w:eastAsia="es-ES"/>
    </w:rPr>
  </w:style>
  <w:style w:type="paragraph" w:styleId="Subttulo">
    <w:name w:val="Subtitle"/>
    <w:basedOn w:val="Normal"/>
    <w:link w:val="SubttuloCar"/>
    <w:qFormat/>
    <w:rsid w:val="007769FD"/>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7769FD"/>
    <w:rPr>
      <w:rFonts w:ascii="Bookman Old Style" w:eastAsia="Times New Roman" w:hAnsi="Bookman Old Style" w:cs="Times New Roman"/>
      <w:b/>
      <w:kern w:val="18"/>
      <w:sz w:val="24"/>
      <w:szCs w:val="20"/>
      <w:lang w:eastAsia="es-ES"/>
    </w:rPr>
  </w:style>
  <w:style w:type="paragraph" w:styleId="Encabezado">
    <w:name w:val="header"/>
    <w:basedOn w:val="Normal"/>
    <w:link w:val="EncabezadoCar"/>
    <w:rsid w:val="007769FD"/>
    <w:pPr>
      <w:tabs>
        <w:tab w:val="center" w:pos="4419"/>
        <w:tab w:val="right" w:pos="8838"/>
      </w:tabs>
    </w:pPr>
  </w:style>
  <w:style w:type="character" w:customStyle="1" w:styleId="EncabezadoCar">
    <w:name w:val="Encabezado Car"/>
    <w:basedOn w:val="Fuentedeprrafopredeter"/>
    <w:link w:val="Encabezado"/>
    <w:rsid w:val="007769FD"/>
    <w:rPr>
      <w:rFonts w:ascii="Arial" w:eastAsia="Times New Roman" w:hAnsi="Arial"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427"/>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7769FD"/>
    <w:pPr>
      <w:keepNext/>
      <w:spacing w:before="240" w:after="60"/>
      <w:outlineLvl w:val="0"/>
    </w:pPr>
    <w:rPr>
      <w:rFonts w:cs="Arial"/>
      <w:b/>
      <w:bCs/>
      <w:kern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1A0427"/>
  </w:style>
  <w:style w:type="paragraph" w:styleId="Piedepgina">
    <w:name w:val="footer"/>
    <w:basedOn w:val="Normal"/>
    <w:link w:val="PiedepginaCar"/>
    <w:rsid w:val="001A0427"/>
    <w:pPr>
      <w:tabs>
        <w:tab w:val="center" w:pos="4419"/>
        <w:tab w:val="right" w:pos="8838"/>
      </w:tabs>
      <w:spacing w:line="360" w:lineRule="auto"/>
      <w:jc w:val="both"/>
    </w:pPr>
    <w:rPr>
      <w:kern w:val="18"/>
      <w:lang w:val="es-ES_tradnl"/>
    </w:rPr>
  </w:style>
  <w:style w:type="character" w:customStyle="1" w:styleId="PiedepginaCar">
    <w:name w:val="Pie de página Car"/>
    <w:basedOn w:val="Fuentedeprrafopredeter"/>
    <w:link w:val="Piedepgina"/>
    <w:rsid w:val="001A0427"/>
    <w:rPr>
      <w:rFonts w:ascii="Arial" w:eastAsia="Times New Roman" w:hAnsi="Arial" w:cs="Times New Roman"/>
      <w:kern w:val="18"/>
      <w:sz w:val="24"/>
      <w:szCs w:val="24"/>
      <w:lang w:val="es-ES_tradnl" w:eastAsia="es-ES"/>
    </w:rPr>
  </w:style>
  <w:style w:type="paragraph" w:styleId="Prrafodelista">
    <w:name w:val="List Paragraph"/>
    <w:basedOn w:val="Normal"/>
    <w:uiPriority w:val="34"/>
    <w:qFormat/>
    <w:rsid w:val="00561B16"/>
    <w:pPr>
      <w:ind w:left="720"/>
      <w:contextualSpacing/>
    </w:pPr>
  </w:style>
  <w:style w:type="character" w:customStyle="1" w:styleId="Ttulo1Car">
    <w:name w:val="Título 1 Car"/>
    <w:basedOn w:val="Fuentedeprrafopredeter"/>
    <w:link w:val="Ttulo1"/>
    <w:rsid w:val="007769FD"/>
    <w:rPr>
      <w:rFonts w:ascii="Arial" w:eastAsia="Times New Roman" w:hAnsi="Arial" w:cs="Arial"/>
      <w:b/>
      <w:bCs/>
      <w:kern w:val="32"/>
      <w:sz w:val="24"/>
      <w:szCs w:val="32"/>
      <w:lang w:eastAsia="es-ES"/>
    </w:rPr>
  </w:style>
  <w:style w:type="paragraph" w:styleId="Textoindependiente">
    <w:name w:val="Body Text"/>
    <w:basedOn w:val="Normal"/>
    <w:link w:val="TextoindependienteCar"/>
    <w:rsid w:val="007769FD"/>
    <w:pPr>
      <w:spacing w:after="240" w:line="240" w:lineRule="atLeast"/>
      <w:jc w:val="both"/>
    </w:pPr>
    <w:rPr>
      <w:kern w:val="18"/>
      <w:szCs w:val="20"/>
      <w:lang w:val="es-ES_tradnl"/>
    </w:rPr>
  </w:style>
  <w:style w:type="character" w:customStyle="1" w:styleId="TextoindependienteCar">
    <w:name w:val="Texto independiente Car"/>
    <w:basedOn w:val="Fuentedeprrafopredeter"/>
    <w:link w:val="Textoindependiente"/>
    <w:rsid w:val="007769FD"/>
    <w:rPr>
      <w:rFonts w:ascii="Arial" w:eastAsia="Times New Roman" w:hAnsi="Arial" w:cs="Times New Roman"/>
      <w:kern w:val="18"/>
      <w:sz w:val="24"/>
      <w:szCs w:val="20"/>
      <w:lang w:val="es-ES_tradnl" w:eastAsia="es-ES"/>
    </w:rPr>
  </w:style>
  <w:style w:type="paragraph" w:styleId="Subttulo">
    <w:name w:val="Subtitle"/>
    <w:basedOn w:val="Normal"/>
    <w:link w:val="SubttuloCar"/>
    <w:qFormat/>
    <w:rsid w:val="007769FD"/>
    <w:pPr>
      <w:spacing w:line="360" w:lineRule="auto"/>
      <w:jc w:val="both"/>
    </w:pPr>
    <w:rPr>
      <w:rFonts w:ascii="Bookman Old Style" w:hAnsi="Bookman Old Style"/>
      <w:b/>
      <w:kern w:val="18"/>
      <w:szCs w:val="20"/>
    </w:rPr>
  </w:style>
  <w:style w:type="character" w:customStyle="1" w:styleId="SubttuloCar">
    <w:name w:val="Subtítulo Car"/>
    <w:basedOn w:val="Fuentedeprrafopredeter"/>
    <w:link w:val="Subttulo"/>
    <w:rsid w:val="007769FD"/>
    <w:rPr>
      <w:rFonts w:ascii="Bookman Old Style" w:eastAsia="Times New Roman" w:hAnsi="Bookman Old Style" w:cs="Times New Roman"/>
      <w:b/>
      <w:kern w:val="18"/>
      <w:sz w:val="24"/>
      <w:szCs w:val="20"/>
      <w:lang w:eastAsia="es-ES"/>
    </w:rPr>
  </w:style>
  <w:style w:type="paragraph" w:styleId="Encabezado">
    <w:name w:val="header"/>
    <w:basedOn w:val="Normal"/>
    <w:link w:val="EncabezadoCar"/>
    <w:rsid w:val="007769FD"/>
    <w:pPr>
      <w:tabs>
        <w:tab w:val="center" w:pos="4419"/>
        <w:tab w:val="right" w:pos="8838"/>
      </w:tabs>
    </w:pPr>
  </w:style>
  <w:style w:type="character" w:customStyle="1" w:styleId="EncabezadoCar">
    <w:name w:val="Encabezado Car"/>
    <w:basedOn w:val="Fuentedeprrafopredeter"/>
    <w:link w:val="Encabezado"/>
    <w:rsid w:val="007769FD"/>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25</Pages>
  <Words>5842</Words>
  <Characters>32133</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2016-11-04T18:20:00Z</cp:lastPrinted>
  <dcterms:created xsi:type="dcterms:W3CDTF">2016-11-04T18:21:00Z</dcterms:created>
  <dcterms:modified xsi:type="dcterms:W3CDTF">2017-07-06T19:31:00Z</dcterms:modified>
</cp:coreProperties>
</file>