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C3" w:rsidRPr="00161683" w:rsidRDefault="001762C3" w:rsidP="001762C3">
      <w:pPr>
        <w:tabs>
          <w:tab w:val="center" w:pos="4253"/>
        </w:tabs>
        <w:suppressAutoHyphens/>
        <w:spacing w:after="0" w:line="240" w:lineRule="auto"/>
        <w:jc w:val="right"/>
        <w:rPr>
          <w:rFonts w:ascii="Arial" w:hAnsi="Arial" w:cs="Arial"/>
          <w:b/>
          <w:sz w:val="24"/>
          <w:szCs w:val="24"/>
          <w:lang w:val="es-ES_tradnl"/>
        </w:rPr>
      </w:pPr>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w:t>
      </w:r>
      <w:r>
        <w:rPr>
          <w:rFonts w:ascii="Arial" w:hAnsi="Arial" w:cs="Arial"/>
          <w:b/>
          <w:sz w:val="24"/>
          <w:szCs w:val="24"/>
          <w:lang w:val="es-ES_tradnl"/>
        </w:rPr>
        <w:t>893</w:t>
      </w:r>
      <w:r>
        <w:rPr>
          <w:rFonts w:ascii="Arial" w:hAnsi="Arial" w:cs="Arial"/>
          <w:b/>
          <w:sz w:val="24"/>
          <w:szCs w:val="24"/>
          <w:lang w:val="es-ES_tradnl"/>
        </w:rPr>
        <w:t>/17</w:t>
      </w:r>
    </w:p>
    <w:p w:rsidR="001762C3" w:rsidRDefault="001762C3" w:rsidP="001762C3">
      <w:pPr>
        <w:tabs>
          <w:tab w:val="center" w:pos="4253"/>
        </w:tabs>
        <w:suppressAutoHyphens/>
        <w:spacing w:after="0" w:line="240" w:lineRule="auto"/>
        <w:jc w:val="center"/>
        <w:rPr>
          <w:rFonts w:ascii="Arial" w:hAnsi="Arial" w:cs="Arial"/>
          <w:b/>
          <w:sz w:val="24"/>
          <w:szCs w:val="24"/>
          <w:lang w:val="es-ES_tradnl"/>
        </w:rPr>
      </w:pPr>
    </w:p>
    <w:p w:rsidR="001762C3" w:rsidRPr="004746D1" w:rsidRDefault="001762C3" w:rsidP="001762C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1762C3" w:rsidRPr="004746D1" w:rsidRDefault="001762C3" w:rsidP="001762C3">
      <w:pPr>
        <w:tabs>
          <w:tab w:val="left" w:pos="-720"/>
        </w:tabs>
        <w:suppressAutoHyphens/>
        <w:spacing w:after="0" w:line="240" w:lineRule="auto"/>
        <w:jc w:val="center"/>
        <w:rPr>
          <w:rFonts w:ascii="Arial" w:hAnsi="Arial" w:cs="Arial"/>
          <w:b/>
          <w:sz w:val="24"/>
          <w:szCs w:val="24"/>
          <w:lang w:val="es-ES_tradnl"/>
        </w:rPr>
      </w:pPr>
    </w:p>
    <w:p w:rsidR="001762C3" w:rsidRPr="004746D1" w:rsidRDefault="001762C3" w:rsidP="001762C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1762C3" w:rsidRPr="004746D1" w:rsidRDefault="001762C3" w:rsidP="001762C3">
      <w:pPr>
        <w:tabs>
          <w:tab w:val="left" w:pos="-720"/>
        </w:tabs>
        <w:suppressAutoHyphens/>
        <w:spacing w:after="0" w:line="240" w:lineRule="auto"/>
        <w:jc w:val="center"/>
        <w:rPr>
          <w:rFonts w:ascii="Arial" w:hAnsi="Arial" w:cs="Arial"/>
          <w:b/>
          <w:sz w:val="24"/>
          <w:szCs w:val="24"/>
          <w:lang w:val="es-ES_tradnl"/>
        </w:rPr>
      </w:pPr>
    </w:p>
    <w:p w:rsidR="001762C3" w:rsidRPr="004746D1" w:rsidRDefault="001762C3" w:rsidP="001762C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15 DE MARZO DE 2017</w:t>
      </w:r>
    </w:p>
    <w:p w:rsidR="001762C3" w:rsidRPr="004746D1" w:rsidRDefault="001762C3" w:rsidP="001762C3">
      <w:pPr>
        <w:tabs>
          <w:tab w:val="center" w:pos="4253"/>
        </w:tabs>
        <w:suppressAutoHyphens/>
        <w:spacing w:after="0" w:line="240" w:lineRule="auto"/>
        <w:jc w:val="center"/>
        <w:rPr>
          <w:rFonts w:ascii="Arial" w:hAnsi="Arial" w:cs="Arial"/>
          <w:b/>
          <w:sz w:val="24"/>
          <w:szCs w:val="24"/>
          <w:lang w:val="es-ES_tradnl"/>
        </w:rPr>
      </w:pPr>
    </w:p>
    <w:p w:rsidR="001762C3" w:rsidRPr="004746D1" w:rsidRDefault="001762C3" w:rsidP="001762C3">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2014-17-1-0004930</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843</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1762C3" w:rsidRDefault="001762C3" w:rsidP="00E23AE6">
      <w:pPr>
        <w:suppressAutoHyphens/>
        <w:spacing w:after="0" w:line="360" w:lineRule="auto"/>
        <w:ind w:firstLine="709"/>
        <w:jc w:val="both"/>
        <w:rPr>
          <w:rFonts w:ascii="Arial" w:hAnsi="Arial"/>
          <w:spacing w:val="-3"/>
          <w:sz w:val="24"/>
          <w:lang w:val="es-ES_tradnl"/>
        </w:rPr>
      </w:pPr>
    </w:p>
    <w:p w:rsidR="00E23AE6" w:rsidRDefault="00E23AE6" w:rsidP="00E23AE6">
      <w:pPr>
        <w:suppressAutoHyphens/>
        <w:spacing w:after="0" w:line="360" w:lineRule="auto"/>
        <w:ind w:firstLine="709"/>
        <w:jc w:val="both"/>
        <w:rPr>
          <w:rFonts w:ascii="Arial" w:hAnsi="Arial"/>
        </w:rPr>
      </w:pPr>
      <w:r>
        <w:rPr>
          <w:rFonts w:ascii="Arial" w:hAnsi="Arial"/>
          <w:spacing w:val="-3"/>
          <w:sz w:val="24"/>
          <w:lang w:val="es-ES_tradnl"/>
        </w:rPr>
        <w:t xml:space="preserve"> </w:t>
      </w:r>
    </w:p>
    <w:p w:rsidR="009C3B59" w:rsidRDefault="009C3B59" w:rsidP="00E23AE6">
      <w:pPr>
        <w:pStyle w:val="Ttulo"/>
        <w:ind w:firstLine="709"/>
        <w:jc w:val="both"/>
        <w:rPr>
          <w:u w:val="none"/>
        </w:rPr>
      </w:pPr>
      <w:r>
        <w:rPr>
          <w:u w:val="none"/>
        </w:rPr>
        <w:t xml:space="preserve">VISTO: </w:t>
      </w:r>
      <w:r>
        <w:rPr>
          <w:b w:val="0"/>
          <w:bCs w:val="0"/>
          <w:u w:val="none"/>
        </w:rPr>
        <w:t xml:space="preserve">la Nota Nº 44/17 de fecha 01/02/17 remitida por Presidencia de la República </w:t>
      </w:r>
      <w:r w:rsidR="0032667E">
        <w:rPr>
          <w:b w:val="0"/>
          <w:bCs w:val="0"/>
          <w:u w:val="none"/>
        </w:rPr>
        <w:t>-</w:t>
      </w:r>
      <w:r>
        <w:rPr>
          <w:b w:val="0"/>
          <w:bCs w:val="0"/>
          <w:u w:val="none"/>
        </w:rPr>
        <w:t xml:space="preserve"> OPP</w:t>
      </w:r>
      <w:r w:rsidR="00C44DE8">
        <w:rPr>
          <w:b w:val="0"/>
          <w:bCs w:val="0"/>
          <w:u w:val="none"/>
        </w:rPr>
        <w:t>,</w:t>
      </w:r>
      <w:r>
        <w:rPr>
          <w:b w:val="0"/>
          <w:bCs w:val="0"/>
          <w:u w:val="none"/>
        </w:rPr>
        <w:t xml:space="preserve"> relacionada con la ampliación de la Licitación Pública Internacional Nº 01/2014 referente a la ejecución de </w:t>
      </w:r>
      <w:r w:rsidR="00C44DE8">
        <w:rPr>
          <w:b w:val="0"/>
          <w:bCs w:val="0"/>
          <w:u w:val="none"/>
        </w:rPr>
        <w:t>C</w:t>
      </w:r>
      <w:r>
        <w:rPr>
          <w:b w:val="0"/>
          <w:bCs w:val="0"/>
          <w:u w:val="none"/>
        </w:rPr>
        <w:t xml:space="preserve">onstrucción de </w:t>
      </w:r>
      <w:r w:rsidR="00C44DE8">
        <w:rPr>
          <w:b w:val="0"/>
          <w:bCs w:val="0"/>
          <w:u w:val="none"/>
        </w:rPr>
        <w:t>P</w:t>
      </w:r>
      <w:r>
        <w:rPr>
          <w:b w:val="0"/>
          <w:bCs w:val="0"/>
          <w:u w:val="none"/>
        </w:rPr>
        <w:t xml:space="preserve">uentes sobre Paso del Bote en la ciudad de Tacuarembó; </w:t>
      </w:r>
    </w:p>
    <w:p w:rsidR="009C3B59" w:rsidRDefault="009C3B59" w:rsidP="00C44DE8">
      <w:pPr>
        <w:pStyle w:val="Ttulo"/>
        <w:ind w:firstLine="709"/>
        <w:jc w:val="both"/>
        <w:rPr>
          <w:b w:val="0"/>
          <w:bCs w:val="0"/>
          <w:u w:val="none"/>
          <w:lang w:val="es-ES_tradnl"/>
        </w:rPr>
      </w:pPr>
      <w:r>
        <w:rPr>
          <w:u w:val="none"/>
        </w:rPr>
        <w:t xml:space="preserve">RESULTANDO: 1) </w:t>
      </w:r>
      <w:r>
        <w:rPr>
          <w:b w:val="0"/>
          <w:bCs w:val="0"/>
          <w:u w:val="none"/>
        </w:rPr>
        <w:t>que el Intendente,</w:t>
      </w:r>
      <w:r w:rsidR="00C44DE8">
        <w:rPr>
          <w:b w:val="0"/>
          <w:bCs w:val="0"/>
          <w:u w:val="none"/>
        </w:rPr>
        <w:t xml:space="preserve"> </w:t>
      </w:r>
      <w:r>
        <w:rPr>
          <w:b w:val="0"/>
          <w:bCs w:val="0"/>
          <w:u w:val="none"/>
        </w:rPr>
        <w:t xml:space="preserve">por Resolución Nº 807/2014 de fecha </w:t>
      </w:r>
      <w:r w:rsidR="00C44DE8">
        <w:rPr>
          <w:b w:val="0"/>
          <w:bCs w:val="0"/>
          <w:u w:val="none"/>
        </w:rPr>
        <w:t>0</w:t>
      </w:r>
      <w:r>
        <w:rPr>
          <w:b w:val="0"/>
          <w:bCs w:val="0"/>
          <w:u w:val="none"/>
        </w:rPr>
        <w:t>5</w:t>
      </w:r>
      <w:r w:rsidR="00C44DE8">
        <w:rPr>
          <w:b w:val="0"/>
          <w:bCs w:val="0"/>
          <w:u w:val="none"/>
        </w:rPr>
        <w:t>/</w:t>
      </w:r>
      <w:r>
        <w:rPr>
          <w:b w:val="0"/>
          <w:bCs w:val="0"/>
          <w:u w:val="none"/>
        </w:rPr>
        <w:t>06</w:t>
      </w:r>
      <w:r w:rsidR="00C44DE8">
        <w:rPr>
          <w:b w:val="0"/>
          <w:bCs w:val="0"/>
          <w:u w:val="none"/>
        </w:rPr>
        <w:t>/</w:t>
      </w:r>
      <w:r>
        <w:rPr>
          <w:b w:val="0"/>
          <w:bCs w:val="0"/>
          <w:u w:val="none"/>
        </w:rPr>
        <w:t xml:space="preserve">14, adjudicó el llamado a la firma Consorcio </w:t>
      </w:r>
      <w:proofErr w:type="spellStart"/>
      <w:r>
        <w:rPr>
          <w:b w:val="0"/>
          <w:bCs w:val="0"/>
          <w:u w:val="none"/>
        </w:rPr>
        <w:t>Saceem</w:t>
      </w:r>
      <w:proofErr w:type="spellEnd"/>
      <w:r>
        <w:rPr>
          <w:b w:val="0"/>
          <w:bCs w:val="0"/>
          <w:u w:val="none"/>
        </w:rPr>
        <w:t xml:space="preserve"> SA-José </w:t>
      </w:r>
      <w:proofErr w:type="spellStart"/>
      <w:r>
        <w:rPr>
          <w:b w:val="0"/>
          <w:bCs w:val="0"/>
          <w:u w:val="none"/>
        </w:rPr>
        <w:t>Cujó</w:t>
      </w:r>
      <w:proofErr w:type="spellEnd"/>
      <w:r>
        <w:rPr>
          <w:b w:val="0"/>
          <w:bCs w:val="0"/>
          <w:u w:val="none"/>
        </w:rPr>
        <w:t xml:space="preserve"> SA</w:t>
      </w:r>
      <w:r w:rsidR="00C44DE8">
        <w:rPr>
          <w:b w:val="0"/>
          <w:bCs w:val="0"/>
          <w:u w:val="none"/>
        </w:rPr>
        <w:t>,</w:t>
      </w:r>
      <w:r>
        <w:rPr>
          <w:b w:val="0"/>
          <w:bCs w:val="0"/>
          <w:u w:val="none"/>
        </w:rPr>
        <w:t xml:space="preserve"> por un total de $ 188:938.548, IVA y Leyes Sociales incluidos, más los ajustes paramétricos;</w:t>
      </w:r>
      <w:r>
        <w:rPr>
          <w:b w:val="0"/>
          <w:bCs w:val="0"/>
          <w:u w:val="none"/>
          <w:lang w:val="es-ES_tradnl"/>
        </w:rPr>
        <w:t xml:space="preserve">   </w:t>
      </w:r>
    </w:p>
    <w:p w:rsidR="00C44DE8" w:rsidRDefault="009C3B59" w:rsidP="00C44DE8">
      <w:pPr>
        <w:pStyle w:val="Ttulo"/>
        <w:ind w:firstLine="2552"/>
        <w:jc w:val="both"/>
        <w:rPr>
          <w:b w:val="0"/>
          <w:bCs w:val="0"/>
          <w:u w:val="none"/>
          <w:lang w:val="es-ES_tradnl"/>
        </w:rPr>
      </w:pPr>
      <w:r>
        <w:rPr>
          <w:u w:val="none"/>
          <w:lang w:val="es-ES_tradnl"/>
        </w:rPr>
        <w:t>2)</w:t>
      </w:r>
      <w:r>
        <w:rPr>
          <w:b w:val="0"/>
          <w:bCs w:val="0"/>
          <w:u w:val="none"/>
          <w:lang w:val="es-ES_tradnl"/>
        </w:rPr>
        <w:t xml:space="preserve"> que este Tribunal con fecha 10</w:t>
      </w:r>
      <w:r w:rsidR="00C44DE8">
        <w:rPr>
          <w:b w:val="0"/>
          <w:bCs w:val="0"/>
          <w:u w:val="none"/>
          <w:lang w:val="es-ES_tradnl"/>
        </w:rPr>
        <w:t>/</w:t>
      </w:r>
      <w:r>
        <w:rPr>
          <w:b w:val="0"/>
          <w:bCs w:val="0"/>
          <w:u w:val="none"/>
          <w:lang w:val="es-ES_tradnl"/>
        </w:rPr>
        <w:t>12</w:t>
      </w:r>
      <w:r w:rsidR="00C44DE8">
        <w:rPr>
          <w:b w:val="0"/>
          <w:bCs w:val="0"/>
          <w:u w:val="none"/>
          <w:lang w:val="es-ES_tradnl"/>
        </w:rPr>
        <w:t>/</w:t>
      </w:r>
      <w:r>
        <w:rPr>
          <w:b w:val="0"/>
          <w:bCs w:val="0"/>
          <w:u w:val="none"/>
          <w:lang w:val="es-ES_tradnl"/>
        </w:rPr>
        <w:t xml:space="preserve">14, considerando de aplicación al procedimiento el </w:t>
      </w:r>
      <w:r w:rsidR="00C44DE8">
        <w:rPr>
          <w:b w:val="0"/>
          <w:bCs w:val="0"/>
          <w:u w:val="none"/>
          <w:lang w:val="es-ES_tradnl"/>
        </w:rPr>
        <w:t>A</w:t>
      </w:r>
      <w:r>
        <w:rPr>
          <w:b w:val="0"/>
          <w:bCs w:val="0"/>
          <w:u w:val="none"/>
          <w:lang w:val="es-ES_tradnl"/>
        </w:rPr>
        <w:t>rt</w:t>
      </w:r>
      <w:r w:rsidR="00C44DE8">
        <w:rPr>
          <w:b w:val="0"/>
          <w:bCs w:val="0"/>
          <w:u w:val="none"/>
          <w:lang w:val="es-ES_tradnl"/>
        </w:rPr>
        <w:t>ículo</w:t>
      </w:r>
      <w:r>
        <w:rPr>
          <w:b w:val="0"/>
          <w:bCs w:val="0"/>
          <w:u w:val="none"/>
          <w:lang w:val="es-ES_tradnl"/>
        </w:rPr>
        <w:t xml:space="preserve"> 45 del TOCAF, por tratarse de un contrato de obra financiado parcialmente por un organismo internacional de crédito, acordó cometer a la Contadora Delegada ante Presidencia de la República la intervención de la transferencia a realizar por $ 86</w:t>
      </w:r>
      <w:r w:rsidR="00C44DE8">
        <w:rPr>
          <w:b w:val="0"/>
          <w:bCs w:val="0"/>
          <w:u w:val="none"/>
          <w:lang w:val="es-ES_tradnl"/>
        </w:rPr>
        <w:t>:</w:t>
      </w:r>
      <w:r>
        <w:rPr>
          <w:b w:val="0"/>
          <w:bCs w:val="0"/>
          <w:u w:val="none"/>
          <w:lang w:val="es-ES_tradnl"/>
        </w:rPr>
        <w:t>027.024, más ajustes paramétricos hasta el equivalente a U$S 3:389.101,5</w:t>
      </w:r>
      <w:r w:rsidR="00C44DE8">
        <w:rPr>
          <w:b w:val="0"/>
          <w:bCs w:val="0"/>
          <w:u w:val="none"/>
          <w:lang w:val="es-ES_tradnl"/>
        </w:rPr>
        <w:t>,</w:t>
      </w:r>
      <w:r>
        <w:rPr>
          <w:b w:val="0"/>
          <w:bCs w:val="0"/>
          <w:u w:val="none"/>
          <w:lang w:val="es-ES_tradnl"/>
        </w:rPr>
        <w:t xml:space="preserve"> y asimismo se cometió a la Contadora Delegada en la Intendencia de Tacuarembó la intervención del saldo a financiar a cargo de dicha Administración, previo control de la disp</w:t>
      </w:r>
      <w:r w:rsidR="00C44DE8">
        <w:rPr>
          <w:b w:val="0"/>
          <w:bCs w:val="0"/>
          <w:u w:val="none"/>
          <w:lang w:val="es-ES_tradnl"/>
        </w:rPr>
        <w:t>onibilidad del objeto del gasto;</w:t>
      </w:r>
    </w:p>
    <w:p w:rsidR="001762C3" w:rsidRDefault="00C44DE8" w:rsidP="00C44DE8">
      <w:pPr>
        <w:pStyle w:val="Ttulo"/>
        <w:ind w:firstLine="2552"/>
        <w:jc w:val="both"/>
        <w:rPr>
          <w:b w:val="0"/>
          <w:bCs w:val="0"/>
          <w:u w:val="none"/>
          <w:lang w:val="es-ES_tradnl"/>
        </w:rPr>
      </w:pPr>
      <w:r>
        <w:rPr>
          <w:u w:val="none"/>
          <w:lang w:val="es-ES_tradnl"/>
        </w:rPr>
        <w:t>3)</w:t>
      </w:r>
      <w:r w:rsidR="009C3B59">
        <w:rPr>
          <w:u w:val="none"/>
          <w:lang w:val="es-ES_tradnl"/>
        </w:rPr>
        <w:t xml:space="preserve"> </w:t>
      </w:r>
      <w:r w:rsidR="009C3B59">
        <w:rPr>
          <w:b w:val="0"/>
          <w:bCs w:val="0"/>
          <w:u w:val="none"/>
          <w:lang w:val="es-ES_tradnl"/>
        </w:rPr>
        <w:t xml:space="preserve">que el Intendente de Tacuarembó, por Resolución </w:t>
      </w:r>
      <w:r>
        <w:rPr>
          <w:b w:val="0"/>
          <w:bCs w:val="0"/>
          <w:u w:val="none"/>
          <w:lang w:val="es-ES_tradnl"/>
        </w:rPr>
        <w:t xml:space="preserve">  </w:t>
      </w:r>
      <w:r w:rsidR="009C3B59">
        <w:rPr>
          <w:b w:val="0"/>
          <w:bCs w:val="0"/>
          <w:u w:val="none"/>
          <w:lang w:val="es-ES_tradnl"/>
        </w:rPr>
        <w:t xml:space="preserve">Nº 1491/2016 de fecha </w:t>
      </w:r>
      <w:r>
        <w:rPr>
          <w:b w:val="0"/>
          <w:bCs w:val="0"/>
          <w:u w:val="none"/>
          <w:lang w:val="es-ES_tradnl"/>
        </w:rPr>
        <w:t>0</w:t>
      </w:r>
      <w:r w:rsidR="009C3B59">
        <w:rPr>
          <w:b w:val="0"/>
          <w:bCs w:val="0"/>
          <w:u w:val="none"/>
          <w:lang w:val="es-ES_tradnl"/>
        </w:rPr>
        <w:t>3</w:t>
      </w:r>
      <w:r>
        <w:rPr>
          <w:b w:val="0"/>
          <w:bCs w:val="0"/>
          <w:u w:val="none"/>
          <w:lang w:val="es-ES_tradnl"/>
        </w:rPr>
        <w:t>/</w:t>
      </w:r>
      <w:r w:rsidR="009C3B59">
        <w:rPr>
          <w:b w:val="0"/>
          <w:bCs w:val="0"/>
          <w:u w:val="none"/>
          <w:lang w:val="es-ES_tradnl"/>
        </w:rPr>
        <w:t>08</w:t>
      </w:r>
      <w:r>
        <w:rPr>
          <w:b w:val="0"/>
          <w:bCs w:val="0"/>
          <w:u w:val="none"/>
          <w:lang w:val="es-ES_tradnl"/>
        </w:rPr>
        <w:t>/20</w:t>
      </w:r>
      <w:r w:rsidR="009C3B59">
        <w:rPr>
          <w:b w:val="0"/>
          <w:bCs w:val="0"/>
          <w:u w:val="none"/>
          <w:lang w:val="es-ES_tradnl"/>
        </w:rPr>
        <w:t>16</w:t>
      </w:r>
      <w:r>
        <w:rPr>
          <w:b w:val="0"/>
          <w:bCs w:val="0"/>
          <w:u w:val="none"/>
          <w:lang w:val="es-ES_tradnl"/>
        </w:rPr>
        <w:t>,</w:t>
      </w:r>
      <w:r w:rsidR="009C3B59">
        <w:rPr>
          <w:b w:val="0"/>
          <w:bCs w:val="0"/>
          <w:u w:val="none"/>
          <w:lang w:val="es-ES_tradnl"/>
        </w:rPr>
        <w:t xml:space="preserve"> dispuso ampliar la licitación de referencia, al </w:t>
      </w:r>
      <w:r w:rsidR="001762C3">
        <w:rPr>
          <w:b w:val="0"/>
          <w:bCs w:val="0"/>
          <w:u w:val="none"/>
          <w:lang w:val="es-ES_tradnl"/>
        </w:rPr>
        <w:t xml:space="preserve"> </w:t>
      </w:r>
      <w:r w:rsidR="009C3B59">
        <w:rPr>
          <w:b w:val="0"/>
          <w:bCs w:val="0"/>
          <w:u w:val="none"/>
          <w:lang w:val="es-ES_tradnl"/>
        </w:rPr>
        <w:t xml:space="preserve">amparo </w:t>
      </w:r>
      <w:r w:rsidR="001762C3">
        <w:rPr>
          <w:b w:val="0"/>
          <w:bCs w:val="0"/>
          <w:u w:val="none"/>
          <w:lang w:val="es-ES_tradnl"/>
        </w:rPr>
        <w:t xml:space="preserve"> </w:t>
      </w:r>
      <w:r w:rsidR="009C3B59">
        <w:rPr>
          <w:b w:val="0"/>
          <w:bCs w:val="0"/>
          <w:u w:val="none"/>
          <w:lang w:val="es-ES_tradnl"/>
        </w:rPr>
        <w:t xml:space="preserve">de </w:t>
      </w:r>
      <w:r w:rsidR="001762C3">
        <w:rPr>
          <w:b w:val="0"/>
          <w:bCs w:val="0"/>
          <w:u w:val="none"/>
          <w:lang w:val="es-ES_tradnl"/>
        </w:rPr>
        <w:t xml:space="preserve"> </w:t>
      </w:r>
      <w:r w:rsidR="009C3B59">
        <w:rPr>
          <w:b w:val="0"/>
          <w:bCs w:val="0"/>
          <w:u w:val="none"/>
          <w:lang w:val="es-ES_tradnl"/>
        </w:rPr>
        <w:t xml:space="preserve">lo </w:t>
      </w:r>
      <w:r w:rsidR="001762C3">
        <w:rPr>
          <w:b w:val="0"/>
          <w:bCs w:val="0"/>
          <w:u w:val="none"/>
          <w:lang w:val="es-ES_tradnl"/>
        </w:rPr>
        <w:t xml:space="preserve"> </w:t>
      </w:r>
      <w:r w:rsidR="009C3B59">
        <w:rPr>
          <w:b w:val="0"/>
          <w:bCs w:val="0"/>
          <w:u w:val="none"/>
          <w:lang w:val="es-ES_tradnl"/>
        </w:rPr>
        <w:t xml:space="preserve">dispuesto </w:t>
      </w:r>
      <w:r w:rsidR="001762C3">
        <w:rPr>
          <w:b w:val="0"/>
          <w:bCs w:val="0"/>
          <w:u w:val="none"/>
          <w:lang w:val="es-ES_tradnl"/>
        </w:rPr>
        <w:t xml:space="preserve"> </w:t>
      </w:r>
      <w:r w:rsidR="009C3B59">
        <w:rPr>
          <w:b w:val="0"/>
          <w:bCs w:val="0"/>
          <w:u w:val="none"/>
          <w:lang w:val="es-ES_tradnl"/>
        </w:rPr>
        <w:t>por</w:t>
      </w:r>
      <w:r w:rsidR="001762C3">
        <w:rPr>
          <w:b w:val="0"/>
          <w:bCs w:val="0"/>
          <w:u w:val="none"/>
          <w:lang w:val="es-ES_tradnl"/>
        </w:rPr>
        <w:t xml:space="preserve"> </w:t>
      </w:r>
      <w:r w:rsidR="009C3B59">
        <w:rPr>
          <w:b w:val="0"/>
          <w:bCs w:val="0"/>
          <w:u w:val="none"/>
          <w:lang w:val="es-ES_tradnl"/>
        </w:rPr>
        <w:t xml:space="preserve"> el</w:t>
      </w:r>
      <w:r w:rsidR="001762C3">
        <w:rPr>
          <w:b w:val="0"/>
          <w:bCs w:val="0"/>
          <w:u w:val="none"/>
          <w:lang w:val="es-ES_tradnl"/>
        </w:rPr>
        <w:t xml:space="preserve"> </w:t>
      </w:r>
      <w:r w:rsidR="009C3B59">
        <w:rPr>
          <w:b w:val="0"/>
          <w:bCs w:val="0"/>
          <w:u w:val="none"/>
          <w:lang w:val="es-ES_tradnl"/>
        </w:rPr>
        <w:t xml:space="preserve"> </w:t>
      </w:r>
      <w:r>
        <w:rPr>
          <w:b w:val="0"/>
          <w:bCs w:val="0"/>
          <w:u w:val="none"/>
          <w:lang w:val="es-ES_tradnl"/>
        </w:rPr>
        <w:t>A</w:t>
      </w:r>
      <w:r w:rsidR="009C3B59">
        <w:rPr>
          <w:b w:val="0"/>
          <w:bCs w:val="0"/>
          <w:u w:val="none"/>
          <w:lang w:val="es-ES_tradnl"/>
        </w:rPr>
        <w:t>rt</w:t>
      </w:r>
      <w:r>
        <w:rPr>
          <w:b w:val="0"/>
          <w:bCs w:val="0"/>
          <w:u w:val="none"/>
          <w:lang w:val="es-ES_tradnl"/>
        </w:rPr>
        <w:t>ículo</w:t>
      </w:r>
      <w:r w:rsidR="009C3B59">
        <w:rPr>
          <w:b w:val="0"/>
          <w:bCs w:val="0"/>
          <w:u w:val="none"/>
          <w:lang w:val="es-ES_tradnl"/>
        </w:rPr>
        <w:t xml:space="preserve"> 74 </w:t>
      </w:r>
      <w:r w:rsidR="001762C3">
        <w:rPr>
          <w:b w:val="0"/>
          <w:bCs w:val="0"/>
          <w:u w:val="none"/>
          <w:lang w:val="es-ES_tradnl"/>
        </w:rPr>
        <w:t xml:space="preserve"> </w:t>
      </w:r>
      <w:r w:rsidR="009C3B59">
        <w:rPr>
          <w:b w:val="0"/>
          <w:bCs w:val="0"/>
          <w:u w:val="none"/>
          <w:lang w:val="es-ES_tradnl"/>
        </w:rPr>
        <w:t>del</w:t>
      </w:r>
      <w:r w:rsidR="001762C3">
        <w:rPr>
          <w:b w:val="0"/>
          <w:bCs w:val="0"/>
          <w:u w:val="none"/>
          <w:lang w:val="es-ES_tradnl"/>
        </w:rPr>
        <w:t xml:space="preserve"> </w:t>
      </w:r>
      <w:r w:rsidR="009C3B59">
        <w:rPr>
          <w:b w:val="0"/>
          <w:bCs w:val="0"/>
          <w:u w:val="none"/>
          <w:lang w:val="es-ES_tradnl"/>
        </w:rPr>
        <w:t xml:space="preserve"> TOCAF, en </w:t>
      </w:r>
      <w:r w:rsidR="001762C3">
        <w:rPr>
          <w:b w:val="0"/>
          <w:bCs w:val="0"/>
          <w:u w:val="none"/>
          <w:lang w:val="es-ES_tradnl"/>
        </w:rPr>
        <w:t xml:space="preserve"> </w:t>
      </w:r>
      <w:r w:rsidR="009C3B59">
        <w:rPr>
          <w:b w:val="0"/>
          <w:bCs w:val="0"/>
          <w:u w:val="none"/>
          <w:lang w:val="es-ES_tradnl"/>
        </w:rPr>
        <w:t>$ 17:925.085,</w:t>
      </w:r>
      <w:r>
        <w:rPr>
          <w:b w:val="0"/>
          <w:bCs w:val="0"/>
          <w:u w:val="none"/>
          <w:lang w:val="es-ES_tradnl"/>
        </w:rPr>
        <w:t xml:space="preserve"> </w:t>
      </w:r>
    </w:p>
    <w:p w:rsidR="001762C3" w:rsidRDefault="001762C3" w:rsidP="00C44DE8">
      <w:pPr>
        <w:pStyle w:val="Ttulo"/>
        <w:ind w:firstLine="2552"/>
        <w:jc w:val="both"/>
        <w:rPr>
          <w:b w:val="0"/>
          <w:bCs w:val="0"/>
          <w:u w:val="none"/>
          <w:lang w:val="es-ES_tradnl"/>
        </w:rPr>
      </w:pPr>
    </w:p>
    <w:p w:rsidR="001762C3" w:rsidRDefault="001762C3" w:rsidP="00C44DE8">
      <w:pPr>
        <w:pStyle w:val="Ttulo"/>
        <w:ind w:firstLine="2552"/>
        <w:jc w:val="both"/>
        <w:rPr>
          <w:b w:val="0"/>
          <w:bCs w:val="0"/>
          <w:u w:val="none"/>
          <w:lang w:val="es-ES_tradnl"/>
        </w:rPr>
      </w:pPr>
    </w:p>
    <w:p w:rsidR="00C44DE8" w:rsidRDefault="009C3B59" w:rsidP="00C44DE8">
      <w:pPr>
        <w:pStyle w:val="Ttulo"/>
        <w:jc w:val="both"/>
        <w:rPr>
          <w:b w:val="0"/>
          <w:bCs w:val="0"/>
          <w:u w:val="none"/>
          <w:lang w:val="es-ES_tradnl"/>
        </w:rPr>
      </w:pPr>
      <w:r>
        <w:rPr>
          <w:b w:val="0"/>
          <w:bCs w:val="0"/>
          <w:u w:val="none"/>
          <w:lang w:val="es-ES_tradnl"/>
        </w:rPr>
        <w:t>incluido IVA y Leyes Sociales, expresando que el 85% de la ampliación será financiado por el FDI y el 15% co</w:t>
      </w:r>
      <w:r w:rsidR="00C44DE8">
        <w:rPr>
          <w:b w:val="0"/>
          <w:bCs w:val="0"/>
          <w:u w:val="none"/>
          <w:lang w:val="es-ES_tradnl"/>
        </w:rPr>
        <w:t>n fondos propios, surgiendo del I</w:t>
      </w:r>
      <w:r>
        <w:rPr>
          <w:b w:val="0"/>
          <w:bCs w:val="0"/>
          <w:u w:val="none"/>
          <w:lang w:val="es-ES_tradnl"/>
        </w:rPr>
        <w:t xml:space="preserve">nforme de </w:t>
      </w:r>
      <w:r w:rsidR="00C44DE8">
        <w:rPr>
          <w:b w:val="0"/>
          <w:bCs w:val="0"/>
          <w:u w:val="none"/>
          <w:lang w:val="es-ES_tradnl"/>
        </w:rPr>
        <w:t>fecha 12/</w:t>
      </w:r>
      <w:r>
        <w:rPr>
          <w:b w:val="0"/>
          <w:bCs w:val="0"/>
          <w:u w:val="none"/>
          <w:lang w:val="es-ES_tradnl"/>
        </w:rPr>
        <w:t>08</w:t>
      </w:r>
      <w:r w:rsidR="00C44DE8">
        <w:rPr>
          <w:b w:val="0"/>
          <w:bCs w:val="0"/>
          <w:u w:val="none"/>
          <w:lang w:val="es-ES_tradnl"/>
        </w:rPr>
        <w:t>/</w:t>
      </w:r>
      <w:r>
        <w:rPr>
          <w:b w:val="0"/>
          <w:bCs w:val="0"/>
          <w:u w:val="none"/>
          <w:lang w:val="es-ES_tradnl"/>
        </w:rPr>
        <w:t>16,</w:t>
      </w:r>
      <w:r w:rsidR="00C44DE8">
        <w:rPr>
          <w:b w:val="0"/>
          <w:bCs w:val="0"/>
          <w:u w:val="none"/>
          <w:lang w:val="es-ES_tradnl"/>
        </w:rPr>
        <w:t xml:space="preserve"> que el Programa 208,</w:t>
      </w:r>
      <w:r>
        <w:rPr>
          <w:b w:val="0"/>
          <w:bCs w:val="0"/>
          <w:u w:val="none"/>
          <w:lang w:val="es-ES_tradnl"/>
        </w:rPr>
        <w:t xml:space="preserve"> Proyecto 09</w:t>
      </w:r>
      <w:r w:rsidR="00C44DE8">
        <w:rPr>
          <w:b w:val="0"/>
          <w:bCs w:val="0"/>
          <w:u w:val="none"/>
          <w:lang w:val="es-ES_tradnl"/>
        </w:rPr>
        <w:t>,</w:t>
      </w:r>
      <w:r>
        <w:rPr>
          <w:b w:val="0"/>
          <w:bCs w:val="0"/>
          <w:u w:val="none"/>
          <w:lang w:val="es-ES_tradnl"/>
        </w:rPr>
        <w:t xml:space="preserve"> Rubro 387</w:t>
      </w:r>
      <w:r w:rsidR="00C44DE8">
        <w:rPr>
          <w:b w:val="0"/>
          <w:bCs w:val="0"/>
          <w:u w:val="none"/>
          <w:lang w:val="es-ES_tradnl"/>
        </w:rPr>
        <w:t>,</w:t>
      </w:r>
      <w:r>
        <w:rPr>
          <w:b w:val="0"/>
          <w:bCs w:val="0"/>
          <w:u w:val="none"/>
          <w:lang w:val="es-ES_tradnl"/>
        </w:rPr>
        <w:t xml:space="preserve"> denominado “Vías de Comunicación”, cuenta con el saldo de $ 94:808.194,39;</w:t>
      </w:r>
    </w:p>
    <w:p w:rsidR="00C26C33" w:rsidRDefault="009C3B59" w:rsidP="00C26C33">
      <w:pPr>
        <w:pStyle w:val="Ttulo"/>
        <w:ind w:firstLine="2552"/>
        <w:jc w:val="both"/>
        <w:rPr>
          <w:b w:val="0"/>
          <w:bCs w:val="0"/>
          <w:u w:val="none"/>
          <w:lang w:val="es-ES_tradnl"/>
        </w:rPr>
      </w:pPr>
      <w:r>
        <w:rPr>
          <w:u w:val="none"/>
          <w:lang w:val="es-ES_tradnl"/>
        </w:rPr>
        <w:t xml:space="preserve">4) </w:t>
      </w:r>
      <w:r>
        <w:rPr>
          <w:b w:val="0"/>
          <w:bCs w:val="0"/>
          <w:u w:val="none"/>
          <w:lang w:val="es-ES_tradnl"/>
        </w:rPr>
        <w:t>que este Tribunal, por Resolución Nº 3120/</w:t>
      </w:r>
      <w:r w:rsidR="00C26C33">
        <w:rPr>
          <w:b w:val="0"/>
          <w:bCs w:val="0"/>
          <w:u w:val="none"/>
          <w:lang w:val="es-ES_tradnl"/>
        </w:rPr>
        <w:t>20</w:t>
      </w:r>
      <w:r>
        <w:rPr>
          <w:b w:val="0"/>
          <w:bCs w:val="0"/>
          <w:u w:val="none"/>
          <w:lang w:val="es-ES_tradnl"/>
        </w:rPr>
        <w:t xml:space="preserve">16 de fecha </w:t>
      </w:r>
      <w:r w:rsidR="00C26C33">
        <w:rPr>
          <w:b w:val="0"/>
          <w:bCs w:val="0"/>
          <w:u w:val="none"/>
          <w:lang w:val="es-ES_tradnl"/>
        </w:rPr>
        <w:t>0</w:t>
      </w:r>
      <w:r>
        <w:rPr>
          <w:b w:val="0"/>
          <w:bCs w:val="0"/>
          <w:u w:val="none"/>
          <w:lang w:val="es-ES_tradnl"/>
        </w:rPr>
        <w:t>7</w:t>
      </w:r>
      <w:r w:rsidR="00C26C33">
        <w:rPr>
          <w:b w:val="0"/>
          <w:bCs w:val="0"/>
          <w:u w:val="none"/>
          <w:lang w:val="es-ES_tradnl"/>
        </w:rPr>
        <w:t>/</w:t>
      </w:r>
      <w:r>
        <w:rPr>
          <w:b w:val="0"/>
          <w:bCs w:val="0"/>
          <w:u w:val="none"/>
          <w:lang w:val="es-ES_tradnl"/>
        </w:rPr>
        <w:t>09</w:t>
      </w:r>
      <w:r w:rsidR="00C26C33">
        <w:rPr>
          <w:b w:val="0"/>
          <w:bCs w:val="0"/>
          <w:u w:val="none"/>
          <w:lang w:val="es-ES_tradnl"/>
        </w:rPr>
        <w:t>/</w:t>
      </w:r>
      <w:r>
        <w:rPr>
          <w:b w:val="0"/>
          <w:bCs w:val="0"/>
          <w:u w:val="none"/>
          <w:lang w:val="es-ES_tradnl"/>
        </w:rPr>
        <w:t xml:space="preserve">16, acordó observar el gasto derivado de la citada ampliación, por no resultar aplicable lo previsto en el </w:t>
      </w:r>
      <w:r w:rsidR="00C26C33">
        <w:rPr>
          <w:b w:val="0"/>
          <w:bCs w:val="0"/>
          <w:u w:val="none"/>
          <w:lang w:val="es-ES_tradnl"/>
        </w:rPr>
        <w:t>A</w:t>
      </w:r>
      <w:r>
        <w:rPr>
          <w:b w:val="0"/>
          <w:bCs w:val="0"/>
          <w:u w:val="none"/>
          <w:lang w:val="es-ES_tradnl"/>
        </w:rPr>
        <w:t>rt</w:t>
      </w:r>
      <w:r w:rsidR="00C26C33">
        <w:rPr>
          <w:b w:val="0"/>
          <w:bCs w:val="0"/>
          <w:u w:val="none"/>
          <w:lang w:val="es-ES_tradnl"/>
        </w:rPr>
        <w:t>ículo</w:t>
      </w:r>
      <w:r>
        <w:rPr>
          <w:b w:val="0"/>
          <w:bCs w:val="0"/>
          <w:u w:val="none"/>
          <w:lang w:val="es-ES_tradnl"/>
        </w:rPr>
        <w:t xml:space="preserve"> 74 del TOCAF, en virtud de tratarse de un gasto financiado por la Intendencia y el Fondo Desarrollo del Interior, condición distinta a la original, que implica que las consideraciones vertidas por este Tribunal respecto de la aplicación de las previsiones del </w:t>
      </w:r>
      <w:r w:rsidR="00C26C33">
        <w:rPr>
          <w:b w:val="0"/>
          <w:bCs w:val="0"/>
          <w:u w:val="none"/>
          <w:lang w:val="es-ES_tradnl"/>
        </w:rPr>
        <w:t>A</w:t>
      </w:r>
      <w:r>
        <w:rPr>
          <w:b w:val="0"/>
          <w:bCs w:val="0"/>
          <w:u w:val="none"/>
          <w:lang w:val="es-ES_tradnl"/>
        </w:rPr>
        <w:t>rt</w:t>
      </w:r>
      <w:r w:rsidR="00C26C33">
        <w:rPr>
          <w:b w:val="0"/>
          <w:bCs w:val="0"/>
          <w:u w:val="none"/>
          <w:lang w:val="es-ES_tradnl"/>
        </w:rPr>
        <w:t>ículo</w:t>
      </w:r>
      <w:r>
        <w:rPr>
          <w:b w:val="0"/>
          <w:bCs w:val="0"/>
          <w:u w:val="none"/>
          <w:lang w:val="es-ES_tradnl"/>
        </w:rPr>
        <w:t xml:space="preserve"> 45 del TOCAF, no sean extensibles a la ampliación proyectada, debiéndose haber acudido en la oportunidad a los procedimientos del </w:t>
      </w:r>
      <w:r w:rsidR="00C26C33">
        <w:rPr>
          <w:b w:val="0"/>
          <w:bCs w:val="0"/>
          <w:u w:val="none"/>
          <w:lang w:val="es-ES_tradnl"/>
        </w:rPr>
        <w:t>A</w:t>
      </w:r>
      <w:r>
        <w:rPr>
          <w:b w:val="0"/>
          <w:bCs w:val="0"/>
          <w:u w:val="none"/>
          <w:lang w:val="es-ES_tradnl"/>
        </w:rPr>
        <w:t>rt</w:t>
      </w:r>
      <w:r w:rsidR="00C26C33">
        <w:rPr>
          <w:b w:val="0"/>
          <w:bCs w:val="0"/>
          <w:u w:val="none"/>
          <w:lang w:val="es-ES_tradnl"/>
        </w:rPr>
        <w:t>ículo</w:t>
      </w:r>
      <w:r>
        <w:rPr>
          <w:b w:val="0"/>
          <w:bCs w:val="0"/>
          <w:u w:val="none"/>
          <w:lang w:val="es-ES_tradnl"/>
        </w:rPr>
        <w:t xml:space="preserve"> 33 del TOCAF.  Reiterado, este Tribunal en sesión de fecha 30/11/16 mantuvo la observación;</w:t>
      </w:r>
    </w:p>
    <w:p w:rsidR="00C26C33" w:rsidRDefault="009C3B59" w:rsidP="00C26C33">
      <w:pPr>
        <w:pStyle w:val="Ttulo"/>
        <w:ind w:firstLine="2552"/>
        <w:jc w:val="both"/>
        <w:rPr>
          <w:b w:val="0"/>
          <w:bCs w:val="0"/>
          <w:u w:val="none"/>
          <w:lang w:val="es-ES_tradnl"/>
        </w:rPr>
      </w:pPr>
      <w:r>
        <w:rPr>
          <w:u w:val="none"/>
          <w:lang w:val="es-ES_tradnl"/>
        </w:rPr>
        <w:t xml:space="preserve">5) </w:t>
      </w:r>
      <w:r>
        <w:rPr>
          <w:b w:val="0"/>
          <w:bCs w:val="0"/>
          <w:u w:val="none"/>
          <w:lang w:val="es-ES_tradnl"/>
        </w:rPr>
        <w:t>que por Resolución Nº 2257/</w:t>
      </w:r>
      <w:r w:rsidR="00C26C33">
        <w:rPr>
          <w:b w:val="0"/>
          <w:bCs w:val="0"/>
          <w:u w:val="none"/>
          <w:lang w:val="es-ES_tradnl"/>
        </w:rPr>
        <w:t>20</w:t>
      </w:r>
      <w:r>
        <w:rPr>
          <w:b w:val="0"/>
          <w:bCs w:val="0"/>
          <w:u w:val="none"/>
          <w:lang w:val="es-ES_tradnl"/>
        </w:rPr>
        <w:t>16 de fecha 28</w:t>
      </w:r>
      <w:r w:rsidR="00C26C33">
        <w:rPr>
          <w:b w:val="0"/>
          <w:bCs w:val="0"/>
          <w:u w:val="none"/>
          <w:lang w:val="es-ES_tradnl"/>
        </w:rPr>
        <w:t>/</w:t>
      </w:r>
      <w:r>
        <w:rPr>
          <w:b w:val="0"/>
          <w:bCs w:val="0"/>
          <w:u w:val="none"/>
          <w:lang w:val="es-ES_tradnl"/>
        </w:rPr>
        <w:t>10</w:t>
      </w:r>
      <w:r w:rsidR="00C26C33">
        <w:rPr>
          <w:b w:val="0"/>
          <w:bCs w:val="0"/>
          <w:u w:val="none"/>
          <w:lang w:val="es-ES_tradnl"/>
        </w:rPr>
        <w:t>/</w:t>
      </w:r>
      <w:r>
        <w:rPr>
          <w:b w:val="0"/>
          <w:bCs w:val="0"/>
          <w:u w:val="none"/>
          <w:lang w:val="es-ES_tradnl"/>
        </w:rPr>
        <w:t>16,  el Intendente de Tacuarembó dispuso una seg</w:t>
      </w:r>
      <w:r w:rsidR="00C26C33">
        <w:rPr>
          <w:b w:val="0"/>
          <w:bCs w:val="0"/>
          <w:u w:val="none"/>
          <w:lang w:val="es-ES_tradnl"/>
        </w:rPr>
        <w:t>unda ampliación, al amparo del A</w:t>
      </w:r>
      <w:r>
        <w:rPr>
          <w:b w:val="0"/>
          <w:bCs w:val="0"/>
          <w:u w:val="none"/>
          <w:lang w:val="es-ES_tradnl"/>
        </w:rPr>
        <w:t>rt</w:t>
      </w:r>
      <w:r w:rsidR="00C26C33">
        <w:rPr>
          <w:b w:val="0"/>
          <w:bCs w:val="0"/>
          <w:u w:val="none"/>
          <w:lang w:val="es-ES_tradnl"/>
        </w:rPr>
        <w:t>ículo</w:t>
      </w:r>
      <w:r>
        <w:rPr>
          <w:b w:val="0"/>
          <w:bCs w:val="0"/>
          <w:u w:val="none"/>
          <w:lang w:val="es-ES_tradnl"/>
        </w:rPr>
        <w:t xml:space="preserve"> 74 del TOCAF, en hasta $ 20:825.126</w:t>
      </w:r>
      <w:r w:rsidR="00C26C33">
        <w:rPr>
          <w:b w:val="0"/>
          <w:bCs w:val="0"/>
          <w:u w:val="none"/>
          <w:lang w:val="es-ES_tradnl"/>
        </w:rPr>
        <w:t>,</w:t>
      </w:r>
      <w:r>
        <w:rPr>
          <w:b w:val="0"/>
          <w:bCs w:val="0"/>
          <w:u w:val="none"/>
          <w:lang w:val="es-ES_tradnl"/>
        </w:rPr>
        <w:t xml:space="preserve"> precio básico con IVA y Leyes Sociales, </w:t>
      </w:r>
      <w:r w:rsidR="00C26C33">
        <w:rPr>
          <w:b w:val="0"/>
          <w:bCs w:val="0"/>
          <w:u w:val="none"/>
          <w:lang w:val="es-ES_tradnl"/>
        </w:rPr>
        <w:t xml:space="preserve">de </w:t>
      </w:r>
      <w:r>
        <w:rPr>
          <w:b w:val="0"/>
          <w:bCs w:val="0"/>
          <w:u w:val="none"/>
          <w:lang w:val="es-ES_tradnl"/>
        </w:rPr>
        <w:t>la pres</w:t>
      </w:r>
      <w:r w:rsidR="00C26C33">
        <w:rPr>
          <w:b w:val="0"/>
          <w:bCs w:val="0"/>
          <w:u w:val="none"/>
          <w:lang w:val="es-ES_tradnl"/>
        </w:rPr>
        <w:t xml:space="preserve">ente licitación;               </w:t>
      </w:r>
    </w:p>
    <w:p w:rsidR="00E23AE6" w:rsidRDefault="00C26C33" w:rsidP="00C26C33">
      <w:pPr>
        <w:pStyle w:val="Ttulo"/>
        <w:ind w:firstLine="2552"/>
        <w:jc w:val="both"/>
        <w:rPr>
          <w:b w:val="0"/>
          <w:bCs w:val="0"/>
          <w:u w:val="none"/>
          <w:lang w:val="es-MX"/>
        </w:rPr>
      </w:pPr>
      <w:r>
        <w:rPr>
          <w:u w:val="none"/>
          <w:lang w:val="es-ES_tradnl"/>
        </w:rPr>
        <w:t>6)</w:t>
      </w:r>
      <w:r w:rsidR="009C3B59">
        <w:rPr>
          <w:b w:val="0"/>
          <w:bCs w:val="0"/>
          <w:u w:val="none"/>
          <w:lang w:val="es-ES_tradnl"/>
        </w:rPr>
        <w:t xml:space="preserve"> que este Tribunal,</w:t>
      </w:r>
      <w:r>
        <w:rPr>
          <w:b w:val="0"/>
          <w:bCs w:val="0"/>
          <w:u w:val="none"/>
          <w:lang w:val="es-ES_tradnl"/>
        </w:rPr>
        <w:t xml:space="preserve"> </w:t>
      </w:r>
      <w:r w:rsidR="009C3B59">
        <w:rPr>
          <w:b w:val="0"/>
          <w:bCs w:val="0"/>
          <w:u w:val="none"/>
          <w:lang w:val="es-ES_tradnl"/>
        </w:rPr>
        <w:t>en Sesión de fecha 30</w:t>
      </w:r>
      <w:r>
        <w:rPr>
          <w:b w:val="0"/>
          <w:bCs w:val="0"/>
          <w:u w:val="none"/>
          <w:lang w:val="es-ES_tradnl"/>
        </w:rPr>
        <w:t>/</w:t>
      </w:r>
      <w:r w:rsidR="009C3B59">
        <w:rPr>
          <w:b w:val="0"/>
          <w:bCs w:val="0"/>
          <w:u w:val="none"/>
          <w:lang w:val="es-ES_tradnl"/>
        </w:rPr>
        <w:t>11</w:t>
      </w:r>
      <w:r>
        <w:rPr>
          <w:b w:val="0"/>
          <w:bCs w:val="0"/>
          <w:u w:val="none"/>
          <w:lang w:val="es-ES_tradnl"/>
        </w:rPr>
        <w:t>/20</w:t>
      </w:r>
      <w:r w:rsidR="009C3B59">
        <w:rPr>
          <w:b w:val="0"/>
          <w:bCs w:val="0"/>
          <w:u w:val="none"/>
          <w:lang w:val="es-ES_tradnl"/>
        </w:rPr>
        <w:t xml:space="preserve">16, acordó observar el gasto, derivado de la segunda ampliación, en cuanto la misma sería financiada, un 43% con recursos provenientes del PDGS (Programa de Desarrollo y Gestión </w:t>
      </w:r>
      <w:proofErr w:type="spellStart"/>
      <w:r w:rsidR="009C3B59">
        <w:rPr>
          <w:b w:val="0"/>
          <w:bCs w:val="0"/>
          <w:u w:val="none"/>
          <w:lang w:val="es-ES_tradnl"/>
        </w:rPr>
        <w:t>Subnacional</w:t>
      </w:r>
      <w:proofErr w:type="spellEnd"/>
      <w:r w:rsidR="009C3B59">
        <w:rPr>
          <w:b w:val="0"/>
          <w:bCs w:val="0"/>
          <w:u w:val="none"/>
          <w:lang w:val="es-ES_tradnl"/>
        </w:rPr>
        <w:t>), un 37% del F</w:t>
      </w:r>
      <w:r>
        <w:rPr>
          <w:b w:val="0"/>
          <w:bCs w:val="0"/>
          <w:u w:val="none"/>
          <w:lang w:val="es-ES_tradnl"/>
        </w:rPr>
        <w:t>ondo de Desarrollo del Interior</w:t>
      </w:r>
      <w:r w:rsidR="009C3B59">
        <w:rPr>
          <w:b w:val="0"/>
          <w:bCs w:val="0"/>
          <w:u w:val="none"/>
          <w:lang w:val="es-ES_tradnl"/>
        </w:rPr>
        <w:t xml:space="preserve"> y un 20% con fondos propios, sin embargo</w:t>
      </w:r>
      <w:r>
        <w:rPr>
          <w:b w:val="0"/>
          <w:bCs w:val="0"/>
          <w:u w:val="none"/>
          <w:lang w:val="es-ES_tradnl"/>
        </w:rPr>
        <w:t>,</w:t>
      </w:r>
      <w:r w:rsidR="009C3B59">
        <w:rPr>
          <w:b w:val="0"/>
          <w:bCs w:val="0"/>
          <w:u w:val="none"/>
          <w:lang w:val="es-ES_tradnl"/>
        </w:rPr>
        <w:t xml:space="preserve"> a diferencia de la contratación original no consta la conformidad del BID ni informe de la Unidad Coordinadora del PDGS, </w:t>
      </w:r>
      <w:r w:rsidR="00E23AE6">
        <w:rPr>
          <w:b w:val="0"/>
          <w:bCs w:val="0"/>
          <w:u w:val="none"/>
          <w:lang w:val="es-ES_tradnl"/>
        </w:rPr>
        <w:t xml:space="preserve"> </w:t>
      </w:r>
      <w:r w:rsidR="009C3B59">
        <w:rPr>
          <w:b w:val="0"/>
          <w:bCs w:val="0"/>
          <w:u w:val="none"/>
          <w:lang w:val="es-MX"/>
        </w:rPr>
        <w:t xml:space="preserve">manteniéndose en consecuencia la causal de </w:t>
      </w:r>
    </w:p>
    <w:p w:rsidR="00C26C33" w:rsidRDefault="009C3B59" w:rsidP="00E23AE6">
      <w:pPr>
        <w:pStyle w:val="Ttulo"/>
        <w:jc w:val="both"/>
        <w:rPr>
          <w:b w:val="0"/>
          <w:bCs w:val="0"/>
          <w:u w:val="none"/>
          <w:lang w:val="es-MX"/>
        </w:rPr>
      </w:pPr>
      <w:proofErr w:type="gramStart"/>
      <w:r>
        <w:rPr>
          <w:b w:val="0"/>
          <w:bCs w:val="0"/>
          <w:u w:val="none"/>
          <w:lang w:val="es-MX"/>
        </w:rPr>
        <w:t>observación</w:t>
      </w:r>
      <w:proofErr w:type="gramEnd"/>
      <w:r>
        <w:rPr>
          <w:b w:val="0"/>
          <w:bCs w:val="0"/>
          <w:u w:val="none"/>
          <w:lang w:val="es-MX"/>
        </w:rPr>
        <w:t xml:space="preserve"> formulada por este Tribunal en oportunidad de la primera ampliación, así como por contravenirse lo dispuesto por la Ordenanza Nº 27 del 22</w:t>
      </w:r>
      <w:r w:rsidR="00C26C33">
        <w:rPr>
          <w:b w:val="0"/>
          <w:bCs w:val="0"/>
          <w:u w:val="none"/>
          <w:lang w:val="es-MX"/>
        </w:rPr>
        <w:t>/0</w:t>
      </w:r>
      <w:r>
        <w:rPr>
          <w:b w:val="0"/>
          <w:bCs w:val="0"/>
          <w:u w:val="none"/>
          <w:lang w:val="es-MX"/>
        </w:rPr>
        <w:t>5</w:t>
      </w:r>
      <w:r w:rsidR="00C26C33">
        <w:rPr>
          <w:b w:val="0"/>
          <w:bCs w:val="0"/>
          <w:u w:val="none"/>
          <w:lang w:val="es-MX"/>
        </w:rPr>
        <w:t>/958, A</w:t>
      </w:r>
      <w:r>
        <w:rPr>
          <w:b w:val="0"/>
          <w:bCs w:val="0"/>
          <w:u w:val="none"/>
          <w:lang w:val="es-MX"/>
        </w:rPr>
        <w:t xml:space="preserve">rtículo 13 </w:t>
      </w:r>
      <w:r w:rsidR="00C26C33">
        <w:rPr>
          <w:b w:val="0"/>
          <w:bCs w:val="0"/>
          <w:u w:val="none"/>
          <w:lang w:val="es-MX"/>
        </w:rPr>
        <w:t>L</w:t>
      </w:r>
      <w:r>
        <w:rPr>
          <w:b w:val="0"/>
          <w:bCs w:val="0"/>
          <w:u w:val="none"/>
          <w:lang w:val="es-MX"/>
        </w:rPr>
        <w:t>iteral D</w:t>
      </w:r>
      <w:r w:rsidR="00C26C33">
        <w:rPr>
          <w:b w:val="0"/>
          <w:bCs w:val="0"/>
          <w:u w:val="none"/>
          <w:lang w:val="es-MX"/>
        </w:rPr>
        <w:t>)</w:t>
      </w:r>
      <w:r>
        <w:rPr>
          <w:b w:val="0"/>
          <w:bCs w:val="0"/>
          <w:u w:val="none"/>
          <w:lang w:val="es-MX"/>
        </w:rPr>
        <w:t>;</w:t>
      </w:r>
      <w:r w:rsidR="00C26C33">
        <w:rPr>
          <w:b w:val="0"/>
          <w:bCs w:val="0"/>
          <w:u w:val="none"/>
          <w:lang w:val="es-MX"/>
        </w:rPr>
        <w:t xml:space="preserve">              </w:t>
      </w:r>
    </w:p>
    <w:p w:rsidR="001762C3" w:rsidRDefault="001762C3" w:rsidP="00F15B53">
      <w:pPr>
        <w:pStyle w:val="Ttulo"/>
        <w:ind w:firstLine="2552"/>
        <w:jc w:val="both"/>
        <w:rPr>
          <w:u w:val="none"/>
          <w:lang w:val="es-MX"/>
        </w:rPr>
      </w:pPr>
    </w:p>
    <w:p w:rsidR="00F15B53" w:rsidRDefault="00C26C33" w:rsidP="00F15B53">
      <w:pPr>
        <w:pStyle w:val="Ttulo"/>
        <w:ind w:firstLine="2552"/>
        <w:jc w:val="both"/>
        <w:rPr>
          <w:b w:val="0"/>
          <w:bCs w:val="0"/>
          <w:u w:val="none"/>
          <w:lang w:val="es-ES_tradnl"/>
        </w:rPr>
      </w:pPr>
      <w:r>
        <w:rPr>
          <w:u w:val="none"/>
          <w:lang w:val="es-MX"/>
        </w:rPr>
        <w:t>7)</w:t>
      </w:r>
      <w:r w:rsidR="009C3B59">
        <w:rPr>
          <w:b w:val="0"/>
          <w:bCs w:val="0"/>
          <w:u w:val="none"/>
          <w:lang w:val="es-MX"/>
        </w:rPr>
        <w:t xml:space="preserve"> que </w:t>
      </w:r>
      <w:r w:rsidR="009C3B59">
        <w:rPr>
          <w:b w:val="0"/>
          <w:bCs w:val="0"/>
          <w:u w:val="none"/>
          <w:lang w:val="es-ES_tradnl"/>
        </w:rPr>
        <w:t>por Resolución Nº 2628/</w:t>
      </w:r>
      <w:r>
        <w:rPr>
          <w:b w:val="0"/>
          <w:bCs w:val="0"/>
          <w:u w:val="none"/>
          <w:lang w:val="es-ES_tradnl"/>
        </w:rPr>
        <w:t>20</w:t>
      </w:r>
      <w:r w:rsidR="009C3B59">
        <w:rPr>
          <w:b w:val="0"/>
          <w:bCs w:val="0"/>
          <w:u w:val="none"/>
          <w:lang w:val="es-ES_tradnl"/>
        </w:rPr>
        <w:t>16 de fecha 13</w:t>
      </w:r>
      <w:r>
        <w:rPr>
          <w:b w:val="0"/>
          <w:bCs w:val="0"/>
          <w:u w:val="none"/>
          <w:lang w:val="es-ES_tradnl"/>
        </w:rPr>
        <w:t>/</w:t>
      </w:r>
      <w:r w:rsidR="009C3B59">
        <w:rPr>
          <w:b w:val="0"/>
          <w:bCs w:val="0"/>
          <w:u w:val="none"/>
          <w:lang w:val="es-ES_tradnl"/>
        </w:rPr>
        <w:t>12</w:t>
      </w:r>
      <w:r>
        <w:rPr>
          <w:b w:val="0"/>
          <w:bCs w:val="0"/>
          <w:u w:val="none"/>
          <w:lang w:val="es-ES_tradnl"/>
        </w:rPr>
        <w:t>/</w:t>
      </w:r>
      <w:r w:rsidR="009C3B59">
        <w:rPr>
          <w:b w:val="0"/>
          <w:bCs w:val="0"/>
          <w:u w:val="none"/>
          <w:lang w:val="es-ES_tradnl"/>
        </w:rPr>
        <w:t xml:space="preserve">16,  </w:t>
      </w:r>
      <w:proofErr w:type="gramStart"/>
      <w:r w:rsidR="009C3B59">
        <w:rPr>
          <w:b w:val="0"/>
          <w:bCs w:val="0"/>
          <w:u w:val="none"/>
          <w:lang w:val="es-ES_tradnl"/>
        </w:rPr>
        <w:t>el</w:t>
      </w:r>
      <w:proofErr w:type="gramEnd"/>
      <w:r w:rsidR="009C3B59">
        <w:rPr>
          <w:b w:val="0"/>
          <w:bCs w:val="0"/>
          <w:u w:val="none"/>
          <w:lang w:val="es-ES_tradnl"/>
        </w:rPr>
        <w:t xml:space="preserve"> Intendente de Tacuarembó, considerando razones de servicio, dispuso reiterar el gasto;</w:t>
      </w:r>
    </w:p>
    <w:p w:rsidR="009C3B59" w:rsidRPr="00F15B53" w:rsidRDefault="009C3B59" w:rsidP="00F15B53">
      <w:pPr>
        <w:pStyle w:val="Ttulo"/>
        <w:ind w:firstLine="709"/>
        <w:jc w:val="both"/>
        <w:rPr>
          <w:b w:val="0"/>
          <w:bCs w:val="0"/>
          <w:u w:val="none"/>
          <w:lang w:val="es-ES_tradnl"/>
        </w:rPr>
      </w:pPr>
      <w:r w:rsidRPr="00C26C33">
        <w:rPr>
          <w:u w:val="none"/>
        </w:rPr>
        <w:t>CONSIDERANDO:</w:t>
      </w:r>
      <w:r w:rsidR="007A07CB">
        <w:rPr>
          <w:u w:val="none"/>
        </w:rPr>
        <w:t xml:space="preserve"> </w:t>
      </w:r>
      <w:r w:rsidRPr="00C26C33">
        <w:rPr>
          <w:u w:val="none"/>
          <w:lang w:val="es-MX"/>
        </w:rPr>
        <w:t xml:space="preserve">1) </w:t>
      </w:r>
      <w:r w:rsidRPr="00C26C33">
        <w:rPr>
          <w:b w:val="0"/>
          <w:u w:val="none"/>
          <w:lang w:val="es-MX"/>
        </w:rPr>
        <w:t xml:space="preserve">que el </w:t>
      </w:r>
      <w:r w:rsidR="007A07CB">
        <w:rPr>
          <w:b w:val="0"/>
          <w:u w:val="none"/>
          <w:lang w:val="es-MX"/>
        </w:rPr>
        <w:t>Artículo</w:t>
      </w:r>
      <w:r w:rsidRPr="00C26C33">
        <w:rPr>
          <w:b w:val="0"/>
          <w:u w:val="none"/>
          <w:lang w:val="es-MX"/>
        </w:rPr>
        <w:t xml:space="preserve"> 475 de la Ley 17.296 establece que los Ordenadores de gastos y pagos, al ejercer la facultad de insistencia o reiteración que les acuerda el </w:t>
      </w:r>
      <w:r w:rsidR="007A07CB">
        <w:rPr>
          <w:b w:val="0"/>
          <w:u w:val="none"/>
          <w:lang w:val="es-MX"/>
        </w:rPr>
        <w:t>Literal B) del A</w:t>
      </w:r>
      <w:r w:rsidRPr="00C26C33">
        <w:rPr>
          <w:b w:val="0"/>
          <w:u w:val="none"/>
          <w:lang w:val="es-MX"/>
        </w:rPr>
        <w:t>rtículo 211 de la Constitución de la República, deben hacerlo en forma fundada, expresando de manera detallada los motivos que justifican a su juicio seguir el curso del gasto del pago</w:t>
      </w:r>
      <w:r w:rsidR="00C26C33">
        <w:rPr>
          <w:b w:val="0"/>
          <w:u w:val="none"/>
          <w:lang w:val="es-MX"/>
        </w:rPr>
        <w:t>;</w:t>
      </w:r>
      <w:r w:rsidRPr="00C26C33">
        <w:rPr>
          <w:u w:val="none"/>
          <w:lang w:val="es-MX"/>
        </w:rPr>
        <w:t xml:space="preserve">                                  </w:t>
      </w:r>
    </w:p>
    <w:p w:rsidR="009C3B59" w:rsidRDefault="007A07CB" w:rsidP="00F15B53">
      <w:pPr>
        <w:spacing w:after="0" w:line="360" w:lineRule="auto"/>
        <w:ind w:firstLine="2835"/>
        <w:jc w:val="both"/>
        <w:rPr>
          <w:rFonts w:ascii="Arial" w:hAnsi="Arial" w:cs="Arial"/>
          <w:sz w:val="24"/>
          <w:szCs w:val="24"/>
          <w:lang w:val="es-MX" w:eastAsia="es-ES"/>
        </w:rPr>
      </w:pPr>
      <w:r>
        <w:rPr>
          <w:rFonts w:ascii="Arial" w:hAnsi="Arial" w:cs="Arial"/>
          <w:b/>
          <w:bCs/>
          <w:sz w:val="24"/>
          <w:szCs w:val="24"/>
          <w:lang w:val="es-MX" w:eastAsia="es-ES"/>
        </w:rPr>
        <w:t xml:space="preserve"> </w:t>
      </w:r>
      <w:r w:rsidR="009C3B59">
        <w:rPr>
          <w:rFonts w:ascii="Arial" w:hAnsi="Arial" w:cs="Arial"/>
          <w:b/>
          <w:bCs/>
          <w:sz w:val="24"/>
          <w:szCs w:val="24"/>
          <w:lang w:val="es-MX" w:eastAsia="es-ES"/>
        </w:rPr>
        <w:t>2)</w:t>
      </w:r>
      <w:r w:rsidR="009C3B59">
        <w:rPr>
          <w:rFonts w:ascii="Arial" w:hAnsi="Arial" w:cs="Arial"/>
          <w:sz w:val="24"/>
          <w:szCs w:val="24"/>
          <w:lang w:val="es-MX" w:eastAsia="es-ES"/>
        </w:rPr>
        <w:t xml:space="preserve"> que se mantienen incambiadas las circunstancias de índole legal que ameritaron las observ</w:t>
      </w:r>
      <w:r w:rsidR="00F15B53">
        <w:rPr>
          <w:rFonts w:ascii="Arial" w:hAnsi="Arial" w:cs="Arial"/>
          <w:sz w:val="24"/>
          <w:szCs w:val="24"/>
          <w:lang w:val="es-MX" w:eastAsia="es-ES"/>
        </w:rPr>
        <w:t>aciones formuladas con fecha 30/</w:t>
      </w:r>
      <w:r w:rsidR="009C3B59">
        <w:rPr>
          <w:rFonts w:ascii="Arial" w:hAnsi="Arial" w:cs="Arial"/>
          <w:sz w:val="24"/>
          <w:szCs w:val="24"/>
          <w:lang w:val="es-MX" w:eastAsia="es-ES"/>
        </w:rPr>
        <w:t>11</w:t>
      </w:r>
      <w:r w:rsidR="00F15B53">
        <w:rPr>
          <w:rFonts w:ascii="Arial" w:hAnsi="Arial" w:cs="Arial"/>
          <w:sz w:val="24"/>
          <w:szCs w:val="24"/>
          <w:lang w:val="es-MX" w:eastAsia="es-ES"/>
        </w:rPr>
        <w:t>/20</w:t>
      </w:r>
      <w:r w:rsidR="009C3B59">
        <w:rPr>
          <w:rFonts w:ascii="Arial" w:hAnsi="Arial" w:cs="Arial"/>
          <w:sz w:val="24"/>
          <w:szCs w:val="24"/>
          <w:lang w:val="es-MX" w:eastAsia="es-ES"/>
        </w:rPr>
        <w:t>16;</w:t>
      </w:r>
    </w:p>
    <w:p w:rsidR="009C3B59" w:rsidRDefault="009C3B59" w:rsidP="00F15B53">
      <w:pPr>
        <w:spacing w:after="0" w:line="360" w:lineRule="auto"/>
        <w:ind w:firstLine="709"/>
        <w:jc w:val="both"/>
        <w:rPr>
          <w:rFonts w:ascii="Arial" w:hAnsi="Arial" w:cs="Arial"/>
          <w:sz w:val="24"/>
          <w:szCs w:val="24"/>
          <w:lang w:val="es-MX" w:eastAsia="es-ES"/>
        </w:rPr>
      </w:pPr>
      <w:r>
        <w:rPr>
          <w:rFonts w:ascii="Arial" w:hAnsi="Arial" w:cs="Arial"/>
          <w:b/>
          <w:bCs/>
          <w:sz w:val="24"/>
          <w:szCs w:val="24"/>
          <w:lang w:eastAsia="es-ES"/>
        </w:rPr>
        <w:t xml:space="preserve">ATENTO: </w:t>
      </w:r>
      <w:r>
        <w:rPr>
          <w:rFonts w:ascii="Arial" w:hAnsi="Arial" w:cs="Arial"/>
          <w:sz w:val="24"/>
          <w:szCs w:val="24"/>
          <w:lang w:eastAsia="es-ES"/>
        </w:rPr>
        <w:t xml:space="preserve">a lo expuesto y a lo dispuesto por </w:t>
      </w:r>
      <w:r w:rsidR="00FD60E4">
        <w:rPr>
          <w:rFonts w:ascii="Arial" w:hAnsi="Arial" w:cs="Arial"/>
          <w:sz w:val="24"/>
          <w:szCs w:val="24"/>
          <w:lang w:eastAsia="es-ES"/>
        </w:rPr>
        <w:t>e</w:t>
      </w:r>
      <w:r>
        <w:rPr>
          <w:rFonts w:ascii="Arial" w:hAnsi="Arial" w:cs="Arial"/>
          <w:sz w:val="24"/>
          <w:szCs w:val="24"/>
          <w:lang w:eastAsia="es-ES"/>
        </w:rPr>
        <w:t>l</w:t>
      </w:r>
      <w:r w:rsidR="00FD60E4">
        <w:rPr>
          <w:rFonts w:ascii="Arial" w:hAnsi="Arial" w:cs="Arial"/>
          <w:sz w:val="24"/>
          <w:szCs w:val="24"/>
          <w:lang w:eastAsia="es-ES"/>
        </w:rPr>
        <w:t xml:space="preserve"> A</w:t>
      </w:r>
      <w:r>
        <w:rPr>
          <w:rFonts w:ascii="Arial" w:hAnsi="Arial" w:cs="Arial"/>
          <w:sz w:val="24"/>
          <w:szCs w:val="24"/>
          <w:lang w:eastAsia="es-ES"/>
        </w:rPr>
        <w:t>rt</w:t>
      </w:r>
      <w:r w:rsidR="00FD60E4">
        <w:rPr>
          <w:rFonts w:ascii="Arial" w:hAnsi="Arial" w:cs="Arial"/>
          <w:sz w:val="24"/>
          <w:szCs w:val="24"/>
          <w:lang w:eastAsia="es-ES"/>
        </w:rPr>
        <w:t>ículo</w:t>
      </w:r>
      <w:r>
        <w:rPr>
          <w:rFonts w:ascii="Arial" w:hAnsi="Arial" w:cs="Arial"/>
          <w:sz w:val="24"/>
          <w:szCs w:val="24"/>
          <w:lang w:eastAsia="es-ES"/>
        </w:rPr>
        <w:t xml:space="preserve"> 211 </w:t>
      </w:r>
      <w:r w:rsidR="00FD60E4">
        <w:rPr>
          <w:rFonts w:ascii="Arial" w:hAnsi="Arial" w:cs="Arial"/>
          <w:sz w:val="24"/>
          <w:szCs w:val="24"/>
          <w:lang w:eastAsia="es-ES"/>
        </w:rPr>
        <w:t>L</w:t>
      </w:r>
      <w:r>
        <w:rPr>
          <w:rFonts w:ascii="Arial" w:hAnsi="Arial" w:cs="Arial"/>
          <w:sz w:val="24"/>
          <w:szCs w:val="24"/>
          <w:lang w:eastAsia="es-ES"/>
        </w:rPr>
        <w:t>iteral B) de la Constitución de la República</w:t>
      </w:r>
      <w:r w:rsidR="00FF02DE">
        <w:rPr>
          <w:rFonts w:ascii="Arial" w:hAnsi="Arial" w:cs="Arial"/>
          <w:sz w:val="24"/>
          <w:szCs w:val="24"/>
          <w:lang w:val="es-MX" w:eastAsia="es-ES"/>
        </w:rPr>
        <w:t>;</w:t>
      </w:r>
    </w:p>
    <w:p w:rsidR="009C3B59" w:rsidRDefault="009C3B59">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9C3B59" w:rsidRDefault="00F15B53" w:rsidP="00F15B53">
      <w:pPr>
        <w:spacing w:after="0" w:line="360" w:lineRule="auto"/>
        <w:jc w:val="both"/>
        <w:rPr>
          <w:rFonts w:ascii="Arial" w:hAnsi="Arial" w:cs="Arial"/>
          <w:sz w:val="24"/>
          <w:szCs w:val="24"/>
          <w:lang w:val="es-MX" w:eastAsia="es-ES"/>
        </w:rPr>
      </w:pPr>
      <w:r>
        <w:rPr>
          <w:rFonts w:ascii="Arial" w:hAnsi="Arial" w:cs="Arial"/>
          <w:b/>
          <w:sz w:val="24"/>
          <w:szCs w:val="24"/>
          <w:lang w:val="es-MX" w:eastAsia="es-ES"/>
        </w:rPr>
        <w:t xml:space="preserve">1) </w:t>
      </w:r>
      <w:r w:rsidR="009C3B59">
        <w:rPr>
          <w:rFonts w:ascii="Arial" w:hAnsi="Arial" w:cs="Arial"/>
          <w:sz w:val="24"/>
          <w:szCs w:val="24"/>
          <w:lang w:val="es-MX" w:eastAsia="es-ES"/>
        </w:rPr>
        <w:t xml:space="preserve">Mantener la observación del gasto </w:t>
      </w:r>
      <w:r>
        <w:rPr>
          <w:rFonts w:ascii="Arial" w:hAnsi="Arial" w:cs="Arial"/>
          <w:sz w:val="24"/>
          <w:szCs w:val="24"/>
          <w:lang w:val="es-MX" w:eastAsia="es-ES"/>
        </w:rPr>
        <w:t>formulada en sesión de fecha 30/</w:t>
      </w:r>
      <w:r w:rsidR="009C3B59">
        <w:rPr>
          <w:rFonts w:ascii="Arial" w:hAnsi="Arial" w:cs="Arial"/>
          <w:sz w:val="24"/>
          <w:szCs w:val="24"/>
          <w:lang w:val="es-MX" w:eastAsia="es-ES"/>
        </w:rPr>
        <w:t>11</w:t>
      </w:r>
      <w:r>
        <w:rPr>
          <w:rFonts w:ascii="Arial" w:hAnsi="Arial" w:cs="Arial"/>
          <w:sz w:val="24"/>
          <w:szCs w:val="24"/>
          <w:lang w:val="es-MX" w:eastAsia="es-ES"/>
        </w:rPr>
        <w:t>/20</w:t>
      </w:r>
      <w:r w:rsidR="009C3B59">
        <w:rPr>
          <w:rFonts w:ascii="Arial" w:hAnsi="Arial" w:cs="Arial"/>
          <w:sz w:val="24"/>
          <w:szCs w:val="24"/>
          <w:lang w:val="es-MX" w:eastAsia="es-ES"/>
        </w:rPr>
        <w:t>16;</w:t>
      </w:r>
    </w:p>
    <w:p w:rsidR="009C3B59" w:rsidRDefault="00F15B53" w:rsidP="00F15B53">
      <w:pPr>
        <w:spacing w:after="0" w:line="360" w:lineRule="auto"/>
        <w:jc w:val="both"/>
        <w:rPr>
          <w:rFonts w:ascii="Arial" w:hAnsi="Arial" w:cs="Arial"/>
          <w:sz w:val="24"/>
          <w:szCs w:val="24"/>
          <w:lang w:val="es-MX" w:eastAsia="es-ES"/>
        </w:rPr>
      </w:pPr>
      <w:r>
        <w:rPr>
          <w:rFonts w:ascii="Arial" w:hAnsi="Arial" w:cs="Arial"/>
          <w:b/>
          <w:sz w:val="24"/>
          <w:szCs w:val="24"/>
          <w:lang w:val="es-MX" w:eastAsia="es-ES"/>
        </w:rPr>
        <w:t xml:space="preserve">2) </w:t>
      </w:r>
      <w:r w:rsidR="009C3B59">
        <w:rPr>
          <w:rFonts w:ascii="Arial" w:hAnsi="Arial" w:cs="Arial"/>
          <w:sz w:val="24"/>
          <w:szCs w:val="24"/>
          <w:lang w:val="es-MX" w:eastAsia="es-ES"/>
        </w:rPr>
        <w:t>Dar cuenta  a la Ju</w:t>
      </w:r>
      <w:r>
        <w:rPr>
          <w:rFonts w:ascii="Arial" w:hAnsi="Arial" w:cs="Arial"/>
          <w:sz w:val="24"/>
          <w:szCs w:val="24"/>
          <w:lang w:val="es-MX" w:eastAsia="es-ES"/>
        </w:rPr>
        <w:t>nta Departamental de Tacuarembó; y</w:t>
      </w:r>
    </w:p>
    <w:p w:rsidR="009C3B59" w:rsidRDefault="00F15B53" w:rsidP="00F15B53">
      <w:pPr>
        <w:spacing w:after="0" w:line="360" w:lineRule="auto"/>
        <w:jc w:val="both"/>
        <w:rPr>
          <w:rFonts w:ascii="Arial" w:hAnsi="Arial" w:cs="Arial"/>
          <w:sz w:val="24"/>
          <w:szCs w:val="24"/>
          <w:lang w:val="es-MX" w:eastAsia="es-ES"/>
        </w:rPr>
      </w:pPr>
      <w:r>
        <w:rPr>
          <w:rFonts w:ascii="Arial" w:hAnsi="Arial" w:cs="Arial"/>
          <w:b/>
          <w:sz w:val="24"/>
          <w:szCs w:val="24"/>
          <w:lang w:val="es-MX" w:eastAsia="es-ES"/>
        </w:rPr>
        <w:t xml:space="preserve">3) </w:t>
      </w:r>
      <w:r w:rsidR="009C3B59">
        <w:rPr>
          <w:rFonts w:ascii="Arial" w:hAnsi="Arial" w:cs="Arial"/>
          <w:sz w:val="24"/>
          <w:szCs w:val="24"/>
          <w:lang w:val="es-MX" w:eastAsia="es-ES"/>
        </w:rPr>
        <w:t>Comunicar a</w:t>
      </w:r>
      <w:r>
        <w:rPr>
          <w:rFonts w:ascii="Arial" w:hAnsi="Arial" w:cs="Arial"/>
          <w:sz w:val="24"/>
          <w:szCs w:val="24"/>
          <w:lang w:val="es-MX" w:eastAsia="es-ES"/>
        </w:rPr>
        <w:t xml:space="preserve"> la Intendencia de Tacuarembó.</w:t>
      </w:r>
    </w:p>
    <w:p w:rsidR="00F15B53" w:rsidRDefault="00F15B53" w:rsidP="00E23AE6">
      <w:pPr>
        <w:spacing w:after="0" w:line="360" w:lineRule="auto"/>
        <w:jc w:val="right"/>
        <w:rPr>
          <w:rFonts w:ascii="Arial" w:hAnsi="Arial" w:cs="Arial"/>
          <w:sz w:val="24"/>
          <w:szCs w:val="24"/>
          <w:lang w:val="es-MX" w:eastAsia="es-ES"/>
        </w:rPr>
      </w:pPr>
    </w:p>
    <w:p w:rsidR="009C3B59" w:rsidRPr="00BF19F7" w:rsidRDefault="00F15B53" w:rsidP="00BF19F7">
      <w:pPr>
        <w:spacing w:after="0" w:line="360" w:lineRule="auto"/>
        <w:jc w:val="both"/>
        <w:rPr>
          <w:rFonts w:ascii="Arial" w:hAnsi="Arial" w:cs="Arial"/>
          <w:sz w:val="24"/>
          <w:szCs w:val="24"/>
          <w:lang w:val="es-MX" w:eastAsia="es-ES"/>
        </w:rPr>
      </w:pPr>
      <w:proofErr w:type="spellStart"/>
      <w:proofErr w:type="gramStart"/>
      <w:r>
        <w:rPr>
          <w:rFonts w:ascii="Arial" w:hAnsi="Arial" w:cs="Arial"/>
          <w:sz w:val="24"/>
          <w:szCs w:val="24"/>
          <w:lang w:val="es-MX" w:eastAsia="es-ES"/>
        </w:rPr>
        <w:t>lc</w:t>
      </w:r>
      <w:proofErr w:type="spellEnd"/>
      <w:proofErr w:type="gramEnd"/>
    </w:p>
    <w:p w:rsidR="00B41FA8" w:rsidRDefault="00B41FA8" w:rsidP="00B41FA8">
      <w:pPr>
        <w:spacing w:after="0" w:line="360" w:lineRule="auto"/>
        <w:jc w:val="both"/>
        <w:rPr>
          <w:rFonts w:ascii="Arial" w:hAnsi="Arial" w:cs="Arial"/>
          <w:b/>
          <w:sz w:val="24"/>
          <w:szCs w:val="24"/>
          <w:lang w:val="es-UY"/>
        </w:rPr>
      </w:pPr>
    </w:p>
    <w:p w:rsidR="00BF19F7" w:rsidRDefault="00BF19F7" w:rsidP="00B41FA8">
      <w:pPr>
        <w:spacing w:after="0" w:line="360" w:lineRule="auto"/>
        <w:jc w:val="both"/>
        <w:rPr>
          <w:rFonts w:ascii="Arial" w:hAnsi="Arial" w:cs="Arial"/>
          <w:b/>
          <w:sz w:val="24"/>
          <w:szCs w:val="24"/>
          <w:lang w:val="es-UY"/>
        </w:rPr>
      </w:pPr>
    </w:p>
    <w:p w:rsidR="00BF19F7" w:rsidRDefault="00BF19F7" w:rsidP="00B41FA8">
      <w:pPr>
        <w:spacing w:after="0" w:line="360" w:lineRule="auto"/>
        <w:jc w:val="both"/>
        <w:rPr>
          <w:rFonts w:ascii="Arial" w:hAnsi="Arial" w:cs="Arial"/>
          <w:b/>
          <w:sz w:val="24"/>
          <w:szCs w:val="24"/>
          <w:lang w:val="es-UY"/>
        </w:rPr>
      </w:pPr>
    </w:p>
    <w:p w:rsidR="00BF19F7" w:rsidRDefault="00BF19F7" w:rsidP="00B41FA8">
      <w:pPr>
        <w:spacing w:after="0" w:line="360" w:lineRule="auto"/>
        <w:jc w:val="both"/>
        <w:rPr>
          <w:rFonts w:ascii="Arial" w:hAnsi="Arial" w:cs="Arial"/>
          <w:b/>
          <w:sz w:val="24"/>
          <w:szCs w:val="24"/>
          <w:lang w:val="es-UY"/>
        </w:rPr>
      </w:pPr>
    </w:p>
    <w:p w:rsidR="00BF19F7" w:rsidRDefault="00BF19F7" w:rsidP="00B41FA8">
      <w:pPr>
        <w:spacing w:after="0" w:line="360" w:lineRule="auto"/>
        <w:jc w:val="both"/>
        <w:rPr>
          <w:rFonts w:ascii="Arial" w:hAnsi="Arial" w:cs="Arial"/>
          <w:b/>
          <w:sz w:val="24"/>
          <w:szCs w:val="24"/>
          <w:lang w:val="es-UY"/>
        </w:rPr>
      </w:pPr>
    </w:p>
    <w:p w:rsidR="00BF19F7" w:rsidRDefault="00BF19F7" w:rsidP="00B41FA8">
      <w:pPr>
        <w:spacing w:after="0" w:line="360" w:lineRule="auto"/>
        <w:jc w:val="both"/>
        <w:rPr>
          <w:rFonts w:ascii="Arial" w:hAnsi="Arial" w:cs="Arial"/>
          <w:b/>
          <w:sz w:val="24"/>
          <w:szCs w:val="24"/>
          <w:lang w:val="es-UY"/>
        </w:rPr>
      </w:pPr>
    </w:p>
    <w:p w:rsidR="001762C3" w:rsidRDefault="001762C3" w:rsidP="00B41FA8">
      <w:pPr>
        <w:spacing w:after="0" w:line="360" w:lineRule="auto"/>
        <w:jc w:val="both"/>
        <w:rPr>
          <w:rFonts w:ascii="Arial" w:hAnsi="Arial" w:cs="Arial"/>
          <w:b/>
          <w:sz w:val="24"/>
          <w:szCs w:val="24"/>
          <w:lang w:val="es-UY"/>
        </w:rPr>
      </w:pPr>
    </w:p>
    <w:p w:rsidR="001762C3" w:rsidRDefault="001762C3" w:rsidP="00B41FA8">
      <w:pPr>
        <w:spacing w:after="0" w:line="360" w:lineRule="auto"/>
        <w:jc w:val="both"/>
        <w:rPr>
          <w:rFonts w:ascii="Arial" w:hAnsi="Arial" w:cs="Arial"/>
          <w:b/>
          <w:sz w:val="24"/>
          <w:szCs w:val="24"/>
          <w:lang w:val="es-UY"/>
        </w:rPr>
      </w:pPr>
    </w:p>
    <w:p w:rsidR="001762C3" w:rsidRDefault="001762C3" w:rsidP="00B41FA8">
      <w:pPr>
        <w:spacing w:after="0" w:line="360" w:lineRule="auto"/>
        <w:jc w:val="both"/>
        <w:rPr>
          <w:rFonts w:ascii="Arial" w:hAnsi="Arial" w:cs="Arial"/>
          <w:b/>
          <w:sz w:val="24"/>
          <w:szCs w:val="24"/>
          <w:lang w:val="es-UY"/>
        </w:rPr>
      </w:pPr>
    </w:p>
    <w:p w:rsidR="001762C3" w:rsidRDefault="001762C3" w:rsidP="00B41FA8">
      <w:pPr>
        <w:spacing w:after="0" w:line="360" w:lineRule="auto"/>
        <w:jc w:val="both"/>
        <w:rPr>
          <w:rFonts w:ascii="Arial" w:hAnsi="Arial" w:cs="Arial"/>
          <w:b/>
          <w:sz w:val="24"/>
          <w:szCs w:val="24"/>
          <w:lang w:val="es-UY"/>
        </w:rPr>
      </w:pPr>
    </w:p>
    <w:p w:rsidR="00B41FA8" w:rsidRDefault="00B41FA8" w:rsidP="00B41FA8">
      <w:pPr>
        <w:spacing w:after="0" w:line="360" w:lineRule="auto"/>
        <w:jc w:val="both"/>
        <w:rPr>
          <w:rFonts w:ascii="Arial" w:hAnsi="Arial" w:cs="Arial"/>
          <w:sz w:val="24"/>
          <w:szCs w:val="24"/>
          <w:lang w:val="es-UY"/>
        </w:rPr>
      </w:pPr>
      <w:r w:rsidRPr="00D158A1">
        <w:rPr>
          <w:rFonts w:ascii="Arial" w:hAnsi="Arial" w:cs="Arial"/>
          <w:b/>
          <w:sz w:val="24"/>
          <w:szCs w:val="24"/>
          <w:lang w:val="es-UY"/>
        </w:rPr>
        <w:t>CONSTANCIA DE FUNDAMENTO DE VOTO DISCORDE DEL MINISTRO</w:t>
      </w:r>
      <w:r w:rsidRPr="00D158A1">
        <w:rPr>
          <w:rFonts w:ascii="Arial" w:hAnsi="Arial" w:cs="Arial"/>
          <w:sz w:val="24"/>
          <w:szCs w:val="24"/>
          <w:lang w:val="es-UY"/>
        </w:rPr>
        <w:t xml:space="preserve">               </w:t>
      </w:r>
      <w:r w:rsidRPr="00D158A1">
        <w:rPr>
          <w:rFonts w:ascii="Arial" w:hAnsi="Arial" w:cs="Arial"/>
          <w:b/>
          <w:sz w:val="24"/>
          <w:szCs w:val="24"/>
          <w:lang w:val="es-UY"/>
        </w:rPr>
        <w:t xml:space="preserve">ING. MIGUEL AUMENTO: </w:t>
      </w:r>
      <w:r>
        <w:rPr>
          <w:rFonts w:ascii="Arial" w:hAnsi="Arial" w:cs="Arial"/>
          <w:b/>
          <w:sz w:val="24"/>
          <w:szCs w:val="24"/>
          <w:lang w:val="es-UY"/>
        </w:rPr>
        <w:t>“</w:t>
      </w:r>
      <w:r>
        <w:rPr>
          <w:rFonts w:ascii="Arial" w:hAnsi="Arial" w:cs="Arial"/>
          <w:sz w:val="24"/>
          <w:szCs w:val="24"/>
          <w:lang w:val="es-UY"/>
        </w:rPr>
        <w:t xml:space="preserve">He votado en forma discorde la Resolución recaída en este expediente, en tanto no estoy de acuerdo con la observación formulada por el Tribunal de Cuentas en Sesión del 7 de setiembre de 2016, ni en el hecho de que haya sido mantenida en Sesión del 30 de noviembre de 2016 (primera ampliación al amparo del Artículo 74 del TOCAF). A su vez, estoy en desacuerdo con la observación formulada en Sesión del 30 de noviembre de 2016, ni en hecho de que se mantenga en esta oportunidad (segunda </w:t>
      </w:r>
      <w:bookmarkStart w:id="0" w:name="_GoBack"/>
      <w:bookmarkEnd w:id="0"/>
      <w:r>
        <w:rPr>
          <w:rFonts w:ascii="Arial" w:hAnsi="Arial" w:cs="Arial"/>
          <w:sz w:val="24"/>
          <w:szCs w:val="24"/>
          <w:lang w:val="es-UY"/>
        </w:rPr>
        <w:t>ampliación al amparo del Artículo 74 del TOCAF).</w:t>
      </w:r>
    </w:p>
    <w:p w:rsidR="00B41FA8" w:rsidRDefault="00B41FA8" w:rsidP="00B41FA8">
      <w:pPr>
        <w:spacing w:after="0" w:line="360" w:lineRule="auto"/>
        <w:ind w:firstLine="851"/>
        <w:jc w:val="both"/>
        <w:rPr>
          <w:rFonts w:ascii="Arial" w:hAnsi="Arial" w:cs="Arial"/>
          <w:sz w:val="24"/>
          <w:szCs w:val="24"/>
          <w:lang w:val="es-UY"/>
        </w:rPr>
      </w:pPr>
      <w:r>
        <w:rPr>
          <w:rFonts w:ascii="Arial" w:hAnsi="Arial" w:cs="Arial"/>
          <w:sz w:val="24"/>
          <w:szCs w:val="24"/>
          <w:lang w:val="es-UY"/>
        </w:rPr>
        <w:t>Entiendo que efectivamente procede la ampliación, en tanto con respecto a la prestación objeto del contrato se está respetando sus condiciones y modalidades, y sólo eso es lo que exige la Ley. Lo único que varía es la fuente de financiamiento (la mayoría del Tribunal no objeta ningún otro incumplimiento respecto al Artículo 74 del TOCAF) y ese cambio a mi juicio, no obsta para que se pueda proceder legítimamente al procedimiento de ampliación previsto en el Artículo 74 del TOCAF.</w:t>
      </w:r>
    </w:p>
    <w:p w:rsidR="00B41FA8" w:rsidRDefault="00B41FA8" w:rsidP="00B41FA8">
      <w:pPr>
        <w:spacing w:after="0" w:line="360" w:lineRule="auto"/>
        <w:ind w:firstLine="851"/>
        <w:jc w:val="both"/>
        <w:rPr>
          <w:rFonts w:ascii="Arial" w:hAnsi="Arial" w:cs="Arial"/>
          <w:sz w:val="24"/>
          <w:szCs w:val="24"/>
          <w:lang w:val="es-UY"/>
        </w:rPr>
      </w:pPr>
      <w:r>
        <w:rPr>
          <w:rFonts w:ascii="Arial" w:hAnsi="Arial" w:cs="Arial"/>
          <w:sz w:val="24"/>
          <w:szCs w:val="24"/>
          <w:lang w:val="es-UY"/>
        </w:rPr>
        <w:t>A su vez, en la hipótesis anterior, y en cuanto a la contravención expresada en el Resultando 6) de la referencia (Artículo 13 Literal D) de la Ordenanza Nº 27), se podría haber cometido al Contador Delegado la intervención preventiva del gasto, previa verificación de que el mismo se imputara al rubro correspondiente y que contara con disponibilidad presupuestal.</w:t>
      </w:r>
    </w:p>
    <w:p w:rsidR="00B41FA8" w:rsidRPr="00763070" w:rsidRDefault="00B41FA8" w:rsidP="00B41FA8">
      <w:pPr>
        <w:tabs>
          <w:tab w:val="left" w:pos="1290"/>
        </w:tabs>
        <w:spacing w:after="0" w:line="360" w:lineRule="auto"/>
        <w:ind w:firstLine="851"/>
        <w:jc w:val="both"/>
        <w:rPr>
          <w:rFonts w:ascii="Arial" w:hAnsi="Arial" w:cs="Arial"/>
          <w:sz w:val="24"/>
          <w:szCs w:val="24"/>
          <w:lang w:val="es-UY"/>
        </w:rPr>
      </w:pPr>
      <w:r w:rsidRPr="00D158A1">
        <w:rPr>
          <w:rFonts w:ascii="Arial" w:hAnsi="Arial" w:cs="Arial"/>
          <w:b/>
          <w:sz w:val="24"/>
          <w:szCs w:val="24"/>
          <w:lang w:val="es-UY"/>
        </w:rPr>
        <w:t xml:space="preserve"> </w:t>
      </w:r>
      <w:r>
        <w:rPr>
          <w:rFonts w:ascii="Arial" w:hAnsi="Arial" w:cs="Arial"/>
          <w:sz w:val="24"/>
          <w:szCs w:val="24"/>
          <w:lang w:val="es-UY"/>
        </w:rPr>
        <w:t>Por lo expuesto, he votado en forma discorde la Resolución de este expediente.-</w:t>
      </w:r>
    </w:p>
    <w:p w:rsidR="00B41FA8" w:rsidRDefault="00B41FA8" w:rsidP="00B41FA8">
      <w:pPr>
        <w:spacing w:after="0" w:line="360" w:lineRule="auto"/>
        <w:jc w:val="both"/>
        <w:rPr>
          <w:rFonts w:ascii="Arial" w:hAnsi="Arial" w:cs="Arial"/>
          <w:sz w:val="24"/>
          <w:szCs w:val="24"/>
          <w:lang w:val="es-MX" w:eastAsia="es-ES"/>
        </w:rPr>
      </w:pPr>
    </w:p>
    <w:p w:rsidR="00B41FA8" w:rsidRDefault="00B41FA8" w:rsidP="00B41FA8">
      <w:pPr>
        <w:spacing w:after="0" w:line="360" w:lineRule="auto"/>
        <w:jc w:val="both"/>
        <w:rPr>
          <w:rFonts w:ascii="Arial" w:hAnsi="Arial" w:cs="Arial"/>
          <w:sz w:val="24"/>
          <w:szCs w:val="24"/>
          <w:lang w:val="es-MX" w:eastAsia="es-ES"/>
        </w:rPr>
      </w:pPr>
    </w:p>
    <w:p w:rsidR="00B41FA8" w:rsidRPr="00B41FA8" w:rsidRDefault="00B41FA8" w:rsidP="00B41FA8">
      <w:pPr>
        <w:spacing w:after="0" w:line="360" w:lineRule="auto"/>
        <w:jc w:val="both"/>
        <w:rPr>
          <w:rFonts w:ascii="Arial" w:hAnsi="Arial" w:cs="Arial"/>
          <w:sz w:val="24"/>
          <w:szCs w:val="24"/>
          <w:lang w:val="es-MX" w:eastAsia="es-ES"/>
        </w:rPr>
      </w:pPr>
      <w:proofErr w:type="spellStart"/>
      <w:proofErr w:type="gramStart"/>
      <w:r>
        <w:rPr>
          <w:rFonts w:ascii="Arial" w:hAnsi="Arial" w:cs="Arial"/>
          <w:sz w:val="24"/>
          <w:szCs w:val="24"/>
          <w:lang w:val="es-MX" w:eastAsia="es-ES"/>
        </w:rPr>
        <w:t>lc</w:t>
      </w:r>
      <w:proofErr w:type="spellEnd"/>
      <w:proofErr w:type="gramEnd"/>
    </w:p>
    <w:sectPr w:rsidR="00B41FA8" w:rsidRPr="00B41FA8" w:rsidSect="00DB2F88">
      <w:footerReference w:type="default" r:id="rId8"/>
      <w:pgSz w:w="11906" w:h="16838" w:code="9"/>
      <w:pgMar w:top="3005" w:right="1701" w:bottom="1247"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33" w:rsidRDefault="00C26C33" w:rsidP="00C26C33">
      <w:pPr>
        <w:spacing w:after="0" w:line="240" w:lineRule="auto"/>
      </w:pPr>
      <w:r>
        <w:separator/>
      </w:r>
    </w:p>
  </w:endnote>
  <w:endnote w:type="continuationSeparator" w:id="0">
    <w:p w:rsidR="00C26C33" w:rsidRDefault="00C26C33" w:rsidP="00C2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C33" w:rsidRDefault="00C26C33">
    <w:pPr>
      <w:pStyle w:val="Piedepgina"/>
      <w:jc w:val="center"/>
    </w:pPr>
    <w:r>
      <w:fldChar w:fldCharType="begin"/>
    </w:r>
    <w:r>
      <w:instrText>PAGE   \* MERGEFORMAT</w:instrText>
    </w:r>
    <w:r>
      <w:fldChar w:fldCharType="separate"/>
    </w:r>
    <w:r w:rsidR="00DB2F88">
      <w:rPr>
        <w:noProof/>
      </w:rPr>
      <w:t>4</w:t>
    </w:r>
    <w:r>
      <w:fldChar w:fldCharType="end"/>
    </w:r>
  </w:p>
  <w:p w:rsidR="00C26C33" w:rsidRDefault="00C26C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33" w:rsidRDefault="00C26C33" w:rsidP="00C26C33">
      <w:pPr>
        <w:spacing w:after="0" w:line="240" w:lineRule="auto"/>
      </w:pPr>
      <w:r>
        <w:separator/>
      </w:r>
    </w:p>
  </w:footnote>
  <w:footnote w:type="continuationSeparator" w:id="0">
    <w:p w:rsidR="00C26C33" w:rsidRDefault="00C26C33" w:rsidP="00C26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B92"/>
    <w:multiLevelType w:val="singleLevel"/>
    <w:tmpl w:val="0C0A0011"/>
    <w:lvl w:ilvl="0">
      <w:start w:val="1"/>
      <w:numFmt w:val="decimal"/>
      <w:lvlText w:val="%1)"/>
      <w:lvlJc w:val="left"/>
      <w:pPr>
        <w:ind w:left="360" w:hanging="360"/>
      </w:pPr>
      <w:rPr>
        <w:rFonts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59"/>
    <w:rsid w:val="000531F4"/>
    <w:rsid w:val="001762C3"/>
    <w:rsid w:val="0032667E"/>
    <w:rsid w:val="00357B72"/>
    <w:rsid w:val="005E2C3B"/>
    <w:rsid w:val="006F0D4D"/>
    <w:rsid w:val="007A07CB"/>
    <w:rsid w:val="008A2AD4"/>
    <w:rsid w:val="00963E25"/>
    <w:rsid w:val="009C3B59"/>
    <w:rsid w:val="00AD659C"/>
    <w:rsid w:val="00B41FA8"/>
    <w:rsid w:val="00BF19F7"/>
    <w:rsid w:val="00C26C33"/>
    <w:rsid w:val="00C44DE8"/>
    <w:rsid w:val="00D831B5"/>
    <w:rsid w:val="00DB2F88"/>
    <w:rsid w:val="00E23AE6"/>
    <w:rsid w:val="00F15B53"/>
    <w:rsid w:val="00FD60E4"/>
    <w:rsid w:val="00FF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C26C33"/>
    <w:pPr>
      <w:tabs>
        <w:tab w:val="center" w:pos="4252"/>
        <w:tab w:val="right" w:pos="8504"/>
      </w:tabs>
    </w:pPr>
  </w:style>
  <w:style w:type="character" w:customStyle="1" w:styleId="EncabezadoCar">
    <w:name w:val="Encabezado Car"/>
    <w:basedOn w:val="Fuentedeprrafopredeter"/>
    <w:link w:val="Encabezado"/>
    <w:uiPriority w:val="99"/>
    <w:rsid w:val="00C26C33"/>
    <w:rPr>
      <w:rFonts w:ascii="Calibri" w:hAnsi="Calibri" w:cs="Calibri"/>
      <w:lang w:val="es-ES"/>
    </w:rPr>
  </w:style>
  <w:style w:type="paragraph" w:styleId="Piedepgina">
    <w:name w:val="footer"/>
    <w:basedOn w:val="Normal"/>
    <w:link w:val="PiedepginaCar"/>
    <w:uiPriority w:val="99"/>
    <w:unhideWhenUsed/>
    <w:rsid w:val="00C26C33"/>
    <w:pPr>
      <w:tabs>
        <w:tab w:val="center" w:pos="4252"/>
        <w:tab w:val="right" w:pos="8504"/>
      </w:tabs>
    </w:pPr>
  </w:style>
  <w:style w:type="character" w:customStyle="1" w:styleId="PiedepginaCar">
    <w:name w:val="Pie de página Car"/>
    <w:basedOn w:val="Fuentedeprrafopredeter"/>
    <w:link w:val="Piedepgina"/>
    <w:uiPriority w:val="99"/>
    <w:rsid w:val="00C26C33"/>
    <w:rPr>
      <w:rFonts w:ascii="Calibri" w:hAnsi="Calibri" w:cs="Calibri"/>
      <w:lang w:val="es-ES"/>
    </w:rPr>
  </w:style>
  <w:style w:type="paragraph" w:styleId="Prrafodelista">
    <w:name w:val="List Paragraph"/>
    <w:basedOn w:val="Normal"/>
    <w:uiPriority w:val="34"/>
    <w:qFormat/>
    <w:rsid w:val="00F15B53"/>
    <w:pPr>
      <w:ind w:left="720"/>
      <w:contextualSpacing/>
    </w:pPr>
  </w:style>
  <w:style w:type="paragraph" w:styleId="Textodeglobo">
    <w:name w:val="Balloon Text"/>
    <w:basedOn w:val="Normal"/>
    <w:link w:val="TextodegloboCar"/>
    <w:uiPriority w:val="99"/>
    <w:semiHidden/>
    <w:unhideWhenUsed/>
    <w:rsid w:val="00357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7B72"/>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C26C33"/>
    <w:pPr>
      <w:tabs>
        <w:tab w:val="center" w:pos="4252"/>
        <w:tab w:val="right" w:pos="8504"/>
      </w:tabs>
    </w:pPr>
  </w:style>
  <w:style w:type="character" w:customStyle="1" w:styleId="EncabezadoCar">
    <w:name w:val="Encabezado Car"/>
    <w:basedOn w:val="Fuentedeprrafopredeter"/>
    <w:link w:val="Encabezado"/>
    <w:uiPriority w:val="99"/>
    <w:rsid w:val="00C26C33"/>
    <w:rPr>
      <w:rFonts w:ascii="Calibri" w:hAnsi="Calibri" w:cs="Calibri"/>
      <w:lang w:val="es-ES"/>
    </w:rPr>
  </w:style>
  <w:style w:type="paragraph" w:styleId="Piedepgina">
    <w:name w:val="footer"/>
    <w:basedOn w:val="Normal"/>
    <w:link w:val="PiedepginaCar"/>
    <w:uiPriority w:val="99"/>
    <w:unhideWhenUsed/>
    <w:rsid w:val="00C26C33"/>
    <w:pPr>
      <w:tabs>
        <w:tab w:val="center" w:pos="4252"/>
        <w:tab w:val="right" w:pos="8504"/>
      </w:tabs>
    </w:pPr>
  </w:style>
  <w:style w:type="character" w:customStyle="1" w:styleId="PiedepginaCar">
    <w:name w:val="Pie de página Car"/>
    <w:basedOn w:val="Fuentedeprrafopredeter"/>
    <w:link w:val="Piedepgina"/>
    <w:uiPriority w:val="99"/>
    <w:rsid w:val="00C26C33"/>
    <w:rPr>
      <w:rFonts w:ascii="Calibri" w:hAnsi="Calibri" w:cs="Calibri"/>
      <w:lang w:val="es-ES"/>
    </w:rPr>
  </w:style>
  <w:style w:type="paragraph" w:styleId="Prrafodelista">
    <w:name w:val="List Paragraph"/>
    <w:basedOn w:val="Normal"/>
    <w:uiPriority w:val="34"/>
    <w:qFormat/>
    <w:rsid w:val="00F15B53"/>
    <w:pPr>
      <w:ind w:left="720"/>
      <w:contextualSpacing/>
    </w:pPr>
  </w:style>
  <w:style w:type="paragraph" w:styleId="Textodeglobo">
    <w:name w:val="Balloon Text"/>
    <w:basedOn w:val="Normal"/>
    <w:link w:val="TextodegloboCar"/>
    <w:uiPriority w:val="99"/>
    <w:semiHidden/>
    <w:unhideWhenUsed/>
    <w:rsid w:val="00357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7B72"/>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CARPETA N°: 2014-17-1-0008777</vt:lpstr>
    </vt:vector>
  </TitlesOfParts>
  <Company>Tribunal de Cuentas</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2014-17-1-0008777</dc:title>
  <dc:creator>ANDREA AREOSO USHER</dc:creator>
  <cp:lastModifiedBy>Tribunal1</cp:lastModifiedBy>
  <cp:revision>3</cp:revision>
  <cp:lastPrinted>2017-03-22T17:02:00Z</cp:lastPrinted>
  <dcterms:created xsi:type="dcterms:W3CDTF">2017-03-22T17:01:00Z</dcterms:created>
  <dcterms:modified xsi:type="dcterms:W3CDTF">2017-03-22T17:02:00Z</dcterms:modified>
</cp:coreProperties>
</file>