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E0" w:rsidRPr="00786EEB" w:rsidRDefault="001F24E0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RES. 1037/17</w:t>
      </w:r>
    </w:p>
    <w:p w:rsidR="001F24E0" w:rsidRDefault="001F24E0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1F24E0" w:rsidRPr="00762B34" w:rsidRDefault="001F24E0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1F24E0" w:rsidRPr="00762B34" w:rsidRDefault="001F24E0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1F24E0" w:rsidRPr="00762B34" w:rsidRDefault="001F24E0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1F24E0" w:rsidRPr="00762B34" w:rsidRDefault="001F24E0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1F24E0" w:rsidRPr="00762B34" w:rsidRDefault="001F24E0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 xml:space="preserve">29 DE MARZO </w:t>
      </w:r>
      <w:r>
        <w:rPr>
          <w:rFonts w:ascii="Helvetica" w:hAnsi="Helvetica"/>
          <w:b/>
          <w:lang w:val="es-ES_tradnl"/>
        </w:rPr>
        <w:t>DE 2017</w:t>
      </w:r>
    </w:p>
    <w:p w:rsidR="001F24E0" w:rsidRPr="00762B34" w:rsidRDefault="001F24E0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1F24E0" w:rsidRPr="001F24E0" w:rsidRDefault="001F24E0">
      <w:pPr>
        <w:tabs>
          <w:tab w:val="center" w:pos="4253"/>
        </w:tabs>
        <w:suppressAutoHyphens/>
        <w:jc w:val="center"/>
        <w:rPr>
          <w:b/>
          <w:lang w:val="es-UY"/>
        </w:rPr>
      </w:pPr>
      <w:r w:rsidRPr="001F24E0">
        <w:rPr>
          <w:b/>
          <w:lang w:val="es-UY"/>
        </w:rPr>
        <w:t xml:space="preserve">(E. E. Nº 2015-17-1-0002369, </w:t>
      </w:r>
      <w:proofErr w:type="spellStart"/>
      <w:r w:rsidRPr="001F24E0">
        <w:rPr>
          <w:b/>
          <w:lang w:val="es-UY"/>
        </w:rPr>
        <w:t>Ent</w:t>
      </w:r>
      <w:proofErr w:type="spellEnd"/>
      <w:r w:rsidRPr="001F24E0">
        <w:rPr>
          <w:b/>
          <w:lang w:val="es-UY"/>
        </w:rPr>
        <w:t>. N° 1192/17)</w:t>
      </w:r>
    </w:p>
    <w:p w:rsidR="001F24E0" w:rsidRPr="001F24E0" w:rsidRDefault="001F24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197BCB" w:rsidRDefault="00197BCB" w:rsidP="005B167D">
      <w:pPr>
        <w:spacing w:line="360" w:lineRule="auto"/>
        <w:ind w:firstLine="708"/>
        <w:jc w:val="both"/>
      </w:pPr>
      <w:r>
        <w:rPr>
          <w:b/>
          <w:bCs/>
        </w:rPr>
        <w:t xml:space="preserve">VISTO: </w:t>
      </w:r>
      <w:r>
        <w:t>las actuaciones remitidas por la  Contadora Delegada ante la Intendencia Departamental de Canelones, relacionadas con la reiteración del gasto derivado de la amortización, intereses, gastos y aportes al patrimonio del primer semestre 2016, en el marco del Fideicomiso Financiero Reestructuración de Pasivos Canelones I y II;</w:t>
      </w:r>
    </w:p>
    <w:p w:rsidR="00197BCB" w:rsidRDefault="00197BCB" w:rsidP="005B167D">
      <w:pPr>
        <w:tabs>
          <w:tab w:val="left" w:pos="1843"/>
        </w:tabs>
        <w:spacing w:line="360" w:lineRule="auto"/>
        <w:ind w:firstLine="709"/>
        <w:jc w:val="both"/>
      </w:pPr>
      <w:r>
        <w:rPr>
          <w:b/>
          <w:bCs/>
        </w:rPr>
        <w:t xml:space="preserve">RESULTANDO: 1) </w:t>
      </w:r>
      <w:r>
        <w:t xml:space="preserve">que el 08.12.2011, se constituyó el “Fideicomiso Financiero Reestructuración de Pasivos Canelones I” con </w:t>
      </w:r>
      <w:proofErr w:type="spellStart"/>
      <w:r>
        <w:t>Jayland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 INC como fideicomitente, República Administradora de Fondos de Inversión S.</w:t>
      </w:r>
      <w:proofErr w:type="gramStart"/>
      <w:r>
        <w:t>,.</w:t>
      </w:r>
      <w:proofErr w:type="gramEnd"/>
      <w:r>
        <w:t xml:space="preserve"> </w:t>
      </w:r>
      <w:proofErr w:type="gramStart"/>
      <w:r>
        <w:t>como</w:t>
      </w:r>
      <w:proofErr w:type="gramEnd"/>
      <w:r>
        <w:t xml:space="preserve"> fiduciario, y la Intendencia de Canelones, como beneficiario residual y cedido. En virtud de la constitución del fideicomiso, se generaron gastos que, por aplicación del artículo trigésimo primero del mismo, deberían ser  retenidos por el fiduciario de los pagos que reciba;</w:t>
      </w:r>
    </w:p>
    <w:p w:rsidR="00197BCB" w:rsidRDefault="00197BCB" w:rsidP="005B167D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  <w:bCs/>
        </w:rPr>
        <w:t xml:space="preserve">2) </w:t>
      </w:r>
      <w:r>
        <w:t xml:space="preserve">que el 13.07.12, se firmó un nuevo acuerdo de reestructuración de pasivos entre la Intendencia de Canelones y </w:t>
      </w:r>
      <w:proofErr w:type="spellStart"/>
      <w:r>
        <w:t>Jayland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 INC, por el cual se incorporaron nuevos créditos a la reestructura, al amparo de la cláusula tercera del Contrato suscrito con fecha 06.12.11. En aplicación del mismo </w:t>
      </w:r>
      <w:proofErr w:type="spellStart"/>
      <w:r>
        <w:t>Jayland</w:t>
      </w:r>
      <w:proofErr w:type="spellEnd"/>
      <w:r>
        <w:t xml:space="preserve"> y la Intendencia de Canelones instruyen al fiduciario para que procediera a la emisión de los Títulos de Deuda Serie 2, correspondiente al monto de los nuevos créditos incorporados a la reestructura (Cláusula 2.3 Acuerdo Complementario de fecha 13.07.12) En virtud del citado acuerdo, se generaron gastos que </w:t>
      </w:r>
      <w:proofErr w:type="spellStart"/>
      <w:r>
        <w:t>serian</w:t>
      </w:r>
      <w:proofErr w:type="spellEnd"/>
      <w:r>
        <w:t xml:space="preserve"> solventados por la Intendencia de Canelones, al momento del pago de las obligaciones emitidas, en aplicación del artículo cuarto del documento mencionado;</w:t>
      </w:r>
    </w:p>
    <w:p w:rsidR="00197BCB" w:rsidRDefault="00197BCB" w:rsidP="005B167D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  <w:bCs/>
        </w:rPr>
        <w:lastRenderedPageBreak/>
        <w:t xml:space="preserve">3) </w:t>
      </w:r>
      <w:r>
        <w:t>que este Tribunal, con fecha 7 de agosto de 2013</w:t>
      </w:r>
      <w:r w:rsidR="005B167D">
        <w:t>,</w:t>
      </w:r>
      <w:r>
        <w:t xml:space="preserve"> observó los gastos originados en el Contrato de Fideicomiso de fecha 08.12.2011 y el Acuerdo Complementario de fecha 13.07.12 como asimismo los pagos, mediante transferencia realizados en el año 2012 mediante la cesión de cobranza descentralizada, por la suma de $ 55.068.110, por haberse configurando principio de ejecución contraviniéndose el </w:t>
      </w:r>
      <w:r w:rsidR="005B167D">
        <w:t>A</w:t>
      </w:r>
      <w:r>
        <w:t>rt</w:t>
      </w:r>
      <w:r w:rsidR="005B167D">
        <w:t>ículo</w:t>
      </w:r>
      <w:r>
        <w:t xml:space="preserve"> 211 </w:t>
      </w:r>
      <w:r w:rsidR="005B167D">
        <w:t>L</w:t>
      </w:r>
      <w:r>
        <w:t>iteral B) de la  Constitución de la República y en este último caso también por falta de disponibilidad en el rubro de imputación (</w:t>
      </w:r>
      <w:r w:rsidR="005B167D">
        <w:t>A</w:t>
      </w:r>
      <w:r>
        <w:t>rt</w:t>
      </w:r>
      <w:r w:rsidR="005B167D">
        <w:t>ículo</w:t>
      </w:r>
      <w:r>
        <w:t xml:space="preserve"> 15 del TOCAF) ;</w:t>
      </w:r>
    </w:p>
    <w:p w:rsidR="00197BCB" w:rsidRDefault="00197BCB" w:rsidP="005B167D">
      <w:pPr>
        <w:tabs>
          <w:tab w:val="left" w:pos="1843"/>
        </w:tabs>
        <w:spacing w:line="360" w:lineRule="auto"/>
        <w:ind w:firstLine="2694"/>
        <w:jc w:val="both"/>
      </w:pPr>
      <w:r w:rsidRPr="005B167D">
        <w:rPr>
          <w:b/>
        </w:rPr>
        <w:t>4</w:t>
      </w:r>
      <w:r w:rsidRPr="005B167D">
        <w:rPr>
          <w:b/>
          <w:bCs/>
        </w:rPr>
        <w:t>)</w:t>
      </w:r>
      <w:r>
        <w:rPr>
          <w:b/>
          <w:bCs/>
        </w:rPr>
        <w:t xml:space="preserve"> </w:t>
      </w:r>
      <w:r>
        <w:t>que el Intendente, por Resolución No. 13/04536 de fecha 29 de agosto,</w:t>
      </w:r>
      <w:r w:rsidR="005B167D">
        <w:t xml:space="preserve"> </w:t>
      </w:r>
      <w:r>
        <w:t>dispuso reiterar el gasto observado, alegando razones de servicio;</w:t>
      </w:r>
    </w:p>
    <w:p w:rsidR="005B167D" w:rsidRDefault="00197BCB" w:rsidP="005B167D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  <w:bCs/>
        </w:rPr>
        <w:t>5)</w:t>
      </w:r>
      <w:r>
        <w:t xml:space="preserve"> que en el mes de agosto/2016, se remitieron para su intervención los importes correspondientes a amortización, intereses, gastos y aportes al patrimonio del primer semestre del 2016 de </w:t>
      </w:r>
      <w:proofErr w:type="spellStart"/>
      <w:r>
        <w:t>Jayland</w:t>
      </w:r>
      <w:proofErr w:type="spellEnd"/>
      <w:r>
        <w:t xml:space="preserve"> </w:t>
      </w:r>
      <w:proofErr w:type="spellStart"/>
      <w:r>
        <w:t>Iy</w:t>
      </w:r>
      <w:proofErr w:type="spellEnd"/>
      <w:r>
        <w:t xml:space="preserve"> II, los que </w:t>
      </w:r>
      <w:r w:rsidR="005B167D">
        <w:t xml:space="preserve">   </w:t>
      </w:r>
      <w:r>
        <w:t>ascienden:</w:t>
      </w:r>
      <w:r w:rsidR="005B167D">
        <w:t xml:space="preserve">    </w:t>
      </w:r>
      <w:r>
        <w:t xml:space="preserve">por </w:t>
      </w:r>
      <w:r w:rsidR="005B167D">
        <w:t xml:space="preserve">   </w:t>
      </w:r>
      <w:r>
        <w:t xml:space="preserve">amortización </w:t>
      </w:r>
      <w:r w:rsidR="005B167D">
        <w:t xml:space="preserve">    </w:t>
      </w:r>
      <w:r>
        <w:t xml:space="preserve">IU 7.020.186,72, </w:t>
      </w:r>
      <w:r w:rsidR="005B167D">
        <w:t xml:space="preserve">     </w:t>
      </w:r>
      <w:r>
        <w:t xml:space="preserve">intereses </w:t>
      </w:r>
      <w:r w:rsidR="005B167D">
        <w:t xml:space="preserve">   </w:t>
      </w:r>
      <w:r>
        <w:t>y</w:t>
      </w:r>
      <w:r w:rsidR="005B167D">
        <w:t xml:space="preserve">       </w:t>
      </w:r>
      <w:r>
        <w:t xml:space="preserve">gastos </w:t>
      </w:r>
    </w:p>
    <w:p w:rsidR="00197BCB" w:rsidRDefault="00197BCB" w:rsidP="005B167D">
      <w:pPr>
        <w:tabs>
          <w:tab w:val="left" w:pos="1843"/>
        </w:tabs>
        <w:spacing w:line="360" w:lineRule="auto"/>
        <w:jc w:val="both"/>
      </w:pPr>
      <w:r>
        <w:t xml:space="preserve">IU 9.899.813,28 y aportes al patrimonio a IU 30.000; </w:t>
      </w:r>
    </w:p>
    <w:p w:rsidR="00197BCB" w:rsidRDefault="00197BCB" w:rsidP="005B167D">
      <w:pPr>
        <w:tabs>
          <w:tab w:val="left" w:pos="1843"/>
        </w:tabs>
        <w:spacing w:line="360" w:lineRule="auto"/>
        <w:ind w:firstLine="2694"/>
        <w:jc w:val="both"/>
      </w:pPr>
      <w:r>
        <w:rPr>
          <w:b/>
          <w:bCs/>
        </w:rPr>
        <w:t>6)</w:t>
      </w:r>
      <w:r>
        <w:t xml:space="preserve"> que en sesión de fecha 17/8/16, este Tribunal observó el gasto de referencia, por encontrarse afectados por las causales de la observación formulada en sesión de fecha 7/08/13 y por carecer de disponibilidad el rubro de imputación;</w:t>
      </w:r>
    </w:p>
    <w:p w:rsidR="00197BCB" w:rsidRDefault="00197BCB" w:rsidP="00C20C29">
      <w:pPr>
        <w:tabs>
          <w:tab w:val="left" w:pos="1843"/>
        </w:tabs>
        <w:spacing w:line="360" w:lineRule="auto"/>
        <w:ind w:firstLine="2694"/>
        <w:jc w:val="both"/>
      </w:pPr>
      <w:r w:rsidRPr="00C20C29">
        <w:rPr>
          <w:b/>
        </w:rPr>
        <w:t>7</w:t>
      </w:r>
      <w:r w:rsidRPr="00C20C29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que por Resolución 16/05411 de fecha 08/09/2016, el Intendente reitera el gasto, aduciendo que es necesario continuar con el convenio para llevar adelante los objetivos </w:t>
      </w:r>
      <w:r w:rsidR="00C20C29">
        <w:t>trazados por la Administración;</w:t>
      </w:r>
    </w:p>
    <w:p w:rsidR="00197BCB" w:rsidRDefault="00197BCB" w:rsidP="00C20C29">
      <w:pPr>
        <w:spacing w:line="360" w:lineRule="auto"/>
        <w:ind w:firstLine="708"/>
        <w:jc w:val="both"/>
      </w:pPr>
      <w:r>
        <w:rPr>
          <w:b/>
          <w:bCs/>
        </w:rPr>
        <w:t>CONSIDERANDO:</w:t>
      </w:r>
      <w:r>
        <w:rPr>
          <w:b/>
          <w:bCs/>
          <w:lang w:val="es-UY"/>
        </w:rPr>
        <w:t xml:space="preserve"> </w:t>
      </w:r>
      <w:r>
        <w:rPr>
          <w:b/>
          <w:bCs/>
        </w:rPr>
        <w:t>1)</w:t>
      </w:r>
      <w:r>
        <w:rPr>
          <w:lang w:val="es-UY"/>
        </w:rPr>
        <w:t xml:space="preserve"> </w:t>
      </w:r>
      <w:r>
        <w:rPr>
          <w:lang w:val="es-MX"/>
        </w:rPr>
        <w:t xml:space="preserve">que el </w:t>
      </w:r>
      <w:r w:rsidR="00C20C29">
        <w:rPr>
          <w:lang w:val="es-MX"/>
        </w:rPr>
        <w:t>A</w:t>
      </w:r>
      <w:r>
        <w:rPr>
          <w:lang w:val="es-MX"/>
        </w:rPr>
        <w:t>rt</w:t>
      </w:r>
      <w:r w:rsidR="00C20C29">
        <w:rPr>
          <w:lang w:val="es-MX"/>
        </w:rPr>
        <w:t>ículo</w:t>
      </w:r>
      <w:r>
        <w:rPr>
          <w:lang w:val="es-MX"/>
        </w:rPr>
        <w:t xml:space="preserve"> 475 de la Ley 17.296 dispone que los Ordenadores de gastos o pagos, al ejercer la facultad de insistencia  o reiteración que les confiere el </w:t>
      </w:r>
      <w:r w:rsidR="00C20C29">
        <w:rPr>
          <w:lang w:val="es-MX"/>
        </w:rPr>
        <w:t>A</w:t>
      </w:r>
      <w:r>
        <w:rPr>
          <w:lang w:val="es-MX"/>
        </w:rPr>
        <w:t>rt</w:t>
      </w:r>
      <w:r w:rsidR="00C20C29">
        <w:rPr>
          <w:lang w:val="es-MX"/>
        </w:rPr>
        <w:t>ículo</w:t>
      </w:r>
      <w:r>
        <w:rPr>
          <w:lang w:val="es-MX"/>
        </w:rPr>
        <w:t xml:space="preserve"> 211 </w:t>
      </w:r>
      <w:r w:rsidR="00C20C29">
        <w:rPr>
          <w:lang w:val="es-MX"/>
        </w:rPr>
        <w:t>L</w:t>
      </w:r>
      <w:r>
        <w:rPr>
          <w:lang w:val="es-MX"/>
        </w:rPr>
        <w:t>it</w:t>
      </w:r>
      <w:r w:rsidR="00C20C29">
        <w:rPr>
          <w:lang w:val="es-MX"/>
        </w:rPr>
        <w:t>eral</w:t>
      </w:r>
      <w:r>
        <w:rPr>
          <w:lang w:val="es-MX"/>
        </w:rPr>
        <w:t xml:space="preserve"> B) de la Constitución de la República deberán hacerlo en forma fundada, detallando los motivos que a su juicio justifican seguir el curso del gasto o pago; </w:t>
      </w:r>
    </w:p>
    <w:p w:rsidR="00197BCB" w:rsidRDefault="00C20C29" w:rsidP="00C20C29">
      <w:pPr>
        <w:spacing w:line="360" w:lineRule="auto"/>
        <w:ind w:firstLine="2835"/>
        <w:jc w:val="both"/>
        <w:rPr>
          <w:b/>
          <w:bCs/>
          <w:lang w:val="es-UY"/>
        </w:rPr>
      </w:pPr>
      <w:r>
        <w:rPr>
          <w:b/>
          <w:bCs/>
        </w:rPr>
        <w:lastRenderedPageBreak/>
        <w:t xml:space="preserve"> </w:t>
      </w:r>
      <w:r w:rsidR="00197BCB">
        <w:rPr>
          <w:b/>
          <w:bCs/>
        </w:rPr>
        <w:t>2</w:t>
      </w:r>
      <w:r w:rsidR="00197BCB">
        <w:rPr>
          <w:b/>
          <w:bCs/>
          <w:lang w:val="es-UY"/>
        </w:rPr>
        <w:t xml:space="preserve">) </w:t>
      </w:r>
      <w:r w:rsidR="00197BCB">
        <w:rPr>
          <w:lang w:val="es-UY"/>
        </w:rPr>
        <w:t xml:space="preserve">que los argumentos aducidos </w:t>
      </w:r>
      <w:r w:rsidR="00197BCB">
        <w:rPr>
          <w:lang w:val="es-MX"/>
        </w:rPr>
        <w:t>en la  resolución en la que se  reitera el gasto, no guardan relación directa con los motivos de la observación formulada;</w:t>
      </w:r>
      <w:r w:rsidR="00197BCB">
        <w:rPr>
          <w:b/>
          <w:bCs/>
          <w:lang w:val="es-UY"/>
        </w:rPr>
        <w:t xml:space="preserve"> </w:t>
      </w:r>
    </w:p>
    <w:p w:rsidR="00197BCB" w:rsidRDefault="00197BCB" w:rsidP="00C20C29">
      <w:pPr>
        <w:spacing w:line="360" w:lineRule="auto"/>
        <w:ind w:firstLine="709"/>
        <w:jc w:val="both"/>
        <w:rPr>
          <w:lang w:val="es-UY"/>
        </w:rPr>
      </w:pPr>
      <w:r>
        <w:rPr>
          <w:b/>
          <w:bCs/>
          <w:lang w:val="es-UY"/>
        </w:rPr>
        <w:t xml:space="preserve">ATENTO: </w:t>
      </w:r>
      <w:r>
        <w:rPr>
          <w:lang w:val="es-UY"/>
        </w:rPr>
        <w:t>a lo ex</w:t>
      </w:r>
      <w:r w:rsidR="00C20C29">
        <w:rPr>
          <w:lang w:val="es-UY"/>
        </w:rPr>
        <w:t>puesto y a lo dispuesto por el A</w:t>
      </w:r>
      <w:r>
        <w:rPr>
          <w:lang w:val="es-UY"/>
        </w:rPr>
        <w:t>rt</w:t>
      </w:r>
      <w:r w:rsidR="00C20C29">
        <w:rPr>
          <w:lang w:val="es-UY"/>
        </w:rPr>
        <w:t>ículo</w:t>
      </w:r>
      <w:r>
        <w:rPr>
          <w:lang w:val="es-UY"/>
        </w:rPr>
        <w:t xml:space="preserve"> 211 </w:t>
      </w:r>
      <w:r w:rsidR="00C20C29">
        <w:rPr>
          <w:lang w:val="es-UY"/>
        </w:rPr>
        <w:t>L</w:t>
      </w:r>
      <w:r>
        <w:rPr>
          <w:lang w:val="es-UY"/>
        </w:rPr>
        <w:t>it</w:t>
      </w:r>
      <w:r w:rsidR="00C20C29">
        <w:rPr>
          <w:lang w:val="es-UY"/>
        </w:rPr>
        <w:t>eral</w:t>
      </w:r>
      <w:r>
        <w:rPr>
          <w:lang w:val="es-UY"/>
        </w:rPr>
        <w:t xml:space="preserve"> B) de la Constitución de la República;</w:t>
      </w:r>
    </w:p>
    <w:p w:rsidR="00197BCB" w:rsidRDefault="00197BCB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197BCB" w:rsidRDefault="00C20C29" w:rsidP="00C20C29">
      <w:pPr>
        <w:spacing w:line="360" w:lineRule="auto"/>
        <w:jc w:val="both"/>
      </w:pPr>
      <w:r w:rsidRPr="00C20C29">
        <w:rPr>
          <w:b/>
        </w:rPr>
        <w:t>1)</w:t>
      </w:r>
      <w:r>
        <w:t xml:space="preserve"> </w:t>
      </w:r>
      <w:r w:rsidR="00197BCB">
        <w:t>Mantener la observación de fecha 17/08/</w:t>
      </w:r>
      <w:r w:rsidR="00197BCB">
        <w:rPr>
          <w:lang w:val="es-MX"/>
        </w:rPr>
        <w:t>16</w:t>
      </w:r>
      <w:r w:rsidR="00197BCB">
        <w:t>;</w:t>
      </w:r>
    </w:p>
    <w:p w:rsidR="00197BCB" w:rsidRDefault="00C20C29" w:rsidP="00C20C29">
      <w:pPr>
        <w:tabs>
          <w:tab w:val="num" w:pos="284"/>
        </w:tabs>
        <w:spacing w:line="360" w:lineRule="auto"/>
        <w:ind w:left="284" w:hanging="284"/>
        <w:jc w:val="both"/>
      </w:pPr>
      <w:r w:rsidRPr="00C20C29">
        <w:rPr>
          <w:b/>
        </w:rPr>
        <w:t>2)</w:t>
      </w:r>
      <w:r>
        <w:t xml:space="preserve"> </w:t>
      </w:r>
      <w:r w:rsidR="00197BCB">
        <w:t xml:space="preserve">Dar cuenta a la Junta Departamental de Canelones; </w:t>
      </w:r>
      <w:r>
        <w:t>y</w:t>
      </w:r>
    </w:p>
    <w:p w:rsidR="00197BCB" w:rsidRDefault="00C20C29" w:rsidP="00C20C29">
      <w:pPr>
        <w:spacing w:line="360" w:lineRule="auto"/>
        <w:jc w:val="both"/>
      </w:pPr>
      <w:r w:rsidRPr="00C20C29">
        <w:rPr>
          <w:b/>
        </w:rPr>
        <w:t>3)</w:t>
      </w:r>
      <w:r>
        <w:t xml:space="preserve"> Comunicar  al Contador Delegado.</w:t>
      </w:r>
      <w:bookmarkStart w:id="0" w:name="_GoBack"/>
      <w:bookmarkEnd w:id="0"/>
    </w:p>
    <w:p w:rsidR="00197BCB" w:rsidRDefault="00197BCB">
      <w:pPr>
        <w:spacing w:line="360" w:lineRule="auto"/>
        <w:jc w:val="both"/>
        <w:rPr>
          <w:lang w:val="es-MX"/>
        </w:rPr>
      </w:pPr>
    </w:p>
    <w:p w:rsidR="00197BCB" w:rsidRDefault="00197BCB">
      <w:pPr>
        <w:spacing w:line="360" w:lineRule="auto"/>
        <w:jc w:val="both"/>
        <w:rPr>
          <w:lang w:val="es-MX"/>
        </w:rPr>
      </w:pPr>
    </w:p>
    <w:p w:rsidR="00C20C29" w:rsidRDefault="00C20C29">
      <w:pPr>
        <w:spacing w:line="360" w:lineRule="auto"/>
        <w:jc w:val="both"/>
        <w:rPr>
          <w:lang w:val="es-MX"/>
        </w:rPr>
      </w:pPr>
    </w:p>
    <w:p w:rsidR="00C20C29" w:rsidRDefault="00C20C29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cr</w:t>
      </w:r>
      <w:proofErr w:type="spellEnd"/>
      <w:proofErr w:type="gramEnd"/>
    </w:p>
    <w:p w:rsidR="00197BCB" w:rsidRDefault="00197BCB">
      <w:pPr>
        <w:spacing w:line="360" w:lineRule="auto"/>
        <w:jc w:val="both"/>
        <w:rPr>
          <w:rStyle w:val="Hipervnculo"/>
          <w:rFonts w:ascii="Arial" w:hAnsi="Arial" w:cs="Arial"/>
          <w:b/>
          <w:bCs/>
          <w:color w:val="auto"/>
          <w:sz w:val="18"/>
          <w:szCs w:val="18"/>
          <w:u w:val="none"/>
        </w:rPr>
      </w:pPr>
    </w:p>
    <w:sectPr w:rsidR="00197BCB" w:rsidSect="001F24E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CB"/>
    <w:rsid w:val="00197BCB"/>
    <w:rsid w:val="001F24E0"/>
    <w:rsid w:val="005B167D"/>
    <w:rsid w:val="007B5496"/>
    <w:rsid w:val="00955BA9"/>
    <w:rsid w:val="00C2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496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49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2015-17-1-0002369</vt:lpstr>
    </vt:vector>
  </TitlesOfParts>
  <Company>Tribunal de Cuentas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2015-17-1-0002369</dc:title>
  <dc:creator>MARIA JOSE OVIEDO PELAEZ</dc:creator>
  <cp:lastModifiedBy>Miriam Cristina Rivero</cp:lastModifiedBy>
  <cp:revision>2</cp:revision>
  <cp:lastPrinted>2017-03-31T18:14:00Z</cp:lastPrinted>
  <dcterms:created xsi:type="dcterms:W3CDTF">2017-03-31T18:14:00Z</dcterms:created>
  <dcterms:modified xsi:type="dcterms:W3CDTF">2017-03-31T18:14:00Z</dcterms:modified>
</cp:coreProperties>
</file>