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F58" w:rsidRDefault="00643F58">
      <w:pPr>
        <w:pStyle w:val="Ttulo"/>
        <w:jc w:val="right"/>
        <w:rPr>
          <w:b w:val="0"/>
          <w:bCs w:val="0"/>
          <w:u w:val="none"/>
        </w:rPr>
      </w:pPr>
      <w:r>
        <w:rPr>
          <w:b w:val="0"/>
          <w:bCs w:val="0"/>
          <w:u w:val="none"/>
        </w:rPr>
        <w:t xml:space="preserve">                                                    </w:t>
      </w:r>
    </w:p>
    <w:p w:rsidR="000E694D" w:rsidRPr="001E2BFE" w:rsidRDefault="000E694D" w:rsidP="001E2BFE">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 xml:space="preserve">RES. </w:t>
      </w:r>
      <w:r w:rsidR="000E1521">
        <w:rPr>
          <w:rFonts w:ascii="Arial" w:hAnsi="Arial" w:cs="Arial"/>
          <w:b/>
          <w:sz w:val="28"/>
          <w:szCs w:val="28"/>
          <w:lang w:val="es-ES_tradnl"/>
        </w:rPr>
        <w:t>993</w:t>
      </w:r>
      <w:r>
        <w:rPr>
          <w:rFonts w:ascii="Arial" w:hAnsi="Arial" w:cs="Arial"/>
          <w:b/>
          <w:sz w:val="28"/>
          <w:szCs w:val="28"/>
          <w:lang w:val="es-ES_tradnl"/>
        </w:rPr>
        <w:t>/17</w:t>
      </w:r>
      <w:bookmarkStart w:id="0" w:name="_GoBack"/>
      <w:bookmarkEnd w:id="0"/>
    </w:p>
    <w:p w:rsidR="000E694D" w:rsidRPr="000E694D" w:rsidRDefault="000E694D" w:rsidP="000E694D">
      <w:pPr>
        <w:tabs>
          <w:tab w:val="center" w:pos="4253"/>
        </w:tabs>
        <w:suppressAutoHyphens/>
        <w:spacing w:after="0" w:line="240" w:lineRule="auto"/>
        <w:jc w:val="center"/>
        <w:rPr>
          <w:rFonts w:ascii="Arial" w:hAnsi="Arial" w:cs="Arial"/>
          <w:b/>
          <w:sz w:val="24"/>
          <w:szCs w:val="24"/>
          <w:lang w:val="es-ES_tradnl"/>
        </w:rPr>
      </w:pPr>
      <w:r w:rsidRPr="000E694D">
        <w:rPr>
          <w:rFonts w:ascii="Arial" w:hAnsi="Arial" w:cs="Arial"/>
          <w:b/>
          <w:sz w:val="24"/>
          <w:szCs w:val="24"/>
          <w:lang w:val="es-ES_tradnl"/>
        </w:rPr>
        <w:t>RESOLUCION ADOPTADA POR EL</w:t>
      </w:r>
    </w:p>
    <w:p w:rsidR="000E694D" w:rsidRPr="000E694D" w:rsidRDefault="000E694D" w:rsidP="000E694D">
      <w:pPr>
        <w:tabs>
          <w:tab w:val="left" w:pos="-720"/>
        </w:tabs>
        <w:suppressAutoHyphens/>
        <w:spacing w:after="0" w:line="240" w:lineRule="auto"/>
        <w:jc w:val="center"/>
        <w:rPr>
          <w:rFonts w:ascii="Arial" w:hAnsi="Arial" w:cs="Arial"/>
          <w:b/>
          <w:sz w:val="24"/>
          <w:szCs w:val="24"/>
          <w:lang w:val="es-ES_tradnl"/>
        </w:rPr>
      </w:pPr>
    </w:p>
    <w:p w:rsidR="000E694D" w:rsidRPr="000E694D" w:rsidRDefault="000E694D" w:rsidP="000E694D">
      <w:pPr>
        <w:tabs>
          <w:tab w:val="center" w:pos="4253"/>
        </w:tabs>
        <w:suppressAutoHyphens/>
        <w:spacing w:after="0" w:line="240" w:lineRule="auto"/>
        <w:jc w:val="center"/>
        <w:rPr>
          <w:rFonts w:ascii="Arial" w:hAnsi="Arial" w:cs="Arial"/>
          <w:b/>
          <w:sz w:val="24"/>
          <w:szCs w:val="24"/>
          <w:lang w:val="es-ES_tradnl"/>
        </w:rPr>
      </w:pPr>
      <w:r w:rsidRPr="000E694D">
        <w:rPr>
          <w:rFonts w:ascii="Arial" w:hAnsi="Arial" w:cs="Arial"/>
          <w:b/>
          <w:sz w:val="24"/>
          <w:szCs w:val="24"/>
          <w:lang w:val="es-ES_tradnl"/>
        </w:rPr>
        <w:t>TRIBUNAL DE CUENTAS</w:t>
      </w:r>
    </w:p>
    <w:p w:rsidR="000E694D" w:rsidRPr="000E694D" w:rsidRDefault="000E694D" w:rsidP="000E694D">
      <w:pPr>
        <w:tabs>
          <w:tab w:val="left" w:pos="-720"/>
        </w:tabs>
        <w:suppressAutoHyphens/>
        <w:spacing w:after="0" w:line="240" w:lineRule="auto"/>
        <w:jc w:val="center"/>
        <w:rPr>
          <w:rFonts w:ascii="Arial" w:hAnsi="Arial" w:cs="Arial"/>
          <w:b/>
          <w:sz w:val="24"/>
          <w:szCs w:val="24"/>
          <w:lang w:val="es-ES_tradnl"/>
        </w:rPr>
      </w:pPr>
    </w:p>
    <w:p w:rsidR="000E694D" w:rsidRPr="000E694D" w:rsidRDefault="000E694D" w:rsidP="000E694D">
      <w:pPr>
        <w:tabs>
          <w:tab w:val="center" w:pos="4253"/>
        </w:tabs>
        <w:suppressAutoHyphens/>
        <w:spacing w:after="0" w:line="240" w:lineRule="auto"/>
        <w:jc w:val="center"/>
        <w:rPr>
          <w:rFonts w:ascii="Arial" w:hAnsi="Arial" w:cs="Arial"/>
          <w:b/>
          <w:sz w:val="24"/>
          <w:szCs w:val="24"/>
          <w:lang w:val="es-ES_tradnl"/>
        </w:rPr>
      </w:pPr>
      <w:r w:rsidRPr="000E694D">
        <w:rPr>
          <w:rFonts w:ascii="Arial" w:hAnsi="Arial" w:cs="Arial"/>
          <w:b/>
          <w:sz w:val="24"/>
          <w:szCs w:val="24"/>
          <w:lang w:val="es-ES_tradnl"/>
        </w:rPr>
        <w:t>EN SESION DE FECHA 29 DE MARZO DE 2017</w:t>
      </w:r>
    </w:p>
    <w:p w:rsidR="000E694D" w:rsidRPr="000E694D" w:rsidRDefault="000E694D" w:rsidP="000E694D">
      <w:pPr>
        <w:tabs>
          <w:tab w:val="center" w:pos="4253"/>
        </w:tabs>
        <w:suppressAutoHyphens/>
        <w:spacing w:after="0" w:line="240" w:lineRule="auto"/>
        <w:jc w:val="center"/>
        <w:rPr>
          <w:rFonts w:ascii="Arial" w:hAnsi="Arial" w:cs="Arial"/>
          <w:b/>
          <w:sz w:val="24"/>
          <w:szCs w:val="24"/>
          <w:lang w:val="es-ES_tradnl"/>
        </w:rPr>
      </w:pPr>
    </w:p>
    <w:p w:rsidR="000E694D" w:rsidRPr="000E1521" w:rsidRDefault="000E694D" w:rsidP="000E694D">
      <w:pPr>
        <w:tabs>
          <w:tab w:val="center" w:pos="4253"/>
        </w:tabs>
        <w:suppressAutoHyphens/>
        <w:spacing w:after="0" w:line="240" w:lineRule="auto"/>
        <w:jc w:val="center"/>
        <w:rPr>
          <w:rFonts w:ascii="Arial" w:hAnsi="Arial" w:cs="Arial"/>
          <w:b/>
          <w:sz w:val="24"/>
          <w:szCs w:val="24"/>
        </w:rPr>
      </w:pPr>
      <w:r w:rsidRPr="000E1521">
        <w:rPr>
          <w:rFonts w:ascii="Arial" w:hAnsi="Arial" w:cs="Arial"/>
          <w:b/>
          <w:sz w:val="24"/>
          <w:szCs w:val="24"/>
        </w:rPr>
        <w:t>(E. E. Nº</w:t>
      </w:r>
      <w:r w:rsidR="000E1521" w:rsidRPr="000E1521">
        <w:rPr>
          <w:rFonts w:ascii="Arial" w:hAnsi="Arial" w:cs="Arial"/>
          <w:b/>
          <w:sz w:val="24"/>
          <w:szCs w:val="24"/>
        </w:rPr>
        <w:t>2016-17-1-0004920,</w:t>
      </w:r>
      <w:r w:rsidRPr="000E1521">
        <w:rPr>
          <w:rFonts w:ascii="Arial" w:hAnsi="Arial" w:cs="Arial"/>
          <w:b/>
          <w:sz w:val="24"/>
          <w:szCs w:val="24"/>
        </w:rPr>
        <w:t xml:space="preserve"> </w:t>
      </w:r>
      <w:proofErr w:type="spellStart"/>
      <w:r w:rsidRPr="000E1521">
        <w:rPr>
          <w:rFonts w:ascii="Arial" w:hAnsi="Arial" w:cs="Arial"/>
          <w:b/>
          <w:sz w:val="24"/>
          <w:szCs w:val="24"/>
        </w:rPr>
        <w:t>Ent</w:t>
      </w:r>
      <w:proofErr w:type="spellEnd"/>
      <w:r w:rsidRPr="000E1521">
        <w:rPr>
          <w:rFonts w:ascii="Arial" w:hAnsi="Arial" w:cs="Arial"/>
          <w:b/>
          <w:sz w:val="24"/>
          <w:szCs w:val="24"/>
        </w:rPr>
        <w:t>. N°</w:t>
      </w:r>
      <w:r w:rsidR="000E1521" w:rsidRPr="000E1521">
        <w:rPr>
          <w:rFonts w:ascii="Arial" w:hAnsi="Arial" w:cs="Arial"/>
          <w:b/>
          <w:sz w:val="24"/>
          <w:szCs w:val="24"/>
        </w:rPr>
        <w:t>1186/17</w:t>
      </w:r>
      <w:r w:rsidRPr="000E1521">
        <w:rPr>
          <w:rFonts w:ascii="Arial" w:hAnsi="Arial" w:cs="Arial"/>
          <w:b/>
          <w:sz w:val="24"/>
          <w:szCs w:val="24"/>
        </w:rPr>
        <w:t>)</w:t>
      </w:r>
    </w:p>
    <w:p w:rsidR="00643F58" w:rsidRDefault="00643F58">
      <w:pPr>
        <w:pStyle w:val="Ttulo"/>
        <w:jc w:val="both"/>
        <w:rPr>
          <w:b w:val="0"/>
          <w:bCs w:val="0"/>
          <w:u w:val="none"/>
          <w:lang w:val="es-ES_tradnl"/>
        </w:rPr>
      </w:pPr>
    </w:p>
    <w:p w:rsidR="00643F58" w:rsidRDefault="00643F58" w:rsidP="000E1521">
      <w:pPr>
        <w:pStyle w:val="Ttulo"/>
        <w:ind w:firstLine="851"/>
        <w:jc w:val="both"/>
        <w:rPr>
          <w:u w:val="none"/>
        </w:rPr>
      </w:pPr>
      <w:r>
        <w:rPr>
          <w:u w:val="none"/>
        </w:rPr>
        <w:t xml:space="preserve">VISTO: </w:t>
      </w:r>
      <w:r>
        <w:rPr>
          <w:b w:val="0"/>
          <w:bCs w:val="0"/>
          <w:u w:val="none"/>
        </w:rPr>
        <w:t xml:space="preserve">el Oficio Nº 265/17 de fecha 03.03.17 remitido  por el Contador Delegado ante la Intendencia de Maldonado relacionado con una  reiteración del gasto derivado de la Licitación Pública Nº 10/2015 convocada para la realización de servicio de limpieza y barrido de Maldonado Centro; </w:t>
      </w:r>
    </w:p>
    <w:p w:rsidR="00643F58" w:rsidRDefault="00643F58" w:rsidP="000E1521">
      <w:pPr>
        <w:pStyle w:val="Ttulo"/>
        <w:ind w:firstLine="851"/>
        <w:jc w:val="both"/>
        <w:rPr>
          <w:u w:val="none"/>
          <w:lang w:val="es-ES_tradnl"/>
        </w:rPr>
      </w:pPr>
      <w:r>
        <w:rPr>
          <w:u w:val="none"/>
        </w:rPr>
        <w:t xml:space="preserve">RESULTANDO: 1) </w:t>
      </w:r>
      <w:r>
        <w:rPr>
          <w:b w:val="0"/>
          <w:bCs w:val="0"/>
          <w:u w:val="none"/>
        </w:rPr>
        <w:t>que el Intendente por Resolución Nº 04044/2016 de fecha 10.06.16, adjudicó el llamado, ad referéndum del dictamen de este Tribunal, a URBAN CLEAN por un precio mensual de $ 1.088.550 IVA incluido, y por un servicio especial correspondiente al valor hora peón de barrido con carro de herramientas, diurna a $ 260 y nocturna $ 290, IVA y leyes sociales incluidos, por el periodo de un año, prorrogable año a año, a opción de la Intendencia, hasta la finalización del actual periodo de gobierno;</w:t>
      </w:r>
    </w:p>
    <w:p w:rsidR="00643F58" w:rsidRDefault="00643F58" w:rsidP="000E1521">
      <w:pPr>
        <w:pStyle w:val="Ttulo"/>
        <w:ind w:firstLine="2835"/>
        <w:jc w:val="both"/>
        <w:rPr>
          <w:b w:val="0"/>
          <w:bCs w:val="0"/>
          <w:u w:val="none"/>
          <w:lang w:val="es-ES_tradnl"/>
        </w:rPr>
      </w:pPr>
      <w:r>
        <w:rPr>
          <w:u w:val="none"/>
          <w:lang w:val="es-ES_tradnl"/>
        </w:rPr>
        <w:t xml:space="preserve">2) </w:t>
      </w:r>
      <w:r>
        <w:rPr>
          <w:b w:val="0"/>
          <w:bCs w:val="0"/>
          <w:u w:val="none"/>
          <w:lang w:val="es-ES_tradnl"/>
        </w:rPr>
        <w:t>que este Tribunal con fecha  3.08.16 observó el</w:t>
      </w:r>
      <w:r w:rsidR="000E1521">
        <w:rPr>
          <w:b w:val="0"/>
          <w:bCs w:val="0"/>
          <w:u w:val="none"/>
          <w:lang w:val="es-ES_tradnl"/>
        </w:rPr>
        <w:t xml:space="preserve"> gasto, por contravenirse  los A</w:t>
      </w:r>
      <w:r>
        <w:rPr>
          <w:b w:val="0"/>
          <w:bCs w:val="0"/>
          <w:u w:val="none"/>
          <w:lang w:val="es-ES_tradnl"/>
        </w:rPr>
        <w:t>rt</w:t>
      </w:r>
      <w:r w:rsidR="000E1521">
        <w:rPr>
          <w:b w:val="0"/>
          <w:bCs w:val="0"/>
          <w:u w:val="none"/>
          <w:lang w:val="es-ES_tradnl"/>
        </w:rPr>
        <w:t>ículo</w:t>
      </w:r>
      <w:r>
        <w:rPr>
          <w:b w:val="0"/>
          <w:bCs w:val="0"/>
          <w:u w:val="none"/>
          <w:lang w:val="es-ES_tradnl"/>
        </w:rPr>
        <w:t>s 15 y 48 del TOCAF;</w:t>
      </w:r>
    </w:p>
    <w:p w:rsidR="00643F58" w:rsidRDefault="00643F58" w:rsidP="000E1521">
      <w:pPr>
        <w:pStyle w:val="Ttulo"/>
        <w:widowControl w:val="0"/>
        <w:ind w:firstLine="2835"/>
        <w:jc w:val="both"/>
        <w:rPr>
          <w:b w:val="0"/>
          <w:bCs w:val="0"/>
          <w:u w:val="none"/>
          <w:lang w:val="es-ES_tradnl"/>
        </w:rPr>
      </w:pPr>
      <w:r>
        <w:rPr>
          <w:u w:val="none"/>
          <w:lang w:val="es-ES_tradnl"/>
        </w:rPr>
        <w:t>3)</w:t>
      </w:r>
      <w:r>
        <w:rPr>
          <w:b w:val="0"/>
          <w:bCs w:val="0"/>
          <w:u w:val="none"/>
          <w:lang w:val="es-ES_tradnl"/>
        </w:rPr>
        <w:t xml:space="preserve"> que por Resolución Nº 06181/16 de fecha 5.09.16, el Intendente Departamental reiteró el gasto, aduciendo que  la oferta presentada en un procedimiento competitivo de contratación administrativa debe satisfacer tres tipos de requisitos: subjetivos, objetivos y formales, los  subjetivos refieren al proponente, los objetivos al contenido de la oferta, y los formales a la instrumentación de la misma, consecuentemente, será admisible toda propuesta que cumpla tales exigencias, y resultará inadmisible aquella que no </w:t>
      </w:r>
      <w:proofErr w:type="gramStart"/>
      <w:r>
        <w:rPr>
          <w:b w:val="0"/>
          <w:bCs w:val="0"/>
          <w:u w:val="none"/>
          <w:lang w:val="es-ES_tradnl"/>
        </w:rPr>
        <w:t>las</w:t>
      </w:r>
      <w:proofErr w:type="gramEnd"/>
      <w:r>
        <w:rPr>
          <w:b w:val="0"/>
          <w:bCs w:val="0"/>
          <w:u w:val="none"/>
          <w:lang w:val="es-ES_tradnl"/>
        </w:rPr>
        <w:t xml:space="preserve"> reúna. En el pliego de condiciones deben constar las indicaciones concernientes a los requisitos exigidos a quienes pretenden participar en la licitación, son exigencias relativas a los sujetos y no a las propuestas. Normalmente se refieren a la habilitación jurídica para contraer obligaciones, a la habilitación técnica, para llevar a cabo las operaciones y habilitación financiera, para soportar los compromisos económicos de un eventual contrato, ellas permitirán conocer la idoneidad del oferente para hacer propuestas serias </w:t>
      </w:r>
      <w:r>
        <w:rPr>
          <w:b w:val="0"/>
          <w:bCs w:val="0"/>
          <w:u w:val="none"/>
          <w:lang w:val="es-ES_tradnl"/>
        </w:rPr>
        <w:lastRenderedPageBreak/>
        <w:t>y por las que pueda responder. Se entiende que no se puede celebrar un contrato con quien no se pudo comprometer, por falta de aptitud jurídica. En consecuencia, mediante el pliego de condiciones se circunscribe, en forma preliminar, el conjunto de los oferentes admisibles;</w:t>
      </w:r>
    </w:p>
    <w:p w:rsidR="00643F58" w:rsidRDefault="00643F58" w:rsidP="000E1521">
      <w:pPr>
        <w:pStyle w:val="Ttulo"/>
        <w:widowControl w:val="0"/>
        <w:ind w:firstLine="2835"/>
        <w:jc w:val="both"/>
        <w:rPr>
          <w:b w:val="0"/>
          <w:bCs w:val="0"/>
          <w:u w:val="none"/>
          <w:lang w:val="es-ES_tradnl"/>
        </w:rPr>
      </w:pPr>
      <w:r w:rsidRPr="000E1521">
        <w:rPr>
          <w:bCs w:val="0"/>
          <w:u w:val="none"/>
          <w:lang w:val="es-ES_tradnl"/>
        </w:rPr>
        <w:t>4</w:t>
      </w:r>
      <w:r w:rsidRPr="000E1521">
        <w:rPr>
          <w:u w:val="none"/>
          <w:lang w:val="es-ES_tradnl"/>
        </w:rPr>
        <w:t>)</w:t>
      </w:r>
      <w:r>
        <w:rPr>
          <w:u w:val="none"/>
          <w:lang w:val="es-ES_tradnl"/>
        </w:rPr>
        <w:t xml:space="preserve"> </w:t>
      </w:r>
      <w:r>
        <w:rPr>
          <w:b w:val="0"/>
          <w:bCs w:val="0"/>
          <w:u w:val="none"/>
          <w:lang w:val="es-ES_tradnl"/>
        </w:rPr>
        <w:t>que este Tribunal,</w:t>
      </w:r>
      <w:r w:rsidR="000E1521">
        <w:rPr>
          <w:b w:val="0"/>
          <w:bCs w:val="0"/>
          <w:u w:val="none"/>
          <w:lang w:val="es-ES_tradnl"/>
        </w:rPr>
        <w:t xml:space="preserve"> en S</w:t>
      </w:r>
      <w:r>
        <w:rPr>
          <w:b w:val="0"/>
          <w:bCs w:val="0"/>
          <w:u w:val="none"/>
          <w:lang w:val="es-ES_tradnl"/>
        </w:rPr>
        <w:t xml:space="preserve">esión de fecha 12.10.16, acordó mantener la observación de fecha 03/08/16, considerando que los argumentos de la Administración no enervaban las observaciones formuladas y que en consecuencia se mantenían incambiadas las circunstancias de  índole legal que ameritaron las mismas; </w:t>
      </w:r>
    </w:p>
    <w:p w:rsidR="00643F58" w:rsidRDefault="00643F58" w:rsidP="000E1521">
      <w:pPr>
        <w:pStyle w:val="Ttulo"/>
        <w:widowControl w:val="0"/>
        <w:ind w:firstLine="2694"/>
        <w:jc w:val="both"/>
        <w:rPr>
          <w:b w:val="0"/>
          <w:bCs w:val="0"/>
          <w:u w:val="none"/>
        </w:rPr>
      </w:pPr>
      <w:r>
        <w:rPr>
          <w:b w:val="0"/>
          <w:bCs w:val="0"/>
          <w:u w:val="none"/>
          <w:lang w:val="es-ES_tradnl"/>
        </w:rPr>
        <w:t xml:space="preserve">  </w:t>
      </w:r>
      <w:r>
        <w:rPr>
          <w:u w:val="none"/>
          <w:lang w:val="es-ES_tradnl"/>
        </w:rPr>
        <w:t xml:space="preserve">5) </w:t>
      </w:r>
      <w:r>
        <w:rPr>
          <w:b w:val="0"/>
          <w:bCs w:val="0"/>
          <w:u w:val="none"/>
        </w:rPr>
        <w:t>que posteriormente, se remitieron a los efectos de su intervención las sumas de $ 5.769.315, $638.809 y $ 961.218 que fueran imputadas;</w:t>
      </w:r>
    </w:p>
    <w:p w:rsidR="00643F58" w:rsidRDefault="00643F58" w:rsidP="000E1521">
      <w:pPr>
        <w:pStyle w:val="Ttulo"/>
        <w:widowControl w:val="0"/>
        <w:ind w:firstLine="2835"/>
        <w:jc w:val="both"/>
        <w:rPr>
          <w:b w:val="0"/>
          <w:bCs w:val="0"/>
          <w:u w:val="none"/>
        </w:rPr>
      </w:pPr>
      <w:r w:rsidRPr="000E1521">
        <w:rPr>
          <w:bCs w:val="0"/>
          <w:u w:val="none"/>
        </w:rPr>
        <w:t>6</w:t>
      </w:r>
      <w:r w:rsidRPr="000E1521">
        <w:rPr>
          <w:u w:val="none"/>
        </w:rPr>
        <w:t>)</w:t>
      </w:r>
      <w:r>
        <w:rPr>
          <w:u w:val="none"/>
        </w:rPr>
        <w:t xml:space="preserve"> </w:t>
      </w:r>
      <w:r>
        <w:rPr>
          <w:b w:val="0"/>
          <w:bCs w:val="0"/>
          <w:u w:val="none"/>
          <w:lang w:val="es-ES_tradnl"/>
        </w:rPr>
        <w:t>que este Tribunal,</w:t>
      </w:r>
      <w:r w:rsidR="000E1521">
        <w:rPr>
          <w:b w:val="0"/>
          <w:bCs w:val="0"/>
          <w:u w:val="none"/>
          <w:lang w:val="es-ES_tradnl"/>
        </w:rPr>
        <w:t xml:space="preserve"> </w:t>
      </w:r>
      <w:r>
        <w:rPr>
          <w:b w:val="0"/>
          <w:bCs w:val="0"/>
          <w:u w:val="none"/>
          <w:lang w:val="es-ES_tradnl"/>
        </w:rPr>
        <w:t xml:space="preserve">en </w:t>
      </w:r>
      <w:r w:rsidR="000E1521">
        <w:rPr>
          <w:b w:val="0"/>
          <w:bCs w:val="0"/>
          <w:u w:val="none"/>
          <w:lang w:val="es-ES_tradnl"/>
        </w:rPr>
        <w:t>S</w:t>
      </w:r>
      <w:r>
        <w:rPr>
          <w:b w:val="0"/>
          <w:bCs w:val="0"/>
          <w:u w:val="none"/>
          <w:lang w:val="es-ES_tradnl"/>
        </w:rPr>
        <w:t xml:space="preserve">esión de fecha 25.01.17, acordó estar a lo dispuesto en </w:t>
      </w:r>
      <w:r w:rsidR="000E1521">
        <w:rPr>
          <w:b w:val="0"/>
          <w:bCs w:val="0"/>
          <w:u w:val="none"/>
          <w:lang w:val="es-ES_tradnl"/>
        </w:rPr>
        <w:t>S</w:t>
      </w:r>
      <w:r>
        <w:rPr>
          <w:b w:val="0"/>
          <w:bCs w:val="0"/>
          <w:u w:val="none"/>
          <w:lang w:val="es-ES_tradnl"/>
        </w:rPr>
        <w:t xml:space="preserve">esión de fecha 03.08.16, considerando </w:t>
      </w:r>
      <w:r>
        <w:rPr>
          <w:b w:val="0"/>
          <w:bCs w:val="0"/>
          <w:u w:val="none"/>
        </w:rPr>
        <w:t xml:space="preserve">los gastos que se imputaban derivaban de un procedimiento oportunamente observado entre otras por una razón insubsanable y que fue reiterado por el Ordenador; </w:t>
      </w:r>
    </w:p>
    <w:p w:rsidR="00643F58" w:rsidRDefault="00643F58" w:rsidP="000E1521">
      <w:pPr>
        <w:pStyle w:val="Ttulo"/>
        <w:widowControl w:val="0"/>
        <w:ind w:firstLine="2835"/>
        <w:jc w:val="both"/>
        <w:rPr>
          <w:b w:val="0"/>
          <w:bCs w:val="0"/>
          <w:lang w:val="es-ES_tradnl"/>
        </w:rPr>
      </w:pPr>
      <w:r w:rsidRPr="000E1521">
        <w:rPr>
          <w:bCs w:val="0"/>
          <w:u w:val="none"/>
        </w:rPr>
        <w:t>7</w:t>
      </w:r>
      <w:r w:rsidRPr="000E1521">
        <w:rPr>
          <w:u w:val="none"/>
        </w:rPr>
        <w:t>)</w:t>
      </w:r>
      <w:r>
        <w:rPr>
          <w:u w:val="none"/>
        </w:rPr>
        <w:t xml:space="preserve"> </w:t>
      </w:r>
      <w:r w:rsidR="000E1521">
        <w:rPr>
          <w:b w:val="0"/>
          <w:bCs w:val="0"/>
          <w:u w:val="none"/>
          <w:lang w:val="es-ES_tradnl"/>
        </w:rPr>
        <w:t>que en la oportunidad</w:t>
      </w:r>
      <w:r>
        <w:rPr>
          <w:b w:val="0"/>
          <w:bCs w:val="0"/>
          <w:u w:val="none"/>
          <w:lang w:val="es-ES_tradnl"/>
        </w:rPr>
        <w:t>,</w:t>
      </w:r>
      <w:r w:rsidR="000E1521">
        <w:rPr>
          <w:b w:val="0"/>
          <w:bCs w:val="0"/>
          <w:u w:val="none"/>
          <w:lang w:val="es-ES_tradnl"/>
        </w:rPr>
        <w:t xml:space="preserve"> </w:t>
      </w:r>
      <w:r>
        <w:rPr>
          <w:b w:val="0"/>
          <w:bCs w:val="0"/>
          <w:u w:val="none"/>
          <w:lang w:val="es-ES_tradnl"/>
        </w:rPr>
        <w:t xml:space="preserve">por Resolución </w:t>
      </w:r>
      <w:r w:rsidR="000E1521">
        <w:rPr>
          <w:b w:val="0"/>
          <w:bCs w:val="0"/>
          <w:u w:val="none"/>
          <w:lang w:val="es-ES_tradnl"/>
        </w:rPr>
        <w:t xml:space="preserve">                </w:t>
      </w:r>
      <w:r>
        <w:rPr>
          <w:b w:val="0"/>
          <w:bCs w:val="0"/>
          <w:u w:val="none"/>
          <w:lang w:val="es-ES_tradnl"/>
        </w:rPr>
        <w:t>Nº 01599/17 de fecha 02.03.17, el Intendente Departamental reitera el gasto, expresando similares fundamentos que los que había utilizado en la reiteración de fecha 05.09.16 y otros que no tienen relación con la observación, como ser aspectos relacionados con los factores de evaluación de ofertas, cuya d</w:t>
      </w:r>
      <w:r w:rsidR="000E1521">
        <w:rPr>
          <w:b w:val="0"/>
          <w:bCs w:val="0"/>
          <w:u w:val="none"/>
          <w:lang w:val="es-ES_tradnl"/>
        </w:rPr>
        <w:t>eterminación es exigida por el A</w:t>
      </w:r>
      <w:r>
        <w:rPr>
          <w:b w:val="0"/>
          <w:bCs w:val="0"/>
          <w:u w:val="none"/>
          <w:lang w:val="es-ES_tradnl"/>
        </w:rPr>
        <w:t>rt</w:t>
      </w:r>
      <w:r w:rsidR="000E1521">
        <w:rPr>
          <w:b w:val="0"/>
          <w:bCs w:val="0"/>
          <w:u w:val="none"/>
          <w:lang w:val="es-ES_tradnl"/>
        </w:rPr>
        <w:t>ículo 48 Literal</w:t>
      </w:r>
      <w:r>
        <w:rPr>
          <w:b w:val="0"/>
          <w:bCs w:val="0"/>
          <w:u w:val="none"/>
          <w:lang w:val="es-ES_tradnl"/>
        </w:rPr>
        <w:t xml:space="preserve"> C) del T.O.C.A.F.;  </w:t>
      </w:r>
    </w:p>
    <w:p w:rsidR="00643F58" w:rsidRDefault="00643F58" w:rsidP="000E1521">
      <w:pPr>
        <w:spacing w:after="0" w:line="360" w:lineRule="auto"/>
        <w:ind w:firstLine="851"/>
        <w:jc w:val="both"/>
        <w:rPr>
          <w:rFonts w:ascii="Arial" w:hAnsi="Arial" w:cs="Arial"/>
          <w:sz w:val="24"/>
          <w:szCs w:val="24"/>
          <w:lang w:val="es-MX" w:eastAsia="es-ES"/>
        </w:rPr>
      </w:pPr>
      <w:r>
        <w:rPr>
          <w:rFonts w:ascii="Arial" w:hAnsi="Arial" w:cs="Arial"/>
          <w:b/>
          <w:bCs/>
          <w:sz w:val="24"/>
          <w:szCs w:val="24"/>
        </w:rPr>
        <w:t>CONSIDERANDO:</w:t>
      </w:r>
      <w:r>
        <w:rPr>
          <w:rFonts w:ascii="Arial" w:hAnsi="Arial" w:cs="Arial"/>
          <w:sz w:val="24"/>
          <w:szCs w:val="24"/>
        </w:rPr>
        <w:t xml:space="preserve"> </w:t>
      </w:r>
      <w:r>
        <w:rPr>
          <w:rFonts w:ascii="Arial" w:hAnsi="Arial" w:cs="Arial"/>
          <w:b/>
          <w:bCs/>
          <w:sz w:val="24"/>
          <w:szCs w:val="24"/>
          <w:lang w:val="es-MX" w:eastAsia="es-ES"/>
        </w:rPr>
        <w:t>1)</w:t>
      </w:r>
      <w:r>
        <w:rPr>
          <w:rFonts w:ascii="Arial" w:hAnsi="Arial" w:cs="Arial"/>
          <w:sz w:val="24"/>
          <w:szCs w:val="24"/>
          <w:lang w:val="es-MX" w:eastAsia="es-ES"/>
        </w:rPr>
        <w:t xml:space="preserve"> que de</w:t>
      </w:r>
      <w:r w:rsidR="000E1521">
        <w:rPr>
          <w:rFonts w:ascii="Arial" w:hAnsi="Arial" w:cs="Arial"/>
          <w:sz w:val="24"/>
          <w:szCs w:val="24"/>
          <w:lang w:val="es-MX" w:eastAsia="es-ES"/>
        </w:rPr>
        <w:t xml:space="preserve"> acuerdo a lo dispuesto por el L</w:t>
      </w:r>
      <w:r>
        <w:rPr>
          <w:rFonts w:ascii="Arial" w:hAnsi="Arial" w:cs="Arial"/>
          <w:sz w:val="24"/>
          <w:szCs w:val="24"/>
          <w:lang w:val="es-MX" w:eastAsia="es-ES"/>
        </w:rPr>
        <w:t xml:space="preserve">iteral B) del </w:t>
      </w:r>
      <w:r w:rsidR="000E1521">
        <w:rPr>
          <w:rFonts w:ascii="Arial" w:hAnsi="Arial" w:cs="Arial"/>
          <w:sz w:val="24"/>
          <w:szCs w:val="24"/>
          <w:lang w:val="es-MX" w:eastAsia="es-ES"/>
        </w:rPr>
        <w:t>A</w:t>
      </w:r>
      <w:r>
        <w:rPr>
          <w:rFonts w:ascii="Arial" w:hAnsi="Arial" w:cs="Arial"/>
          <w:sz w:val="24"/>
          <w:szCs w:val="24"/>
          <w:lang w:val="es-MX" w:eastAsia="es-ES"/>
        </w:rPr>
        <w:t xml:space="preserve">rtículo 211 de la Constitución de la República, en el caso el ciclo del gasto se encuentra agotado;                                    </w:t>
      </w:r>
    </w:p>
    <w:p w:rsidR="00643F58" w:rsidRDefault="00643F58" w:rsidP="000E1521">
      <w:pPr>
        <w:spacing w:after="0" w:line="360" w:lineRule="auto"/>
        <w:ind w:firstLine="2977"/>
        <w:jc w:val="both"/>
        <w:rPr>
          <w:rFonts w:ascii="Arial" w:hAnsi="Arial" w:cs="Arial"/>
          <w:sz w:val="24"/>
          <w:szCs w:val="24"/>
          <w:lang w:val="es-MX" w:eastAsia="es-ES"/>
        </w:rPr>
      </w:pPr>
      <w:r>
        <w:rPr>
          <w:rFonts w:ascii="Arial" w:hAnsi="Arial" w:cs="Arial"/>
          <w:b/>
          <w:bCs/>
          <w:sz w:val="24"/>
          <w:szCs w:val="24"/>
          <w:lang w:val="es-MX" w:eastAsia="es-ES"/>
        </w:rPr>
        <w:t>2)</w:t>
      </w:r>
      <w:r>
        <w:rPr>
          <w:rFonts w:ascii="Arial" w:hAnsi="Arial" w:cs="Arial"/>
          <w:sz w:val="24"/>
          <w:szCs w:val="24"/>
          <w:lang w:val="es-MX" w:eastAsia="es-ES"/>
        </w:rPr>
        <w:t xml:space="preserve"> que sin perjuicio de ello, cabe destacar que algunos de los argumentos que maneja la Administración, no guardan relación con la observación oportunamente efectuada;</w:t>
      </w:r>
    </w:p>
    <w:p w:rsidR="00643F58" w:rsidRDefault="00643F58" w:rsidP="000E1521">
      <w:pPr>
        <w:spacing w:after="0" w:line="360" w:lineRule="auto"/>
        <w:ind w:firstLine="2977"/>
        <w:jc w:val="both"/>
        <w:rPr>
          <w:rFonts w:ascii="Arial" w:hAnsi="Arial" w:cs="Arial"/>
          <w:sz w:val="24"/>
          <w:szCs w:val="24"/>
          <w:lang w:val="es-MX" w:eastAsia="es-ES"/>
        </w:rPr>
      </w:pPr>
      <w:r>
        <w:rPr>
          <w:rFonts w:ascii="Arial" w:hAnsi="Arial" w:cs="Arial"/>
          <w:b/>
          <w:bCs/>
          <w:sz w:val="24"/>
          <w:szCs w:val="24"/>
          <w:lang w:val="es-MX" w:eastAsia="es-ES"/>
        </w:rPr>
        <w:t>3)</w:t>
      </w:r>
      <w:r>
        <w:rPr>
          <w:rFonts w:ascii="Arial" w:hAnsi="Arial" w:cs="Arial"/>
          <w:sz w:val="24"/>
          <w:szCs w:val="24"/>
          <w:lang w:val="es-MX" w:eastAsia="es-ES"/>
        </w:rPr>
        <w:t xml:space="preserve"> que en  consecuencia se mantienen incambiadas las circunstancias de índole legal que ameritaron las observaciones formuladas con fecha 3.08.16;</w:t>
      </w:r>
    </w:p>
    <w:p w:rsidR="00643F58" w:rsidRDefault="00643F58" w:rsidP="000E1521">
      <w:pPr>
        <w:spacing w:after="0" w:line="360" w:lineRule="auto"/>
        <w:ind w:firstLine="851"/>
        <w:jc w:val="both"/>
        <w:rPr>
          <w:rFonts w:ascii="Arial" w:hAnsi="Arial" w:cs="Arial"/>
          <w:sz w:val="24"/>
          <w:szCs w:val="24"/>
          <w:lang w:val="es-MX" w:eastAsia="es-ES"/>
        </w:rPr>
      </w:pPr>
      <w:r>
        <w:rPr>
          <w:rFonts w:ascii="Arial" w:hAnsi="Arial" w:cs="Arial"/>
          <w:b/>
          <w:bCs/>
          <w:sz w:val="24"/>
          <w:szCs w:val="24"/>
          <w:lang w:eastAsia="es-ES"/>
        </w:rPr>
        <w:t xml:space="preserve">ATENTO: </w:t>
      </w:r>
      <w:r>
        <w:rPr>
          <w:rFonts w:ascii="Arial" w:hAnsi="Arial" w:cs="Arial"/>
          <w:sz w:val="24"/>
          <w:szCs w:val="24"/>
          <w:lang w:eastAsia="es-ES"/>
        </w:rPr>
        <w:t>a lo exp</w:t>
      </w:r>
      <w:r w:rsidR="000E1521">
        <w:rPr>
          <w:rFonts w:ascii="Arial" w:hAnsi="Arial" w:cs="Arial"/>
          <w:sz w:val="24"/>
          <w:szCs w:val="24"/>
          <w:lang w:eastAsia="es-ES"/>
        </w:rPr>
        <w:t>uesto y a lo dispuesto por los A</w:t>
      </w:r>
      <w:r>
        <w:rPr>
          <w:rFonts w:ascii="Arial" w:hAnsi="Arial" w:cs="Arial"/>
          <w:sz w:val="24"/>
          <w:szCs w:val="24"/>
          <w:lang w:eastAsia="es-ES"/>
        </w:rPr>
        <w:t>rt</w:t>
      </w:r>
      <w:r w:rsidR="000E1521">
        <w:rPr>
          <w:rFonts w:ascii="Arial" w:hAnsi="Arial" w:cs="Arial"/>
          <w:sz w:val="24"/>
          <w:szCs w:val="24"/>
          <w:lang w:eastAsia="es-ES"/>
        </w:rPr>
        <w:t>ículo 211 L</w:t>
      </w:r>
      <w:r>
        <w:rPr>
          <w:rFonts w:ascii="Arial" w:hAnsi="Arial" w:cs="Arial"/>
          <w:sz w:val="24"/>
          <w:szCs w:val="24"/>
          <w:lang w:eastAsia="es-ES"/>
        </w:rPr>
        <w:t>iteral B) de la Constitución de la República</w:t>
      </w:r>
      <w:r w:rsidR="000E1521">
        <w:rPr>
          <w:rFonts w:ascii="Arial" w:hAnsi="Arial" w:cs="Arial"/>
          <w:sz w:val="24"/>
          <w:szCs w:val="24"/>
          <w:lang w:val="es-MX" w:eastAsia="es-ES"/>
        </w:rPr>
        <w:t>;</w:t>
      </w:r>
    </w:p>
    <w:p w:rsidR="00643F58" w:rsidRDefault="00643F58">
      <w:pPr>
        <w:spacing w:after="0" w:line="360" w:lineRule="auto"/>
        <w:rPr>
          <w:rFonts w:ascii="Arial" w:hAnsi="Arial" w:cs="Arial"/>
          <w:sz w:val="24"/>
          <w:szCs w:val="24"/>
          <w:lang w:val="es-MX" w:eastAsia="es-ES"/>
        </w:rPr>
      </w:pPr>
    </w:p>
    <w:p w:rsidR="00643F58" w:rsidRDefault="00643F58">
      <w:pPr>
        <w:keepNext/>
        <w:spacing w:after="0" w:line="360" w:lineRule="auto"/>
        <w:jc w:val="center"/>
        <w:outlineLvl w:val="0"/>
        <w:rPr>
          <w:rFonts w:ascii="Arial" w:hAnsi="Arial" w:cs="Arial"/>
          <w:b/>
          <w:bCs/>
          <w:sz w:val="24"/>
          <w:szCs w:val="24"/>
          <w:lang w:val="es-MX" w:eastAsia="es-ES"/>
        </w:rPr>
      </w:pPr>
      <w:r>
        <w:rPr>
          <w:rFonts w:ascii="Arial" w:hAnsi="Arial" w:cs="Arial"/>
          <w:b/>
          <w:bCs/>
          <w:sz w:val="24"/>
          <w:szCs w:val="24"/>
          <w:lang w:val="es-MX" w:eastAsia="es-ES"/>
        </w:rPr>
        <w:lastRenderedPageBreak/>
        <w:t>EL TRIBUNAL ACUERDA</w:t>
      </w:r>
    </w:p>
    <w:p w:rsidR="00643F58" w:rsidRDefault="00643F58">
      <w:pPr>
        <w:numPr>
          <w:ilvl w:val="0"/>
          <w:numId w:val="1"/>
        </w:numPr>
        <w:spacing w:after="0" w:line="360" w:lineRule="auto"/>
        <w:rPr>
          <w:rFonts w:ascii="Arial" w:hAnsi="Arial" w:cs="Arial"/>
          <w:sz w:val="24"/>
          <w:szCs w:val="24"/>
          <w:lang w:val="es-MX" w:eastAsia="es-ES"/>
        </w:rPr>
      </w:pPr>
      <w:r>
        <w:rPr>
          <w:rFonts w:ascii="Arial" w:hAnsi="Arial" w:cs="Arial"/>
          <w:sz w:val="24"/>
          <w:szCs w:val="24"/>
          <w:lang w:val="es-MX" w:eastAsia="es-ES"/>
        </w:rPr>
        <w:t xml:space="preserve">Ratificar lo actuado en Sesiones de fechas 03.08.16, 12.10.16 y 25.01.17; </w:t>
      </w:r>
    </w:p>
    <w:p w:rsidR="00643F58" w:rsidRDefault="00643F58">
      <w:pPr>
        <w:numPr>
          <w:ilvl w:val="0"/>
          <w:numId w:val="1"/>
        </w:numPr>
        <w:spacing w:after="0" w:line="360" w:lineRule="auto"/>
        <w:rPr>
          <w:rFonts w:ascii="Arial" w:hAnsi="Arial" w:cs="Arial"/>
          <w:sz w:val="24"/>
          <w:szCs w:val="24"/>
          <w:lang w:val="es-MX" w:eastAsia="es-ES"/>
        </w:rPr>
      </w:pPr>
      <w:r>
        <w:rPr>
          <w:rFonts w:ascii="Arial" w:hAnsi="Arial" w:cs="Arial"/>
          <w:sz w:val="24"/>
          <w:szCs w:val="24"/>
          <w:lang w:val="es-MX" w:eastAsia="es-ES"/>
        </w:rPr>
        <w:t xml:space="preserve">Comunicar al </w:t>
      </w:r>
      <w:r w:rsidR="000E1521">
        <w:rPr>
          <w:rFonts w:ascii="Arial" w:hAnsi="Arial" w:cs="Arial"/>
          <w:sz w:val="24"/>
          <w:szCs w:val="24"/>
          <w:lang w:val="es-MX" w:eastAsia="es-ES"/>
        </w:rPr>
        <w:t>Contador Delegado.</w:t>
      </w:r>
    </w:p>
    <w:p w:rsidR="00643F58" w:rsidRDefault="00643F58">
      <w:pPr>
        <w:spacing w:after="0" w:line="360" w:lineRule="auto"/>
        <w:ind w:left="360"/>
        <w:rPr>
          <w:rFonts w:ascii="Arial" w:hAnsi="Arial" w:cs="Arial"/>
          <w:sz w:val="24"/>
          <w:szCs w:val="24"/>
          <w:lang w:val="es-MX" w:eastAsia="es-ES"/>
        </w:rPr>
      </w:pPr>
    </w:p>
    <w:p w:rsidR="00643F58" w:rsidRDefault="00643F58">
      <w:pPr>
        <w:spacing w:after="0" w:line="360" w:lineRule="auto"/>
        <w:ind w:left="360"/>
        <w:rPr>
          <w:rFonts w:ascii="Arial" w:hAnsi="Arial" w:cs="Arial"/>
          <w:sz w:val="24"/>
          <w:szCs w:val="24"/>
          <w:lang w:val="es-MX" w:eastAsia="es-ES"/>
        </w:rPr>
      </w:pPr>
    </w:p>
    <w:sectPr w:rsidR="00643F58" w:rsidSect="00ED7612">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76B92"/>
    <w:multiLevelType w:val="singleLevel"/>
    <w:tmpl w:val="50509EAA"/>
    <w:lvl w:ilvl="0">
      <w:start w:val="1"/>
      <w:numFmt w:val="decimal"/>
      <w:lvlText w:val="%1)"/>
      <w:lvlJc w:val="left"/>
      <w:pPr>
        <w:ind w:left="360" w:hanging="360"/>
      </w:pPr>
      <w:rPr>
        <w:rFonts w:ascii="Arial" w:hAnsi="Arial" w:cs="Arial" w:hint="default"/>
        <w:b/>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3F58"/>
    <w:rsid w:val="000E1521"/>
    <w:rsid w:val="000E694D"/>
    <w:rsid w:val="001E2BFE"/>
    <w:rsid w:val="005D3ABE"/>
    <w:rsid w:val="00643F58"/>
    <w:rsid w:val="00822BD6"/>
    <w:rsid w:val="00ED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paragraph" w:styleId="Ttulo2">
    <w:name w:val="heading 2"/>
    <w:basedOn w:val="Normal"/>
    <w:next w:val="Normal"/>
    <w:link w:val="Ttulo2Car"/>
    <w:uiPriority w:val="99"/>
    <w:qFormat/>
    <w:pPr>
      <w:keepNext/>
      <w:spacing w:after="0" w:line="240" w:lineRule="auto"/>
      <w:jc w:val="center"/>
      <w:outlineLvl w:val="1"/>
    </w:pPr>
    <w:rPr>
      <w:rFonts w:ascii="Arial" w:hAnsi="Arial" w:cs="Arial"/>
      <w:b/>
      <w:bCs/>
      <w:color w:val="000000"/>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b/>
      <w:bCs/>
      <w:color w:val="000000"/>
      <w:sz w:val="20"/>
      <w:szCs w:val="20"/>
      <w:lang w:val="es-ES_tradnl" w:eastAsia="es-ES"/>
    </w:rPr>
  </w:style>
  <w:style w:type="paragraph" w:styleId="Ttulo">
    <w:name w:val="Title"/>
    <w:basedOn w:val="Normal"/>
    <w:link w:val="TtuloCar"/>
    <w:uiPriority w:val="99"/>
    <w:qFormat/>
    <w:pPr>
      <w:spacing w:after="0" w:line="360" w:lineRule="auto"/>
      <w:jc w:val="center"/>
    </w:pPr>
    <w:rPr>
      <w:rFonts w:ascii="Arial" w:hAnsi="Arial" w:cs="Arial"/>
      <w:b/>
      <w:bCs/>
      <w:sz w:val="24"/>
      <w:szCs w:val="24"/>
      <w:u w:val="single"/>
      <w:lang w:val="es-UY" w:eastAsia="es-ES"/>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Subttulo">
    <w:name w:val="Subtitle"/>
    <w:basedOn w:val="Normal"/>
    <w:link w:val="SubttuloCar"/>
    <w:uiPriority w:val="99"/>
    <w:qFormat/>
    <w:pPr>
      <w:spacing w:after="0" w:line="360" w:lineRule="auto"/>
      <w:jc w:val="center"/>
    </w:pPr>
    <w:rPr>
      <w:rFonts w:ascii="Arial" w:hAnsi="Arial" w:cs="Arial"/>
      <w:b/>
      <w:bCs/>
      <w:color w:val="000000"/>
      <w:sz w:val="24"/>
      <w:szCs w:val="24"/>
      <w:lang w:eastAsia="es-ES"/>
    </w:rPr>
  </w:style>
  <w:style w:type="character" w:customStyle="1" w:styleId="SubttuloCar">
    <w:name w:val="Subtítulo Car"/>
    <w:basedOn w:val="Fuentedeprrafopredeter"/>
    <w:link w:val="Subttulo"/>
    <w:uiPriority w:val="99"/>
    <w:rPr>
      <w:rFonts w:ascii="Arial" w:hAnsi="Arial" w:cs="Arial"/>
      <w:b/>
      <w:bCs/>
      <w:color w:val="000000"/>
      <w:sz w:val="20"/>
      <w:szCs w:val="20"/>
      <w:lang w:eastAsia="es-ES"/>
    </w:rPr>
  </w:style>
  <w:style w:type="character" w:styleId="Hipervnculo">
    <w:name w:val="Hyperlink"/>
    <w:basedOn w:val="Fuentedeprrafopredeter"/>
    <w:uiPriority w:val="99"/>
    <w:rPr>
      <w:rFonts w:ascii="Times New Roman" w:hAnsi="Times New Roman" w:cs="Times New Roman"/>
      <w:color w:val="0000FF"/>
      <w:u w:val="single"/>
    </w:rPr>
  </w:style>
  <w:style w:type="paragraph" w:styleId="Textodeglobo">
    <w:name w:val="Balloon Text"/>
    <w:basedOn w:val="Normal"/>
    <w:link w:val="TextodegloboCar"/>
    <w:uiPriority w:val="99"/>
    <w:semiHidden/>
    <w:unhideWhenUsed/>
    <w:rsid w:val="00ED76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7612"/>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CD1AB-4018-4876-B87B-C80950AD0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669</Words>
  <Characters>3685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CARPETA N°: 2016-17-1-0004920</vt:lpstr>
    </vt:vector>
  </TitlesOfParts>
  <Company>Tribunal de Cuentas</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2016-17-1-0004920</dc:title>
  <dc:creator>ANDREA AREOSO USHER</dc:creator>
  <cp:lastModifiedBy>Tribunal1</cp:lastModifiedBy>
  <cp:revision>6</cp:revision>
  <cp:lastPrinted>2017-03-30T16:56:00Z</cp:lastPrinted>
  <dcterms:created xsi:type="dcterms:W3CDTF">2017-03-30T16:27:00Z</dcterms:created>
  <dcterms:modified xsi:type="dcterms:W3CDTF">2017-03-30T16:56:00Z</dcterms:modified>
</cp:coreProperties>
</file>