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B4" w:rsidRPr="00A945B4" w:rsidRDefault="00A945B4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A945B4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992</w:t>
      </w:r>
      <w:r w:rsidRPr="00A945B4">
        <w:rPr>
          <w:rFonts w:ascii="Arial" w:hAnsi="Arial" w:cs="Arial"/>
          <w:sz w:val="28"/>
          <w:szCs w:val="28"/>
          <w:lang w:val="es-ES_tradnl"/>
        </w:rPr>
        <w:t>/17</w:t>
      </w:r>
    </w:p>
    <w:p w:rsidR="00A945B4" w:rsidRPr="00A945B4" w:rsidRDefault="00A945B4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A945B4" w:rsidRPr="00A945B4" w:rsidRDefault="00A945B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A945B4">
        <w:rPr>
          <w:rFonts w:ascii="Arial" w:hAnsi="Arial" w:cs="Arial"/>
          <w:lang w:val="es-ES_tradnl"/>
        </w:rPr>
        <w:t>RESOLUCION ADOPTADA POR EL</w:t>
      </w:r>
    </w:p>
    <w:p w:rsidR="00A945B4" w:rsidRPr="00A945B4" w:rsidRDefault="00A945B4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A945B4" w:rsidRPr="00A945B4" w:rsidRDefault="00A945B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A945B4">
        <w:rPr>
          <w:rFonts w:ascii="Arial" w:hAnsi="Arial" w:cs="Arial"/>
          <w:lang w:val="es-ES_tradnl"/>
        </w:rPr>
        <w:t>TRIBUNAL DE CUENTAS</w:t>
      </w:r>
    </w:p>
    <w:p w:rsidR="00A945B4" w:rsidRPr="00A945B4" w:rsidRDefault="00A945B4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A945B4" w:rsidRPr="00A945B4" w:rsidRDefault="00A945B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A945B4">
        <w:rPr>
          <w:rFonts w:ascii="Arial" w:hAnsi="Arial" w:cs="Arial"/>
          <w:lang w:val="es-ES_tradnl"/>
        </w:rPr>
        <w:t xml:space="preserve">EN SESION DE FECHA 29 DE MARZO </w:t>
      </w:r>
      <w:r w:rsidRPr="00A945B4">
        <w:rPr>
          <w:rFonts w:ascii="Helvetica" w:hAnsi="Helvetica"/>
          <w:lang w:val="es-ES_tradnl"/>
        </w:rPr>
        <w:t>DE 2017</w:t>
      </w:r>
    </w:p>
    <w:p w:rsidR="00A945B4" w:rsidRPr="00A945B4" w:rsidRDefault="00A945B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A945B4" w:rsidRPr="00A945B4" w:rsidRDefault="00A945B4">
      <w:pPr>
        <w:tabs>
          <w:tab w:val="center" w:pos="4253"/>
        </w:tabs>
        <w:suppressAutoHyphens/>
        <w:jc w:val="center"/>
        <w:rPr>
          <w:rFonts w:ascii="Arial" w:hAnsi="Arial" w:cs="Arial"/>
          <w:lang w:val="es-AR"/>
        </w:rPr>
      </w:pPr>
      <w:r w:rsidRPr="00A945B4">
        <w:rPr>
          <w:rFonts w:ascii="Arial" w:hAnsi="Arial" w:cs="Arial"/>
          <w:lang w:val="es-AR"/>
        </w:rPr>
        <w:t xml:space="preserve">(E. E. Nº 2016-17-1-0006756, </w:t>
      </w:r>
      <w:proofErr w:type="spellStart"/>
      <w:r w:rsidRPr="00A945B4">
        <w:rPr>
          <w:rFonts w:ascii="Arial" w:hAnsi="Arial" w:cs="Arial"/>
          <w:lang w:val="es-AR"/>
        </w:rPr>
        <w:t>Ent</w:t>
      </w:r>
      <w:proofErr w:type="spellEnd"/>
      <w:r w:rsidRPr="00A945B4">
        <w:rPr>
          <w:rFonts w:ascii="Arial" w:hAnsi="Arial" w:cs="Arial"/>
          <w:lang w:val="es-AR"/>
        </w:rPr>
        <w:t>. N° 930/17)</w:t>
      </w:r>
    </w:p>
    <w:p w:rsidR="00A945B4" w:rsidRPr="00A945B4" w:rsidRDefault="00A945B4">
      <w:pPr>
        <w:tabs>
          <w:tab w:val="center" w:pos="4253"/>
        </w:tabs>
        <w:suppressAutoHyphens/>
        <w:jc w:val="center"/>
        <w:rPr>
          <w:rFonts w:ascii="Helvetica" w:hAnsi="Helvetica"/>
          <w:lang w:val="es-AR"/>
        </w:rPr>
      </w:pPr>
    </w:p>
    <w:p w:rsidR="00A945B4" w:rsidRPr="00A945B4" w:rsidRDefault="00A945B4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AR"/>
        </w:rPr>
      </w:pPr>
    </w:p>
    <w:p w:rsidR="00A945B4" w:rsidRDefault="001B6547" w:rsidP="00A945B4">
      <w:pPr>
        <w:pStyle w:val="Ttulo"/>
        <w:ind w:firstLine="851"/>
        <w:jc w:val="both"/>
        <w:rPr>
          <w:b w:val="0"/>
          <w:bCs w:val="0"/>
          <w:u w:val="none"/>
          <w:lang w:val="es-ES_tradnl"/>
        </w:rPr>
      </w:pPr>
      <w:r w:rsidRPr="00A945B4">
        <w:rPr>
          <w:u w:val="none"/>
          <w:lang w:val="es-ES_tradnl"/>
        </w:rPr>
        <w:t>VISTO:</w:t>
      </w:r>
      <w:r>
        <w:rPr>
          <w:u w:val="none"/>
          <w:lang w:val="es-ES_tradnl"/>
        </w:rPr>
        <w:t xml:space="preserve"> </w:t>
      </w:r>
      <w:r>
        <w:rPr>
          <w:b w:val="0"/>
          <w:bCs w:val="0"/>
          <w:u w:val="none"/>
          <w:lang w:val="es-ES_tradnl"/>
        </w:rPr>
        <w:t xml:space="preserve">las nuevas actuaciones remitidas por </w:t>
      </w:r>
      <w:r>
        <w:rPr>
          <w:b w:val="0"/>
          <w:bCs w:val="0"/>
          <w:u w:val="none"/>
        </w:rPr>
        <w:t xml:space="preserve">Presidencia de la República (Agencia para el Desarrollo del Gobierno de Gestión Electrónica y la Sociedad de la Información y del Conocimiento - AGESIC), relacionadas con el Convenio Marco Nº 1/2016, </w:t>
      </w:r>
      <w:r w:rsidR="00A945B4">
        <w:rPr>
          <w:b w:val="0"/>
          <w:bCs w:val="0"/>
          <w:u w:val="none"/>
        </w:rPr>
        <w:t xml:space="preserve">para la </w:t>
      </w:r>
      <w:r>
        <w:rPr>
          <w:b w:val="0"/>
          <w:bCs w:val="0"/>
          <w:u w:val="none"/>
          <w:lang w:val="es-ES_tradnl"/>
        </w:rPr>
        <w:t>adquisición de equipos informáticos de escritorio y portátiles</w:t>
      </w:r>
      <w:r w:rsidR="00A945B4">
        <w:rPr>
          <w:b w:val="0"/>
          <w:bCs w:val="0"/>
          <w:u w:val="none"/>
          <w:lang w:val="es-ES_tradnl"/>
        </w:rPr>
        <w:t>;</w:t>
      </w:r>
    </w:p>
    <w:p w:rsidR="00A945B4" w:rsidRDefault="001B6547" w:rsidP="00A945B4">
      <w:pPr>
        <w:pStyle w:val="Ttulo"/>
        <w:ind w:firstLine="851"/>
        <w:jc w:val="both"/>
        <w:rPr>
          <w:b w:val="0"/>
          <w:bCs w:val="0"/>
          <w:u w:val="none"/>
        </w:rPr>
      </w:pPr>
      <w:r w:rsidRPr="00A945B4">
        <w:rPr>
          <w:u w:val="none"/>
        </w:rPr>
        <w:t>RESULTANDO: 1)</w:t>
      </w:r>
      <w:r w:rsidRPr="00A945B4">
        <w:rPr>
          <w:b w:val="0"/>
          <w:bCs w:val="0"/>
          <w:u w:val="none"/>
        </w:rPr>
        <w:t xml:space="preserve"> que este Tribunal, en Sesión de fecha 19 de oct</w:t>
      </w:r>
      <w:r w:rsidR="00A945B4">
        <w:rPr>
          <w:b w:val="0"/>
          <w:bCs w:val="0"/>
          <w:u w:val="none"/>
        </w:rPr>
        <w:t>ubre de 2016, acordó:</w:t>
      </w:r>
    </w:p>
    <w:p w:rsidR="00A945B4" w:rsidRDefault="001B6547" w:rsidP="00A945B4">
      <w:pPr>
        <w:pStyle w:val="Ttulo"/>
        <w:ind w:firstLine="2694"/>
        <w:jc w:val="both"/>
        <w:rPr>
          <w:b w:val="0"/>
          <w:bCs w:val="0"/>
          <w:u w:val="none"/>
        </w:rPr>
      </w:pPr>
      <w:r w:rsidRPr="00A945B4">
        <w:rPr>
          <w:u w:val="none"/>
        </w:rPr>
        <w:t>1.1)</w:t>
      </w:r>
      <w:r w:rsidRPr="00A945B4">
        <w:rPr>
          <w:b w:val="0"/>
          <w:bCs w:val="0"/>
          <w:u w:val="none"/>
        </w:rPr>
        <w:t xml:space="preserve"> observar el gasto derivado de la adjudicación a las firmas ARNALDO C. CASTRO S.A y PALDIR S.A. a  las que  se le otorgó plazo para presentar documentos que se omitiero</w:t>
      </w:r>
      <w:r w:rsidR="00A945B4">
        <w:rPr>
          <w:b w:val="0"/>
          <w:bCs w:val="0"/>
          <w:u w:val="none"/>
        </w:rPr>
        <w:t>n en la oferta y que conforme con el</w:t>
      </w:r>
      <w:r w:rsidRPr="00A945B4">
        <w:rPr>
          <w:b w:val="0"/>
          <w:bCs w:val="0"/>
          <w:u w:val="none"/>
        </w:rPr>
        <w:t xml:space="preserve"> </w:t>
      </w:r>
      <w:r w:rsidR="00A945B4">
        <w:rPr>
          <w:b w:val="0"/>
          <w:bCs w:val="0"/>
          <w:u w:val="none"/>
        </w:rPr>
        <w:t>A</w:t>
      </w:r>
      <w:r w:rsidRPr="00A945B4">
        <w:rPr>
          <w:b w:val="0"/>
          <w:bCs w:val="0"/>
          <w:u w:val="none"/>
        </w:rPr>
        <w:t>rt</w:t>
      </w:r>
      <w:r w:rsidR="00A945B4">
        <w:rPr>
          <w:b w:val="0"/>
          <w:bCs w:val="0"/>
          <w:u w:val="none"/>
        </w:rPr>
        <w:t>ículo</w:t>
      </w:r>
      <w:r w:rsidRPr="00A945B4">
        <w:rPr>
          <w:b w:val="0"/>
          <w:bCs w:val="0"/>
          <w:u w:val="none"/>
        </w:rPr>
        <w:t xml:space="preserve"> 10 Pliego de Condiciones Particulares se trataban de documen</w:t>
      </w:r>
      <w:r w:rsidR="00A945B4">
        <w:rPr>
          <w:b w:val="0"/>
          <w:bCs w:val="0"/>
          <w:u w:val="none"/>
        </w:rPr>
        <w:softHyphen/>
      </w:r>
      <w:r w:rsidRPr="00A945B4">
        <w:rPr>
          <w:b w:val="0"/>
          <w:bCs w:val="0"/>
          <w:u w:val="none"/>
        </w:rPr>
        <w:t>tos a “presen</w:t>
      </w:r>
      <w:r w:rsidR="00A945B4">
        <w:rPr>
          <w:b w:val="0"/>
          <w:bCs w:val="0"/>
          <w:u w:val="none"/>
        </w:rPr>
        <w:t>tar conjuntamente con la oferta”</w:t>
      </w:r>
      <w:r w:rsidRPr="00A945B4">
        <w:rPr>
          <w:b w:val="0"/>
          <w:bCs w:val="0"/>
          <w:u w:val="none"/>
        </w:rPr>
        <w:t xml:space="preserve"> y en definitiva, no se estaba ante aspectos de forma o errores que podían ser subsanados sin contravenir el principio</w:t>
      </w:r>
      <w:r w:rsidR="00A945B4">
        <w:rPr>
          <w:b w:val="0"/>
          <w:bCs w:val="0"/>
          <w:u w:val="none"/>
        </w:rPr>
        <w:t xml:space="preserve"> de igualdad de los oferentes (A</w:t>
      </w:r>
      <w:r w:rsidRPr="00A945B4">
        <w:rPr>
          <w:b w:val="0"/>
          <w:bCs w:val="0"/>
          <w:u w:val="none"/>
        </w:rPr>
        <w:t>rt</w:t>
      </w:r>
      <w:r w:rsidR="00A945B4">
        <w:rPr>
          <w:b w:val="0"/>
          <w:bCs w:val="0"/>
          <w:u w:val="none"/>
        </w:rPr>
        <w:t>ículo</w:t>
      </w:r>
      <w:r w:rsidRPr="00A945B4">
        <w:rPr>
          <w:b w:val="0"/>
          <w:bCs w:val="0"/>
          <w:u w:val="none"/>
        </w:rPr>
        <w:t xml:space="preserve"> 149 del TOCAF); y</w:t>
      </w:r>
    </w:p>
    <w:p w:rsidR="00A945B4" w:rsidRDefault="001B6547" w:rsidP="00A945B4">
      <w:pPr>
        <w:pStyle w:val="Ttulo"/>
        <w:ind w:firstLine="2694"/>
        <w:jc w:val="both"/>
        <w:rPr>
          <w:b w:val="0"/>
          <w:bCs w:val="0"/>
          <w:u w:val="none"/>
        </w:rPr>
      </w:pPr>
      <w:r w:rsidRPr="00A945B4">
        <w:rPr>
          <w:u w:val="none"/>
        </w:rPr>
        <w:t>1.2)</w:t>
      </w:r>
      <w:r w:rsidRPr="00A945B4">
        <w:rPr>
          <w:b w:val="0"/>
          <w:bCs w:val="0"/>
          <w:u w:val="none"/>
        </w:rPr>
        <w:t xml:space="preserve"> dispuestas las restantes adquisiciones y dictada la Resolución definitiva respecto a los restantes oferentes, </w:t>
      </w:r>
      <w:proofErr w:type="spellStart"/>
      <w:r w:rsidRPr="00A945B4">
        <w:rPr>
          <w:b w:val="0"/>
          <w:bCs w:val="0"/>
          <w:u w:val="none"/>
        </w:rPr>
        <w:t>cométese</w:t>
      </w:r>
      <w:proofErr w:type="spellEnd"/>
      <w:r w:rsidRPr="00A945B4">
        <w:rPr>
          <w:b w:val="0"/>
          <w:bCs w:val="0"/>
          <w:u w:val="none"/>
        </w:rPr>
        <w:t xml:space="preserve"> </w:t>
      </w:r>
      <w:r w:rsidR="00A945B4">
        <w:rPr>
          <w:b w:val="0"/>
          <w:bCs w:val="0"/>
          <w:u w:val="none"/>
        </w:rPr>
        <w:t>al Contador Auditor destacado ante</w:t>
      </w:r>
      <w:r w:rsidRPr="00A945B4">
        <w:rPr>
          <w:b w:val="0"/>
          <w:bCs w:val="0"/>
          <w:u w:val="none"/>
        </w:rPr>
        <w:t xml:space="preserve"> la Presidencia de la República la intervención del gasto, previo control de su imputación en el objeto del gasto con disponibilidad, así como de lo establecido en el </w:t>
      </w:r>
      <w:r w:rsidR="00A945B4">
        <w:rPr>
          <w:b w:val="0"/>
          <w:bCs w:val="0"/>
          <w:u w:val="none"/>
        </w:rPr>
        <w:t>Artículo 3º de la Ley 18.244;</w:t>
      </w:r>
    </w:p>
    <w:p w:rsidR="00A945B4" w:rsidRDefault="001B6547" w:rsidP="00A945B4">
      <w:pPr>
        <w:pStyle w:val="Ttulo"/>
        <w:ind w:firstLine="2694"/>
        <w:jc w:val="both"/>
        <w:rPr>
          <w:b w:val="0"/>
          <w:bCs w:val="0"/>
          <w:u w:val="none"/>
        </w:rPr>
      </w:pPr>
      <w:r w:rsidRPr="00A945B4">
        <w:rPr>
          <w:u w:val="none"/>
        </w:rPr>
        <w:lastRenderedPageBreak/>
        <w:t>2)</w:t>
      </w:r>
      <w:r w:rsidRPr="00A945B4">
        <w:rPr>
          <w:b w:val="0"/>
          <w:bCs w:val="0"/>
          <w:u w:val="none"/>
        </w:rPr>
        <w:t xml:space="preserve"> que con fecha 9.11.2016, y a partir del pedido de reconsideración por parte de la Administración, este Tribunal acordó  “Estar a lo dispuesto en Sesión de fecha 19.10.2016, en virtud de que:</w:t>
      </w:r>
    </w:p>
    <w:p w:rsidR="00A945B4" w:rsidRDefault="001B6547" w:rsidP="00A945B4">
      <w:pPr>
        <w:pStyle w:val="Ttulo"/>
        <w:ind w:firstLine="2694"/>
        <w:jc w:val="both"/>
        <w:rPr>
          <w:b w:val="0"/>
          <w:bCs w:val="0"/>
          <w:u w:val="none"/>
        </w:rPr>
      </w:pPr>
      <w:r w:rsidRPr="00A945B4">
        <w:rPr>
          <w:u w:val="none"/>
        </w:rPr>
        <w:t>2.1)</w:t>
      </w:r>
      <w:r w:rsidR="00A945B4">
        <w:rPr>
          <w:b w:val="0"/>
          <w:bCs w:val="0"/>
          <w:u w:val="none"/>
        </w:rPr>
        <w:t xml:space="preserve"> el Artículo 65 del TOCAF I</w:t>
      </w:r>
      <w:r w:rsidRPr="00A945B4">
        <w:rPr>
          <w:b w:val="0"/>
          <w:bCs w:val="0"/>
          <w:u w:val="none"/>
        </w:rPr>
        <w:t>nciso 7 establece que “la Administración podrá otorgar a los proponentes un plazo máximo de dos días hábiles para salvar los defectos, carencias formales o errores evidentes o de escasa importancia”;</w:t>
      </w:r>
    </w:p>
    <w:p w:rsidR="00062C0D" w:rsidRDefault="001B6547" w:rsidP="00062C0D">
      <w:pPr>
        <w:pStyle w:val="Ttulo"/>
        <w:ind w:firstLine="2694"/>
        <w:jc w:val="both"/>
        <w:rPr>
          <w:b w:val="0"/>
          <w:bCs w:val="0"/>
          <w:u w:val="none"/>
        </w:rPr>
      </w:pPr>
      <w:r w:rsidRPr="00A945B4">
        <w:rPr>
          <w:u w:val="none"/>
        </w:rPr>
        <w:t xml:space="preserve">2.2) </w:t>
      </w:r>
      <w:r w:rsidRPr="00A945B4">
        <w:rPr>
          <w:b w:val="0"/>
          <w:bCs w:val="0"/>
          <w:u w:val="none"/>
        </w:rPr>
        <w:t>la documentación requeri</w:t>
      </w:r>
      <w:r w:rsidR="00A945B4">
        <w:rPr>
          <w:b w:val="0"/>
          <w:bCs w:val="0"/>
          <w:u w:val="none"/>
        </w:rPr>
        <w:t>da por la Administración en el A</w:t>
      </w:r>
      <w:r w:rsidRPr="00A945B4">
        <w:rPr>
          <w:b w:val="0"/>
          <w:bCs w:val="0"/>
          <w:u w:val="none"/>
        </w:rPr>
        <w:t>cta de apertura a las respectivas firmas, conforman la “documentación a presentar conjuntamente con la oferta”, por lo que, su no incorporación a la misma no es un vicio de forma, como considera la Administración en el infor</w:t>
      </w:r>
      <w:r w:rsidR="00062C0D">
        <w:rPr>
          <w:b w:val="0"/>
          <w:bCs w:val="0"/>
          <w:u w:val="none"/>
        </w:rPr>
        <w:t>me remitido, sino de sustancia;</w:t>
      </w:r>
    </w:p>
    <w:p w:rsidR="00062C0D" w:rsidRDefault="001B6547" w:rsidP="00062C0D">
      <w:pPr>
        <w:pStyle w:val="Ttulo"/>
        <w:ind w:firstLine="2694"/>
        <w:jc w:val="both"/>
        <w:rPr>
          <w:b w:val="0"/>
          <w:bCs w:val="0"/>
          <w:u w:val="none"/>
        </w:rPr>
      </w:pPr>
      <w:r w:rsidRPr="00062C0D">
        <w:rPr>
          <w:u w:val="none"/>
        </w:rPr>
        <w:t>2.3)</w:t>
      </w:r>
      <w:r w:rsidRPr="00062C0D">
        <w:rPr>
          <w:b w:val="0"/>
          <w:bCs w:val="0"/>
          <w:u w:val="none"/>
        </w:rPr>
        <w:t xml:space="preserve"> de admitirse la incorporación de la referida documentación se estaría en contravención, as</w:t>
      </w:r>
      <w:r w:rsidR="00062C0D">
        <w:rPr>
          <w:b w:val="0"/>
          <w:bCs w:val="0"/>
          <w:u w:val="none"/>
        </w:rPr>
        <w:t>imismo, con lo previsto en el  A</w:t>
      </w:r>
      <w:r w:rsidRPr="00062C0D">
        <w:rPr>
          <w:b w:val="0"/>
          <w:bCs w:val="0"/>
          <w:u w:val="none"/>
        </w:rPr>
        <w:t>rt</w:t>
      </w:r>
      <w:r w:rsidR="00062C0D">
        <w:rPr>
          <w:b w:val="0"/>
          <w:bCs w:val="0"/>
          <w:u w:val="none"/>
        </w:rPr>
        <w:t>ículo</w:t>
      </w:r>
      <w:r w:rsidRPr="00062C0D">
        <w:rPr>
          <w:b w:val="0"/>
          <w:bCs w:val="0"/>
          <w:u w:val="none"/>
        </w:rPr>
        <w:t xml:space="preserve"> 149 del TOCAF (principio de igualdad de los oferentes y de concurrencia);</w:t>
      </w:r>
    </w:p>
    <w:p w:rsidR="00062C0D" w:rsidRDefault="001B6547" w:rsidP="00062C0D">
      <w:pPr>
        <w:pStyle w:val="Ttulo"/>
        <w:ind w:firstLine="2694"/>
        <w:jc w:val="both"/>
        <w:rPr>
          <w:b w:val="0"/>
          <w:bCs w:val="0"/>
          <w:u w:val="none"/>
        </w:rPr>
      </w:pPr>
      <w:r w:rsidRPr="00062C0D">
        <w:rPr>
          <w:u w:val="none"/>
        </w:rPr>
        <w:t>3)</w:t>
      </w:r>
      <w:r w:rsidRPr="00062C0D">
        <w:rPr>
          <w:b w:val="0"/>
          <w:bCs w:val="0"/>
          <w:u w:val="none"/>
        </w:rPr>
        <w:t xml:space="preserve"> </w:t>
      </w:r>
      <w:proofErr w:type="gramStart"/>
      <w:r w:rsidRPr="00062C0D">
        <w:rPr>
          <w:b w:val="0"/>
          <w:bCs w:val="0"/>
          <w:u w:val="none"/>
        </w:rPr>
        <w:t>que</w:t>
      </w:r>
      <w:proofErr w:type="gramEnd"/>
      <w:r w:rsidRPr="00062C0D">
        <w:rPr>
          <w:b w:val="0"/>
          <w:bCs w:val="0"/>
          <w:u w:val="none"/>
        </w:rPr>
        <w:t xml:space="preserve"> en Sesión de fecha </w:t>
      </w:r>
      <w:r w:rsidR="00062C0D">
        <w:rPr>
          <w:b w:val="0"/>
          <w:bCs w:val="0"/>
          <w:u w:val="none"/>
        </w:rPr>
        <w:t>28.12.2016, este Tribunal acordó</w:t>
      </w:r>
      <w:r w:rsidRPr="00062C0D">
        <w:rPr>
          <w:b w:val="0"/>
          <w:bCs w:val="0"/>
          <w:u w:val="none"/>
        </w:rPr>
        <w:t xml:space="preserve"> modificar la parte dispositiva de su Resolución de 19 de octubre de 2016, la que quedó redactada de la siguiente manera: “</w:t>
      </w:r>
      <w:r w:rsidRPr="00062C0D">
        <w:rPr>
          <w:bCs w:val="0"/>
          <w:u w:val="none"/>
        </w:rPr>
        <w:t>1)</w:t>
      </w:r>
      <w:r w:rsidRPr="00062C0D">
        <w:rPr>
          <w:b w:val="0"/>
          <w:bCs w:val="0"/>
          <w:u w:val="none"/>
        </w:rPr>
        <w:t xml:space="preserve"> No formular observación al procedimiento de Convenio Marco Nº 1/2016, salvo en lo que respecta a las ofertas de las firmas ARNALDO C. CASTRO S.A y PALDIR S.A; </w:t>
      </w:r>
      <w:r w:rsidRPr="00062C0D">
        <w:rPr>
          <w:bCs w:val="0"/>
          <w:u w:val="none"/>
        </w:rPr>
        <w:t>2)</w:t>
      </w:r>
      <w:r w:rsidRPr="00062C0D">
        <w:rPr>
          <w:b w:val="0"/>
          <w:bCs w:val="0"/>
          <w:u w:val="none"/>
        </w:rPr>
        <w:t xml:space="preserve"> Devolver las actuaciones.”;</w:t>
      </w:r>
    </w:p>
    <w:p w:rsidR="00062C0D" w:rsidRDefault="001B6547" w:rsidP="00062C0D">
      <w:pPr>
        <w:pStyle w:val="Ttulo"/>
        <w:ind w:firstLine="2694"/>
        <w:jc w:val="both"/>
        <w:rPr>
          <w:b w:val="0"/>
          <w:bCs w:val="0"/>
          <w:u w:val="none"/>
        </w:rPr>
      </w:pPr>
      <w:r w:rsidRPr="00062C0D">
        <w:rPr>
          <w:u w:val="none"/>
        </w:rPr>
        <w:t>4)</w:t>
      </w:r>
      <w:r w:rsidR="00062C0D">
        <w:rPr>
          <w:b w:val="0"/>
          <w:bCs w:val="0"/>
          <w:u w:val="none"/>
        </w:rPr>
        <w:t xml:space="preserve"> que en la oportunidad</w:t>
      </w:r>
      <w:r w:rsidRPr="00062C0D">
        <w:rPr>
          <w:b w:val="0"/>
          <w:bCs w:val="0"/>
          <w:u w:val="none"/>
        </w:rPr>
        <w:t>,</w:t>
      </w:r>
      <w:r w:rsidR="00062C0D">
        <w:rPr>
          <w:b w:val="0"/>
          <w:bCs w:val="0"/>
          <w:u w:val="none"/>
        </w:rPr>
        <w:t xml:space="preserve"> se remite Resolución Nº</w:t>
      </w:r>
      <w:r w:rsidRPr="00062C0D">
        <w:rPr>
          <w:b w:val="0"/>
          <w:bCs w:val="0"/>
          <w:u w:val="none"/>
        </w:rPr>
        <w:t>147/016 mediante el que el Director Ejecutivo de AGESIC, en ejercicio de atribuciones delegadas, dispone  insistir en el gasto  observado, respecto de las firmas ARNALDO C. CASTRO S.A</w:t>
      </w:r>
      <w:r w:rsidR="00062C0D">
        <w:rPr>
          <w:b w:val="0"/>
          <w:bCs w:val="0"/>
          <w:u w:val="none"/>
        </w:rPr>
        <w:t>.</w:t>
      </w:r>
      <w:r w:rsidRPr="00062C0D">
        <w:rPr>
          <w:b w:val="0"/>
          <w:bCs w:val="0"/>
          <w:u w:val="none"/>
        </w:rPr>
        <w:t xml:space="preserve"> y PALDIR S.A</w:t>
      </w:r>
      <w:r w:rsidR="00062C0D">
        <w:rPr>
          <w:b w:val="0"/>
          <w:bCs w:val="0"/>
          <w:u w:val="none"/>
        </w:rPr>
        <w:t>.</w:t>
      </w:r>
      <w:r w:rsidRPr="00062C0D">
        <w:rPr>
          <w:b w:val="0"/>
          <w:bCs w:val="0"/>
          <w:u w:val="none"/>
        </w:rPr>
        <w:t>, justificándose la reiteración en que:</w:t>
      </w:r>
    </w:p>
    <w:p w:rsidR="00062C0D" w:rsidRDefault="001B6547" w:rsidP="00062C0D">
      <w:pPr>
        <w:pStyle w:val="Ttulo"/>
        <w:ind w:firstLine="2694"/>
        <w:jc w:val="both"/>
        <w:rPr>
          <w:b w:val="0"/>
          <w:bCs w:val="0"/>
          <w:u w:val="none"/>
        </w:rPr>
      </w:pPr>
      <w:r w:rsidRPr="00062C0D">
        <w:rPr>
          <w:u w:val="none"/>
        </w:rPr>
        <w:lastRenderedPageBreak/>
        <w:t>4.1)</w:t>
      </w:r>
      <w:r w:rsidRPr="00062C0D">
        <w:rPr>
          <w:b w:val="0"/>
          <w:bCs w:val="0"/>
          <w:u w:val="none"/>
        </w:rPr>
        <w:t xml:space="preserve"> por tratarse de apartamientos formales, la Administración otorgó plazo de 2 días hábiles respecto de los referidos oferentes, omisiones que fueron subsanadas en tiempo y forma;  y</w:t>
      </w:r>
    </w:p>
    <w:p w:rsidR="001B6547" w:rsidRPr="00062C0D" w:rsidRDefault="001B6547" w:rsidP="00062C0D">
      <w:pPr>
        <w:pStyle w:val="Ttulo"/>
        <w:ind w:firstLine="2694"/>
        <w:jc w:val="both"/>
        <w:rPr>
          <w:b w:val="0"/>
          <w:bCs w:val="0"/>
          <w:u w:val="none"/>
        </w:rPr>
      </w:pPr>
      <w:r w:rsidRPr="00062C0D">
        <w:rPr>
          <w:u w:val="none"/>
        </w:rPr>
        <w:t>4.2)</w:t>
      </w:r>
      <w:r w:rsidRPr="00062C0D">
        <w:rPr>
          <w:b w:val="0"/>
          <w:bCs w:val="0"/>
          <w:u w:val="none"/>
        </w:rPr>
        <w:t xml:space="preserve"> las subsanaciones no afectaron la igualdad de los oferentes, ni supusieron disminución de garantías, ni incidieron en la decisión de fondo, así como tampoco causaron perjuicio alguno</w:t>
      </w:r>
      <w:r w:rsidR="00062C0D">
        <w:rPr>
          <w:b w:val="0"/>
          <w:bCs w:val="0"/>
          <w:u w:val="none"/>
        </w:rPr>
        <w:t>;</w:t>
      </w:r>
      <w:r w:rsidRPr="00062C0D">
        <w:rPr>
          <w:b w:val="0"/>
          <w:bCs w:val="0"/>
          <w:u w:val="none"/>
        </w:rPr>
        <w:t xml:space="preserve">     </w:t>
      </w:r>
    </w:p>
    <w:p w:rsidR="001B6547" w:rsidRDefault="001B6547" w:rsidP="00062C0D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color w:val="auto"/>
          <w:spacing w:val="-3"/>
        </w:rPr>
      </w:pPr>
      <w:r>
        <w:rPr>
          <w:rFonts w:ascii="Arial" w:hAnsi="Arial" w:cs="Arial"/>
          <w:color w:val="auto"/>
          <w:spacing w:val="-3"/>
        </w:rPr>
        <w:t>CONSIDERANDO:</w:t>
      </w:r>
      <w:r>
        <w:rPr>
          <w:rFonts w:ascii="Arial" w:hAnsi="Arial" w:cs="Arial"/>
          <w:b w:val="0"/>
          <w:bCs w:val="0"/>
          <w:color w:val="auto"/>
          <w:spacing w:val="-3"/>
        </w:rPr>
        <w:t xml:space="preserve"> que la Administración no aporta elementos que ameriten el levantamiento de la observación oportunamente realizada, manteniéndose inalteradas las razones por las cuales se observó el gasto de referencia;</w:t>
      </w:r>
    </w:p>
    <w:p w:rsidR="001B6547" w:rsidRDefault="001B6547" w:rsidP="00062C0D">
      <w:pPr>
        <w:widowControl w:val="0"/>
        <w:spacing w:line="360" w:lineRule="auto"/>
        <w:ind w:firstLine="851"/>
        <w:jc w:val="both"/>
        <w:rPr>
          <w:rFonts w:ascii="Arial" w:hAnsi="Arial" w:cs="Arial"/>
          <w:b w:val="0"/>
          <w:bCs w:val="0"/>
          <w:snapToGrid w:val="0"/>
          <w:color w:val="auto"/>
          <w:spacing w:val="-3"/>
        </w:rPr>
      </w:pPr>
      <w:r>
        <w:rPr>
          <w:rFonts w:ascii="Arial" w:hAnsi="Arial" w:cs="Arial"/>
          <w:snapToGrid w:val="0"/>
          <w:color w:val="auto"/>
          <w:spacing w:val="-3"/>
        </w:rPr>
        <w:t>ATENTO:</w:t>
      </w:r>
      <w:r>
        <w:rPr>
          <w:rFonts w:ascii="Arial" w:hAnsi="Arial" w:cs="Arial"/>
          <w:b w:val="0"/>
          <w:bCs w:val="0"/>
          <w:snapToGrid w:val="0"/>
          <w:color w:val="auto"/>
          <w:spacing w:val="-3"/>
        </w:rPr>
        <w:t xml:space="preserve"> a lo precedentemente expuesto</w:t>
      </w:r>
      <w:r>
        <w:rPr>
          <w:rFonts w:ascii="Courier New" w:hAnsi="Courier New" w:cs="Courier New"/>
          <w:b w:val="0"/>
          <w:bCs w:val="0"/>
          <w:snapToGrid w:val="0"/>
          <w:color w:val="auto"/>
        </w:rPr>
        <w:t xml:space="preserve"> </w:t>
      </w:r>
      <w:r w:rsidR="00062C0D">
        <w:rPr>
          <w:rFonts w:ascii="Arial" w:hAnsi="Arial" w:cs="Arial"/>
          <w:b w:val="0"/>
          <w:bCs w:val="0"/>
          <w:snapToGrid w:val="0"/>
          <w:color w:val="auto"/>
          <w:spacing w:val="-3"/>
        </w:rPr>
        <w:t>y a lo dispuesto por el Artículo 211 L</w:t>
      </w:r>
      <w:r>
        <w:rPr>
          <w:rFonts w:ascii="Arial" w:hAnsi="Arial" w:cs="Arial"/>
          <w:b w:val="0"/>
          <w:bCs w:val="0"/>
          <w:snapToGrid w:val="0"/>
          <w:color w:val="auto"/>
          <w:spacing w:val="-3"/>
        </w:rPr>
        <w:t>iteral  B) de la Constitución de la República;</w:t>
      </w:r>
    </w:p>
    <w:p w:rsidR="001B6547" w:rsidRDefault="001B6547" w:rsidP="00062C0D">
      <w:pPr>
        <w:keepNext/>
        <w:spacing w:line="360" w:lineRule="auto"/>
        <w:jc w:val="center"/>
        <w:outlineLvl w:val="1"/>
        <w:rPr>
          <w:rFonts w:ascii="Arial" w:hAnsi="Arial" w:cs="Arial"/>
          <w:color w:val="auto"/>
          <w:spacing w:val="-3"/>
          <w:lang w:val="es-ES_tradnl"/>
        </w:rPr>
      </w:pPr>
      <w:r>
        <w:rPr>
          <w:rFonts w:ascii="Arial" w:hAnsi="Arial" w:cs="Arial"/>
          <w:color w:val="auto"/>
          <w:spacing w:val="-3"/>
          <w:lang w:val="es-ES_tradnl"/>
        </w:rPr>
        <w:t>EL TRIBUNAL ACUERDA</w:t>
      </w:r>
    </w:p>
    <w:p w:rsidR="001B6547" w:rsidRDefault="00062C0D" w:rsidP="00062C0D">
      <w:pPr>
        <w:widowControl w:val="0"/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snapToGrid w:val="0"/>
          <w:color w:val="auto"/>
          <w:spacing w:val="-3"/>
          <w:lang w:val="es-UY"/>
        </w:rPr>
      </w:pPr>
      <w:r>
        <w:rPr>
          <w:rFonts w:ascii="Arial" w:hAnsi="Arial" w:cs="Arial"/>
          <w:snapToGrid w:val="0"/>
          <w:color w:val="auto"/>
          <w:spacing w:val="-3"/>
          <w:lang w:val="es-ES_tradnl"/>
        </w:rPr>
        <w:t xml:space="preserve">1) </w:t>
      </w:r>
      <w:r w:rsidR="001B6547">
        <w:rPr>
          <w:rFonts w:ascii="Arial" w:hAnsi="Arial" w:cs="Arial"/>
          <w:b w:val="0"/>
          <w:bCs w:val="0"/>
          <w:snapToGrid w:val="0"/>
          <w:color w:val="auto"/>
          <w:spacing w:val="-3"/>
        </w:rPr>
        <w:t xml:space="preserve">Mantener la observación formulada </w:t>
      </w:r>
      <w:r w:rsidR="001B6547">
        <w:rPr>
          <w:rFonts w:ascii="Arial" w:hAnsi="Arial" w:cs="Arial"/>
          <w:b w:val="0"/>
          <w:bCs w:val="0"/>
          <w:snapToGrid w:val="0"/>
          <w:color w:val="auto"/>
          <w:spacing w:val="-3"/>
          <w:lang w:val="es-UY"/>
        </w:rPr>
        <w:t>por Resoluciones de fechas 19 de octubre de 2016 y 28 de diciembre de 2016;</w:t>
      </w:r>
    </w:p>
    <w:p w:rsidR="00062C0D" w:rsidRDefault="00062C0D" w:rsidP="00062C0D">
      <w:pPr>
        <w:widowControl w:val="0"/>
        <w:spacing w:line="360" w:lineRule="auto"/>
        <w:jc w:val="both"/>
        <w:rPr>
          <w:rFonts w:ascii="Arial" w:hAnsi="Arial" w:cs="Arial"/>
          <w:b w:val="0"/>
          <w:bCs w:val="0"/>
          <w:snapToGrid w:val="0"/>
          <w:color w:val="auto"/>
          <w:spacing w:val="-3"/>
        </w:rPr>
      </w:pPr>
      <w:r>
        <w:rPr>
          <w:rFonts w:ascii="Arial" w:hAnsi="Arial" w:cs="Arial"/>
          <w:snapToGrid w:val="0"/>
          <w:color w:val="auto"/>
          <w:spacing w:val="-3"/>
        </w:rPr>
        <w:t xml:space="preserve">2) </w:t>
      </w:r>
      <w:r>
        <w:rPr>
          <w:rFonts w:ascii="Arial" w:hAnsi="Arial" w:cs="Arial"/>
          <w:b w:val="0"/>
          <w:bCs w:val="0"/>
          <w:snapToGrid w:val="0"/>
          <w:color w:val="auto"/>
          <w:spacing w:val="-3"/>
        </w:rPr>
        <w:t>Dar cuenta a la Administración</w:t>
      </w:r>
      <w:r>
        <w:rPr>
          <w:rFonts w:ascii="Arial" w:hAnsi="Arial" w:cs="Arial"/>
          <w:b w:val="0"/>
          <w:bCs w:val="0"/>
          <w:snapToGrid w:val="0"/>
          <w:color w:val="auto"/>
          <w:spacing w:val="-3"/>
        </w:rPr>
        <w:t>;</w:t>
      </w:r>
    </w:p>
    <w:p w:rsidR="001B6547" w:rsidRDefault="00062C0D" w:rsidP="00062C0D">
      <w:pPr>
        <w:widowControl w:val="0"/>
        <w:spacing w:line="360" w:lineRule="auto"/>
        <w:jc w:val="both"/>
        <w:rPr>
          <w:rFonts w:ascii="Arial" w:hAnsi="Arial" w:cs="Arial"/>
          <w:b w:val="0"/>
          <w:bCs w:val="0"/>
          <w:snapToGrid w:val="0"/>
          <w:color w:val="auto"/>
          <w:spacing w:val="-3"/>
        </w:rPr>
      </w:pPr>
      <w:r>
        <w:rPr>
          <w:rFonts w:ascii="Arial" w:hAnsi="Arial" w:cs="Arial"/>
          <w:snapToGrid w:val="0"/>
          <w:color w:val="auto"/>
          <w:spacing w:val="-3"/>
        </w:rPr>
        <w:t>3)</w:t>
      </w:r>
      <w:r w:rsidRPr="00062C0D">
        <w:rPr>
          <w:rFonts w:ascii="Arial" w:hAnsi="Arial" w:cs="Arial"/>
          <w:b w:val="0"/>
          <w:bCs w:val="0"/>
          <w:snapToGrid w:val="0"/>
          <w:color w:val="auto"/>
          <w:spacing w:val="-3"/>
        </w:rPr>
        <w:t xml:space="preserve"> </w:t>
      </w:r>
      <w:r>
        <w:rPr>
          <w:rFonts w:ascii="Arial" w:hAnsi="Arial" w:cs="Arial"/>
          <w:b w:val="0"/>
          <w:bCs w:val="0"/>
          <w:snapToGrid w:val="0"/>
          <w:color w:val="auto"/>
          <w:spacing w:val="-3"/>
        </w:rPr>
        <w:t>C</w:t>
      </w:r>
      <w:r>
        <w:rPr>
          <w:rFonts w:ascii="Arial" w:hAnsi="Arial" w:cs="Arial"/>
          <w:b w:val="0"/>
          <w:bCs w:val="0"/>
          <w:snapToGrid w:val="0"/>
          <w:color w:val="auto"/>
          <w:spacing w:val="-3"/>
        </w:rPr>
        <w:t>omunicar al Poder Ejecutivo</w:t>
      </w:r>
      <w:r>
        <w:rPr>
          <w:rFonts w:ascii="Arial" w:hAnsi="Arial" w:cs="Arial"/>
          <w:snapToGrid w:val="0"/>
          <w:color w:val="auto"/>
          <w:spacing w:val="-3"/>
        </w:rPr>
        <w:t xml:space="preserve"> </w:t>
      </w:r>
      <w:r>
        <w:rPr>
          <w:rFonts w:ascii="Arial" w:hAnsi="Arial" w:cs="Arial"/>
          <w:b w:val="0"/>
          <w:bCs w:val="0"/>
          <w:snapToGrid w:val="0"/>
          <w:color w:val="auto"/>
          <w:spacing w:val="-3"/>
        </w:rPr>
        <w:t>y d</w:t>
      </w:r>
      <w:r w:rsidR="001B6547">
        <w:rPr>
          <w:rFonts w:ascii="Arial" w:hAnsi="Arial" w:cs="Arial"/>
          <w:b w:val="0"/>
          <w:bCs w:val="0"/>
          <w:snapToGrid w:val="0"/>
          <w:color w:val="auto"/>
          <w:spacing w:val="-3"/>
        </w:rPr>
        <w:t>a</w:t>
      </w:r>
      <w:r>
        <w:rPr>
          <w:rFonts w:ascii="Arial" w:hAnsi="Arial" w:cs="Arial"/>
          <w:b w:val="0"/>
          <w:bCs w:val="0"/>
          <w:snapToGrid w:val="0"/>
          <w:color w:val="auto"/>
          <w:spacing w:val="-3"/>
        </w:rPr>
        <w:t>r cuenta a la Asamblea General.</w:t>
      </w:r>
    </w:p>
    <w:p w:rsidR="00062C0D" w:rsidRDefault="00062C0D" w:rsidP="00062C0D">
      <w:pPr>
        <w:widowControl w:val="0"/>
        <w:spacing w:line="360" w:lineRule="auto"/>
        <w:jc w:val="both"/>
        <w:rPr>
          <w:rFonts w:ascii="Arial" w:hAnsi="Arial" w:cs="Arial"/>
          <w:b w:val="0"/>
          <w:bCs w:val="0"/>
          <w:snapToGrid w:val="0"/>
          <w:color w:val="auto"/>
          <w:spacing w:val="-3"/>
        </w:rPr>
      </w:pPr>
    </w:p>
    <w:p w:rsidR="00062C0D" w:rsidRDefault="00062C0D" w:rsidP="00062C0D">
      <w:pPr>
        <w:widowControl w:val="0"/>
        <w:spacing w:line="360" w:lineRule="auto"/>
        <w:jc w:val="both"/>
        <w:rPr>
          <w:rFonts w:ascii="Arial" w:hAnsi="Arial" w:cs="Arial"/>
          <w:b w:val="0"/>
          <w:bCs w:val="0"/>
          <w:snapToGrid w:val="0"/>
          <w:color w:val="auto"/>
          <w:spacing w:val="-3"/>
        </w:rPr>
      </w:pPr>
    </w:p>
    <w:p w:rsidR="00062C0D" w:rsidRDefault="00062C0D" w:rsidP="00062C0D">
      <w:pPr>
        <w:widowControl w:val="0"/>
        <w:spacing w:line="360" w:lineRule="auto"/>
        <w:jc w:val="both"/>
        <w:rPr>
          <w:rFonts w:ascii="Arial" w:hAnsi="Arial" w:cs="Arial"/>
          <w:b w:val="0"/>
          <w:bCs w:val="0"/>
          <w:snapToGrid w:val="0"/>
          <w:color w:val="auto"/>
          <w:spacing w:val="-3"/>
        </w:rPr>
      </w:pPr>
    </w:p>
    <w:p w:rsidR="00062C0D" w:rsidRDefault="00062C0D" w:rsidP="00062C0D">
      <w:pPr>
        <w:widowControl w:val="0"/>
        <w:spacing w:line="360" w:lineRule="auto"/>
        <w:jc w:val="both"/>
        <w:rPr>
          <w:rFonts w:ascii="Arial" w:hAnsi="Arial" w:cs="Arial"/>
          <w:b w:val="0"/>
          <w:bCs w:val="0"/>
          <w:snapToGrid w:val="0"/>
          <w:color w:val="auto"/>
          <w:spacing w:val="-3"/>
        </w:rPr>
      </w:pPr>
    </w:p>
    <w:p w:rsidR="00062C0D" w:rsidRDefault="00062C0D" w:rsidP="00062C0D">
      <w:pPr>
        <w:widowControl w:val="0"/>
        <w:spacing w:line="360" w:lineRule="auto"/>
        <w:ind w:hanging="284"/>
        <w:jc w:val="both"/>
        <w:rPr>
          <w:rFonts w:ascii="Arial" w:hAnsi="Arial" w:cs="Arial"/>
          <w:b w:val="0"/>
          <w:bCs w:val="0"/>
          <w:i/>
          <w:iCs/>
          <w:sz w:val="20"/>
          <w:szCs w:val="20"/>
          <w:lang w:val="es-ES_tradnl"/>
        </w:rPr>
      </w:pPr>
      <w:proofErr w:type="gramStart"/>
      <w:r>
        <w:rPr>
          <w:rFonts w:ascii="Arial" w:hAnsi="Arial" w:cs="Arial"/>
          <w:b w:val="0"/>
          <w:bCs w:val="0"/>
          <w:snapToGrid w:val="0"/>
          <w:color w:val="auto"/>
          <w:spacing w:val="-3"/>
        </w:rPr>
        <w:t>dc</w:t>
      </w:r>
      <w:bookmarkStart w:id="0" w:name="_GoBack"/>
      <w:bookmarkEnd w:id="0"/>
      <w:proofErr w:type="gramEnd"/>
    </w:p>
    <w:sectPr w:rsidR="00062C0D" w:rsidSect="00A945B4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547" w:rsidRDefault="001B65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B6547" w:rsidRDefault="001B65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47" w:rsidRDefault="001B6547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062C0D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</w:p>
  <w:p w:rsidR="001B6547" w:rsidRDefault="001B6547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547" w:rsidRDefault="001B65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B6547" w:rsidRDefault="001B65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0DF"/>
    <w:multiLevelType w:val="hybridMultilevel"/>
    <w:tmpl w:val="C408EB08"/>
    <w:lvl w:ilvl="0" w:tplc="27F073F4">
      <w:start w:val="1"/>
      <w:numFmt w:val="lowerLetter"/>
      <w:lvlText w:val="%1)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794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514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3234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954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674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394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6114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834" w:hanging="180"/>
      </w:pPr>
      <w:rPr>
        <w:rFonts w:ascii="Times New Roman" w:hAnsi="Times New Roman" w:cs="Times New Roman"/>
      </w:rPr>
    </w:lvl>
  </w:abstractNum>
  <w:abstractNum w:abstractNumId="1">
    <w:nsid w:val="05C74B85"/>
    <w:multiLevelType w:val="hybridMultilevel"/>
    <w:tmpl w:val="4704BD6A"/>
    <w:lvl w:ilvl="0" w:tplc="44A4D4A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">
    <w:nsid w:val="0C170750"/>
    <w:multiLevelType w:val="hybridMultilevel"/>
    <w:tmpl w:val="CA3C0AE8"/>
    <w:lvl w:ilvl="0" w:tplc="BC22FD8A">
      <w:start w:val="1"/>
      <w:numFmt w:val="decimal"/>
      <w:lvlText w:val="%1)"/>
      <w:lvlJc w:val="left"/>
      <w:pPr>
        <w:ind w:left="1065" w:hanging="705"/>
      </w:pPr>
      <w:rPr>
        <w:rFonts w:ascii="Arial" w:eastAsia="Times New Roman" w:hAnsi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25235E03"/>
    <w:multiLevelType w:val="hybridMultilevel"/>
    <w:tmpl w:val="54D28E16"/>
    <w:lvl w:ilvl="0" w:tplc="38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274B3151"/>
    <w:multiLevelType w:val="hybridMultilevel"/>
    <w:tmpl w:val="9D22CA78"/>
    <w:lvl w:ilvl="0" w:tplc="0C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31501617"/>
    <w:multiLevelType w:val="hybridMultilevel"/>
    <w:tmpl w:val="2360954C"/>
    <w:lvl w:ilvl="0" w:tplc="0C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65B71EF"/>
    <w:multiLevelType w:val="hybridMultilevel"/>
    <w:tmpl w:val="4F7EF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77257AF"/>
    <w:multiLevelType w:val="hybridMultilevel"/>
    <w:tmpl w:val="EB72F8F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3CD3286F"/>
    <w:multiLevelType w:val="hybridMultilevel"/>
    <w:tmpl w:val="C05C2616"/>
    <w:lvl w:ilvl="0" w:tplc="91E0BAEE">
      <w:start w:val="1"/>
      <w:numFmt w:val="upperRoman"/>
      <w:lvlText w:val="%1)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9">
    <w:nsid w:val="42230BBF"/>
    <w:multiLevelType w:val="hybridMultilevel"/>
    <w:tmpl w:val="97007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5CB3B95"/>
    <w:multiLevelType w:val="hybridMultilevel"/>
    <w:tmpl w:val="D8E43814"/>
    <w:lvl w:ilvl="0" w:tplc="50AC4238">
      <w:start w:val="1"/>
      <w:numFmt w:val="lowerLetter"/>
      <w:lvlText w:val="%1)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794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514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3234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954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674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394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6114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834" w:hanging="180"/>
      </w:pPr>
      <w:rPr>
        <w:rFonts w:ascii="Times New Roman" w:hAnsi="Times New Roman" w:cs="Times New Roman"/>
      </w:rPr>
    </w:lvl>
  </w:abstractNum>
  <w:abstractNum w:abstractNumId="11">
    <w:nsid w:val="460902E9"/>
    <w:multiLevelType w:val="hybridMultilevel"/>
    <w:tmpl w:val="49CEC5FC"/>
    <w:lvl w:ilvl="0" w:tplc="10CA61F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2">
    <w:nsid w:val="4B641061"/>
    <w:multiLevelType w:val="hybridMultilevel"/>
    <w:tmpl w:val="FC3C45FE"/>
    <w:lvl w:ilvl="0" w:tplc="8760D83C">
      <w:start w:val="2"/>
      <w:numFmt w:val="bullet"/>
      <w:lvlText w:val="-"/>
      <w:lvlJc w:val="left"/>
      <w:pPr>
        <w:ind w:left="1074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13">
    <w:nsid w:val="542564B7"/>
    <w:multiLevelType w:val="hybridMultilevel"/>
    <w:tmpl w:val="3A486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A1813A6"/>
    <w:multiLevelType w:val="hybridMultilevel"/>
    <w:tmpl w:val="E33C0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1BB0EDA"/>
    <w:multiLevelType w:val="hybridMultilevel"/>
    <w:tmpl w:val="1B58516C"/>
    <w:lvl w:ilvl="0" w:tplc="12D27F9C">
      <w:start w:val="11"/>
      <w:numFmt w:val="decimal"/>
      <w:lvlText w:val="%1)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22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30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37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44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51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8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66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7320" w:hanging="180"/>
      </w:pPr>
      <w:rPr>
        <w:rFonts w:ascii="Times New Roman" w:hAnsi="Times New Roman" w:cs="Times New Roman"/>
      </w:rPr>
    </w:lvl>
  </w:abstractNum>
  <w:abstractNum w:abstractNumId="16">
    <w:nsid w:val="637267EA"/>
    <w:multiLevelType w:val="hybridMultilevel"/>
    <w:tmpl w:val="49F003CA"/>
    <w:lvl w:ilvl="0" w:tplc="B1EA01CC">
      <w:start w:val="1"/>
      <w:numFmt w:val="lowerLetter"/>
      <w:lvlText w:val="%1)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794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514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3234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954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674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394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6114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834" w:hanging="180"/>
      </w:pPr>
      <w:rPr>
        <w:rFonts w:ascii="Times New Roman" w:hAnsi="Times New Roman" w:cs="Times New Roman"/>
      </w:rPr>
    </w:lvl>
  </w:abstractNum>
  <w:abstractNum w:abstractNumId="17">
    <w:nsid w:val="67032B71"/>
    <w:multiLevelType w:val="hybridMultilevel"/>
    <w:tmpl w:val="290632C6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F5849FC"/>
    <w:multiLevelType w:val="hybridMultilevel"/>
    <w:tmpl w:val="4F283F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AC45B0"/>
    <w:multiLevelType w:val="hybridMultilevel"/>
    <w:tmpl w:val="7868C800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0">
    <w:nsid w:val="728C4873"/>
    <w:multiLevelType w:val="hybridMultilevel"/>
    <w:tmpl w:val="3612A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742001D"/>
    <w:multiLevelType w:val="hybridMultilevel"/>
    <w:tmpl w:val="1F849160"/>
    <w:lvl w:ilvl="0" w:tplc="3414513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78D13EC9"/>
    <w:multiLevelType w:val="hybridMultilevel"/>
    <w:tmpl w:val="EEC20AD6"/>
    <w:lvl w:ilvl="0" w:tplc="D1F676FA">
      <w:start w:val="1"/>
      <w:numFmt w:val="upperRoman"/>
      <w:lvlText w:val="%1)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23">
    <w:nsid w:val="795D289B"/>
    <w:multiLevelType w:val="hybridMultilevel"/>
    <w:tmpl w:val="6B785A82"/>
    <w:lvl w:ilvl="0" w:tplc="CBCAA2D6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24">
    <w:nsid w:val="7B676986"/>
    <w:multiLevelType w:val="hybridMultilevel"/>
    <w:tmpl w:val="0B6C6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DC131DE"/>
    <w:multiLevelType w:val="hybridMultilevel"/>
    <w:tmpl w:val="44D29D92"/>
    <w:lvl w:ilvl="0" w:tplc="0C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20"/>
  </w:num>
  <w:num w:numId="5">
    <w:abstractNumId w:val="9"/>
  </w:num>
  <w:num w:numId="6">
    <w:abstractNumId w:val="17"/>
  </w:num>
  <w:num w:numId="7">
    <w:abstractNumId w:val="23"/>
  </w:num>
  <w:num w:numId="8">
    <w:abstractNumId w:val="21"/>
  </w:num>
  <w:num w:numId="9">
    <w:abstractNumId w:val="18"/>
  </w:num>
  <w:num w:numId="10">
    <w:abstractNumId w:val="11"/>
  </w:num>
  <w:num w:numId="11">
    <w:abstractNumId w:val="7"/>
  </w:num>
  <w:num w:numId="12">
    <w:abstractNumId w:val="10"/>
  </w:num>
  <w:num w:numId="13">
    <w:abstractNumId w:val="12"/>
  </w:num>
  <w:num w:numId="14">
    <w:abstractNumId w:val="0"/>
  </w:num>
  <w:num w:numId="15">
    <w:abstractNumId w:val="16"/>
  </w:num>
  <w:num w:numId="16">
    <w:abstractNumId w:val="22"/>
  </w:num>
  <w:num w:numId="17">
    <w:abstractNumId w:val="24"/>
  </w:num>
  <w:num w:numId="18">
    <w:abstractNumId w:val="1"/>
  </w:num>
  <w:num w:numId="19">
    <w:abstractNumId w:val="15"/>
  </w:num>
  <w:num w:numId="20">
    <w:abstractNumId w:val="25"/>
  </w:num>
  <w:num w:numId="21">
    <w:abstractNumId w:val="3"/>
  </w:num>
  <w:num w:numId="22">
    <w:abstractNumId w:val="19"/>
  </w:num>
  <w:num w:numId="23">
    <w:abstractNumId w:val="1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47"/>
    <w:rsid w:val="00062C0D"/>
    <w:rsid w:val="001B6547"/>
    <w:rsid w:val="00A9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GothicPS" w:hAnsi="GothicPS" w:cs="GothicPS"/>
      <w:b/>
      <w:bCs/>
      <w:color w:val="000000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GothicPS" w:hAnsi="GothicPS" w:cs="GothicPS"/>
      <w:b/>
      <w:bCs/>
      <w:color w:val="000000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left="480"/>
    </w:pPr>
    <w:rPr>
      <w:rFonts w:ascii="Arial" w:hAnsi="Arial" w:cs="Arial"/>
      <w:color w:val="auto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Pr>
      <w:rFonts w:ascii="Arial" w:hAnsi="Arial" w:cs="Arial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GothicPS" w:hAnsi="GothicPS" w:cs="GothicPS"/>
      <w:b/>
      <w:bCs/>
      <w:color w:val="00000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b/>
      <w:bCs/>
      <w:color w:val="000000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GothicPS" w:hAnsi="GothicPS" w:cs="GothicPS"/>
      <w:b/>
      <w:bCs/>
      <w:color w:val="000000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GothicPS" w:hAnsi="GothicPS" w:cs="GothicPS"/>
      <w:b/>
      <w:bCs/>
      <w:color w:val="000000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left="480"/>
    </w:pPr>
    <w:rPr>
      <w:rFonts w:ascii="Arial" w:hAnsi="Arial" w:cs="Arial"/>
      <w:color w:val="auto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Pr>
      <w:rFonts w:ascii="Arial" w:hAnsi="Arial" w:cs="Arial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GothicPS" w:hAnsi="GothicPS" w:cs="GothicPS"/>
      <w:b/>
      <w:bCs/>
      <w:color w:val="00000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b/>
      <w:bCs/>
      <w:color w:val="00000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51154-11D5-4204-B161-41ECB95F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3366</Characters>
  <Application>Microsoft Office Word</Application>
  <DocSecurity>4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2016-17-1-0006756</vt:lpstr>
    </vt:vector>
  </TitlesOfParts>
  <Company>Tribunal de Cuentas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2016-17-1-0006756</dc:title>
  <dc:creator>MARIZA GONZALEZ PADILLA</dc:creator>
  <cp:lastModifiedBy>Tribunal1</cp:lastModifiedBy>
  <cp:revision>2</cp:revision>
  <cp:lastPrinted>2017-03-30T18:27:00Z</cp:lastPrinted>
  <dcterms:created xsi:type="dcterms:W3CDTF">2017-03-30T18:28:00Z</dcterms:created>
  <dcterms:modified xsi:type="dcterms:W3CDTF">2017-03-30T18:28:00Z</dcterms:modified>
</cp:coreProperties>
</file>