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C5" w:rsidRPr="00CA43C5" w:rsidRDefault="00CA43C5" w:rsidP="009B311A">
      <w:pPr>
        <w:tabs>
          <w:tab w:val="center" w:pos="4253"/>
        </w:tabs>
        <w:spacing w:after="0" w:line="360" w:lineRule="auto"/>
        <w:jc w:val="right"/>
        <w:rPr>
          <w:rFonts w:ascii="Arial" w:hAnsi="Arial" w:cs="Arial"/>
          <w:spacing w:val="-3"/>
          <w:sz w:val="24"/>
          <w:szCs w:val="24"/>
          <w:lang w:val="es-ES_tradnl" w:eastAsia="es-ES_tradnl"/>
        </w:rPr>
      </w:pPr>
      <w:bookmarkStart w:id="0" w:name="_GoBack"/>
      <w:bookmarkEnd w:id="0"/>
      <w:r w:rsidRPr="00CA43C5">
        <w:rPr>
          <w:rFonts w:ascii="Arial" w:hAnsi="Arial" w:cs="Arial"/>
          <w:spacing w:val="-3"/>
          <w:sz w:val="24"/>
          <w:szCs w:val="24"/>
          <w:lang w:val="es-ES_tradnl" w:eastAsia="es-ES_tradnl"/>
        </w:rPr>
        <w:t>Montevideo, 27 de marzo de 2017</w:t>
      </w:r>
    </w:p>
    <w:p w:rsidR="00CA43C5" w:rsidRPr="00CA43C5" w:rsidRDefault="00CA43C5" w:rsidP="00CA43C5">
      <w:pPr>
        <w:tabs>
          <w:tab w:val="center" w:pos="4253"/>
        </w:tabs>
        <w:rPr>
          <w:rFonts w:ascii="Arial" w:hAnsi="Arial" w:cs="Arial"/>
          <w:spacing w:val="-3"/>
          <w:sz w:val="24"/>
          <w:szCs w:val="24"/>
          <w:lang w:val="es-ES_tradnl" w:eastAsia="es-ES_tradnl"/>
        </w:rPr>
      </w:pPr>
    </w:p>
    <w:p w:rsidR="00CA43C5" w:rsidRPr="00CA43C5" w:rsidRDefault="00C949B4" w:rsidP="00CA43C5">
      <w:pPr>
        <w:spacing w:after="0" w:line="36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Sr. Contador Delegado</w:t>
      </w:r>
    </w:p>
    <w:p w:rsidR="00CA43C5" w:rsidRPr="00CA43C5" w:rsidRDefault="00C949B4" w:rsidP="00CA43C5">
      <w:pPr>
        <w:spacing w:after="0" w:line="360" w:lineRule="auto"/>
        <w:rPr>
          <w:rFonts w:ascii="Arial" w:eastAsia="Times New Roman" w:hAnsi="Arial" w:cs="Arial"/>
          <w:sz w:val="24"/>
          <w:szCs w:val="24"/>
          <w:lang w:val="es-ES" w:eastAsia="es-ES"/>
        </w:rPr>
      </w:pPr>
      <w:proofErr w:type="gramStart"/>
      <w:r>
        <w:rPr>
          <w:rFonts w:ascii="Arial" w:eastAsia="Times New Roman" w:hAnsi="Arial" w:cs="Arial"/>
          <w:sz w:val="24"/>
          <w:szCs w:val="24"/>
          <w:lang w:val="es-ES" w:eastAsia="es-ES"/>
        </w:rPr>
        <w:t>del</w:t>
      </w:r>
      <w:proofErr w:type="gramEnd"/>
      <w:r>
        <w:rPr>
          <w:rFonts w:ascii="Arial" w:eastAsia="Times New Roman" w:hAnsi="Arial" w:cs="Arial"/>
          <w:sz w:val="24"/>
          <w:szCs w:val="24"/>
          <w:lang w:val="es-ES" w:eastAsia="es-ES"/>
        </w:rPr>
        <w:t xml:space="preserve"> Tribunal de Cuentas en ASSE</w:t>
      </w:r>
    </w:p>
    <w:p w:rsidR="00CA43C5" w:rsidRPr="00CA43C5" w:rsidRDefault="00CA43C5" w:rsidP="00CA43C5">
      <w:pPr>
        <w:spacing w:after="0" w:line="360" w:lineRule="auto"/>
        <w:rPr>
          <w:rFonts w:ascii="Arial" w:eastAsia="Times New Roman" w:hAnsi="Arial" w:cs="Arial"/>
          <w:spacing w:val="-3"/>
          <w:sz w:val="24"/>
          <w:szCs w:val="24"/>
          <w:lang w:val="es-ES" w:eastAsia="es-ES"/>
        </w:rPr>
      </w:pPr>
      <w:r w:rsidRPr="00CA43C5">
        <w:rPr>
          <w:rFonts w:ascii="Arial" w:eastAsia="Times New Roman" w:hAnsi="Arial" w:cs="Arial"/>
          <w:spacing w:val="-3"/>
          <w:sz w:val="24"/>
          <w:szCs w:val="24"/>
          <w:lang w:val="es-ES" w:eastAsia="es-ES"/>
        </w:rPr>
        <w:t xml:space="preserve">Cr. Gonzalo </w:t>
      </w:r>
      <w:proofErr w:type="spellStart"/>
      <w:r w:rsidRPr="00CA43C5">
        <w:rPr>
          <w:rFonts w:ascii="Arial" w:eastAsia="Times New Roman" w:hAnsi="Arial" w:cs="Arial"/>
          <w:spacing w:val="-3"/>
          <w:sz w:val="24"/>
          <w:szCs w:val="24"/>
          <w:lang w:val="es-ES" w:eastAsia="es-ES"/>
        </w:rPr>
        <w:t>Lapachian</w:t>
      </w:r>
      <w:proofErr w:type="spellEnd"/>
    </w:p>
    <w:p w:rsidR="00CA43C5" w:rsidRPr="00CA43C5" w:rsidRDefault="00CA43C5" w:rsidP="00CA43C5">
      <w:pPr>
        <w:widowControl w:val="0"/>
        <w:autoSpaceDE w:val="0"/>
        <w:autoSpaceDN w:val="0"/>
        <w:adjustRightInd w:val="0"/>
        <w:spacing w:after="0" w:line="360" w:lineRule="auto"/>
        <w:jc w:val="right"/>
        <w:rPr>
          <w:rFonts w:ascii="Arial" w:hAnsi="Arial" w:cs="Arial"/>
          <w:sz w:val="24"/>
          <w:szCs w:val="24"/>
          <w:lang w:eastAsia="es-ES_tradnl"/>
        </w:rPr>
      </w:pPr>
      <w:r w:rsidRPr="00CA43C5">
        <w:rPr>
          <w:rFonts w:ascii="Arial" w:hAnsi="Arial" w:cs="Arial"/>
          <w:sz w:val="24"/>
          <w:szCs w:val="24"/>
          <w:lang w:eastAsia="es-ES_tradnl"/>
        </w:rPr>
        <w:t xml:space="preserve">E.E. 2017-17-1-000401  </w:t>
      </w:r>
    </w:p>
    <w:p w:rsidR="00CA43C5" w:rsidRPr="00CA43C5" w:rsidRDefault="00CA43C5" w:rsidP="00CA43C5">
      <w:pPr>
        <w:widowControl w:val="0"/>
        <w:autoSpaceDE w:val="0"/>
        <w:autoSpaceDN w:val="0"/>
        <w:adjustRightInd w:val="0"/>
        <w:spacing w:after="0" w:line="360" w:lineRule="auto"/>
        <w:jc w:val="right"/>
        <w:rPr>
          <w:rFonts w:ascii="Arial" w:hAnsi="Arial" w:cs="Arial"/>
          <w:sz w:val="24"/>
          <w:szCs w:val="24"/>
          <w:lang w:eastAsia="es-ES_tradnl"/>
        </w:rPr>
      </w:pPr>
      <w:proofErr w:type="spellStart"/>
      <w:r w:rsidRPr="00CA43C5">
        <w:rPr>
          <w:rFonts w:ascii="Arial" w:hAnsi="Arial" w:cs="Arial"/>
          <w:sz w:val="24"/>
          <w:szCs w:val="24"/>
          <w:lang w:eastAsia="es-ES_tradnl"/>
        </w:rPr>
        <w:t>Ent</w:t>
      </w:r>
      <w:proofErr w:type="spellEnd"/>
      <w:r w:rsidRPr="00CA43C5">
        <w:rPr>
          <w:rFonts w:ascii="Arial" w:hAnsi="Arial" w:cs="Arial"/>
          <w:sz w:val="24"/>
          <w:szCs w:val="24"/>
          <w:lang w:eastAsia="es-ES_tradnl"/>
        </w:rPr>
        <w:t>. Nº 105/17</w:t>
      </w:r>
    </w:p>
    <w:p w:rsidR="00513FE9" w:rsidRPr="00CA43C5" w:rsidRDefault="00CA43C5" w:rsidP="00CA43C5">
      <w:pPr>
        <w:widowControl w:val="0"/>
        <w:autoSpaceDE w:val="0"/>
        <w:autoSpaceDN w:val="0"/>
        <w:adjustRightInd w:val="0"/>
        <w:spacing w:after="0" w:line="360" w:lineRule="auto"/>
        <w:jc w:val="right"/>
        <w:rPr>
          <w:rFonts w:ascii="Arial" w:hAnsi="Arial" w:cs="Arial"/>
          <w:sz w:val="24"/>
          <w:szCs w:val="24"/>
          <w:lang w:eastAsia="es-ES_tradnl"/>
        </w:rPr>
      </w:pPr>
      <w:r w:rsidRPr="00CA43C5">
        <w:rPr>
          <w:rFonts w:ascii="Arial" w:hAnsi="Arial" w:cs="Arial"/>
          <w:sz w:val="24"/>
          <w:szCs w:val="24"/>
          <w:lang w:eastAsia="es-ES_tradnl"/>
        </w:rPr>
        <w:t>Oficio Nº</w:t>
      </w:r>
      <w:r w:rsidR="00C949B4">
        <w:rPr>
          <w:rFonts w:ascii="Arial" w:hAnsi="Arial" w:cs="Arial"/>
          <w:sz w:val="24"/>
          <w:szCs w:val="24"/>
          <w:lang w:eastAsia="es-ES_tradnl"/>
        </w:rPr>
        <w:t xml:space="preserve"> </w:t>
      </w:r>
      <w:r w:rsidRPr="00CA43C5">
        <w:rPr>
          <w:rFonts w:ascii="Arial" w:hAnsi="Arial" w:cs="Arial"/>
          <w:sz w:val="24"/>
          <w:szCs w:val="24"/>
          <w:lang w:eastAsia="es-ES_tradnl"/>
        </w:rPr>
        <w:t>2420/17</w:t>
      </w:r>
    </w:p>
    <w:p w:rsidR="009B311A" w:rsidRDefault="009B311A" w:rsidP="00CA43C5">
      <w:pPr>
        <w:spacing w:after="0" w:line="360" w:lineRule="auto"/>
        <w:ind w:firstLine="1985"/>
        <w:jc w:val="both"/>
        <w:rPr>
          <w:rFonts w:ascii="Arial" w:eastAsia="Times New Roman" w:hAnsi="Arial" w:cs="Arial"/>
          <w:sz w:val="24"/>
          <w:szCs w:val="24"/>
          <w:lang w:val="es-ES" w:eastAsia="es-ES"/>
        </w:rPr>
      </w:pPr>
    </w:p>
    <w:p w:rsidR="00513FE9" w:rsidRPr="00530C32" w:rsidRDefault="00513FE9" w:rsidP="00CA43C5">
      <w:pPr>
        <w:spacing w:after="0" w:line="360" w:lineRule="auto"/>
        <w:ind w:firstLine="1985"/>
        <w:jc w:val="both"/>
        <w:rPr>
          <w:rFonts w:ascii="Arial" w:hAnsi="Arial" w:cs="Arial"/>
          <w:sz w:val="24"/>
          <w:szCs w:val="24"/>
        </w:rPr>
      </w:pPr>
      <w:r w:rsidRPr="00530C32">
        <w:rPr>
          <w:rFonts w:ascii="Arial" w:eastAsia="Times New Roman" w:hAnsi="Arial" w:cs="Arial"/>
          <w:sz w:val="24"/>
          <w:szCs w:val="24"/>
          <w:lang w:val="es-ES" w:eastAsia="es-ES"/>
        </w:rPr>
        <w:t xml:space="preserve">Este Tribunal recibió por </w:t>
      </w:r>
      <w:r w:rsidRPr="00530C32">
        <w:rPr>
          <w:rFonts w:ascii="Arial" w:eastAsia="Calibri" w:hAnsi="Arial" w:cs="Arial"/>
          <w:sz w:val="24"/>
          <w:szCs w:val="24"/>
        </w:rPr>
        <w:t xml:space="preserve">nota de fecha 2 de Enero de 2017 vuestra  consulta a los efectos de que este Cuerpo  se expida  en </w:t>
      </w:r>
      <w:r w:rsidR="00530C32">
        <w:rPr>
          <w:rFonts w:ascii="Arial" w:hAnsi="Arial" w:cs="Arial"/>
          <w:sz w:val="24"/>
          <w:szCs w:val="24"/>
        </w:rPr>
        <w:t>relación</w:t>
      </w:r>
      <w:r w:rsidRPr="00530C32">
        <w:rPr>
          <w:rFonts w:ascii="Arial" w:hAnsi="Arial" w:cs="Arial"/>
          <w:sz w:val="24"/>
          <w:szCs w:val="24"/>
        </w:rPr>
        <w:t xml:space="preserve"> a  “que debería considerarse dentro del capítulo Inversiones”. </w:t>
      </w:r>
      <w:r w:rsidR="00530C32">
        <w:rPr>
          <w:rFonts w:ascii="Arial" w:hAnsi="Arial" w:cs="Arial"/>
          <w:sz w:val="24"/>
          <w:szCs w:val="24"/>
        </w:rPr>
        <w:t xml:space="preserve">En la misma </w:t>
      </w:r>
      <w:r w:rsidRPr="00530C32">
        <w:rPr>
          <w:rFonts w:ascii="Arial" w:hAnsi="Arial" w:cs="Arial"/>
          <w:sz w:val="24"/>
          <w:szCs w:val="24"/>
        </w:rPr>
        <w:t>se solicita que se instruya al respecto, en virtud de la descentralización de las adquisiciones de Inversiones dispuesta por el Organismo, la vigencia del nuevo Sistema de Inversión Pública (SNIP),  las definiciones del Texto Ordenado de Inversiones (TOI) y las NICSP</w:t>
      </w:r>
      <w:r w:rsidR="00CA43C5">
        <w:rPr>
          <w:rFonts w:ascii="Arial" w:hAnsi="Arial" w:cs="Arial"/>
          <w:sz w:val="24"/>
          <w:szCs w:val="24"/>
        </w:rPr>
        <w:t>.</w:t>
      </w:r>
    </w:p>
    <w:p w:rsidR="00513FE9" w:rsidRPr="00530C32" w:rsidRDefault="00513FE9" w:rsidP="00CA43C5">
      <w:pPr>
        <w:spacing w:after="0" w:line="360" w:lineRule="auto"/>
        <w:ind w:firstLine="1985"/>
        <w:jc w:val="both"/>
        <w:rPr>
          <w:rFonts w:ascii="Arial" w:hAnsi="Arial" w:cs="Arial"/>
          <w:b/>
          <w:sz w:val="24"/>
          <w:szCs w:val="24"/>
        </w:rPr>
      </w:pPr>
      <w:r w:rsidRPr="00530C32">
        <w:rPr>
          <w:rFonts w:ascii="Arial" w:hAnsi="Arial" w:cs="Arial"/>
          <w:sz w:val="24"/>
          <w:szCs w:val="24"/>
        </w:rPr>
        <w:t xml:space="preserve"> En repuesta a la consulta formulada, se señala que el Contador Delegado al momento de realizar la intervención previa de gastos y pagos debe  verificar la adecuada imputación de los  gastos  correspondiente a inversiones en la ejecución presupuestal, para lo cual deberá tener presente que:</w:t>
      </w:r>
      <w:r w:rsidRPr="00530C32">
        <w:rPr>
          <w:rFonts w:ascii="Arial" w:hAnsi="Arial" w:cs="Arial"/>
          <w:b/>
          <w:sz w:val="24"/>
          <w:szCs w:val="24"/>
        </w:rPr>
        <w:t xml:space="preserve"> </w:t>
      </w:r>
    </w:p>
    <w:p w:rsidR="00513FE9" w:rsidRPr="00530C32" w:rsidRDefault="00513FE9" w:rsidP="00CA43C5">
      <w:pPr>
        <w:spacing w:after="0" w:line="360" w:lineRule="auto"/>
        <w:jc w:val="both"/>
        <w:rPr>
          <w:rFonts w:ascii="Arial" w:hAnsi="Arial" w:cs="Arial"/>
          <w:sz w:val="24"/>
          <w:szCs w:val="24"/>
        </w:rPr>
      </w:pPr>
      <w:r w:rsidRPr="00CA43C5">
        <w:rPr>
          <w:rFonts w:ascii="Arial" w:hAnsi="Arial" w:cs="Arial"/>
          <w:sz w:val="24"/>
          <w:szCs w:val="24"/>
        </w:rPr>
        <w:t>a)</w:t>
      </w:r>
      <w:r w:rsidRPr="00530C32">
        <w:rPr>
          <w:rFonts w:ascii="Arial" w:hAnsi="Arial" w:cs="Arial"/>
          <w:b/>
          <w:sz w:val="24"/>
          <w:szCs w:val="24"/>
        </w:rPr>
        <w:t xml:space="preserve"> </w:t>
      </w:r>
      <w:r w:rsidR="00CA43C5">
        <w:rPr>
          <w:rFonts w:ascii="Arial" w:hAnsi="Arial" w:cs="Arial"/>
          <w:sz w:val="24"/>
          <w:szCs w:val="24"/>
        </w:rPr>
        <w:t>Según el A</w:t>
      </w:r>
      <w:r w:rsidRPr="00530C32">
        <w:rPr>
          <w:rFonts w:ascii="Arial" w:hAnsi="Arial" w:cs="Arial"/>
          <w:sz w:val="24"/>
          <w:szCs w:val="24"/>
        </w:rPr>
        <w:t>rtículo 1 del Texto Ordenado de Inversiones, “Se considera inversión pública a los efectos presupuestales, la aplicación de recursos a todo tipo de bienes y actividades que incrementen el patrimonio físico de los organismos que integran el Presupuesto Nacional, con el fin de ampliar, mejorar, modernizar, reponer o reconstruir la capacidad productora de bienes o prestadora de servicios. Incluye, asimismo, los pagos sin contraprestación cuyo objeto sea que los perceptores adquieran activos de capital. Esta definición comprende los estudios previos de l</w:t>
      </w:r>
      <w:r w:rsidR="00C949B4">
        <w:rPr>
          <w:rFonts w:ascii="Arial" w:hAnsi="Arial" w:cs="Arial"/>
          <w:sz w:val="24"/>
          <w:szCs w:val="24"/>
        </w:rPr>
        <w:t>os proyectos a ser ejecutados”.</w:t>
      </w:r>
    </w:p>
    <w:p w:rsidR="00513FE9" w:rsidRPr="00530C32" w:rsidRDefault="00CA43C5" w:rsidP="00513FE9">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b) El A</w:t>
      </w:r>
      <w:r w:rsidR="00513FE9" w:rsidRPr="00530C32">
        <w:rPr>
          <w:rFonts w:ascii="Arial" w:eastAsia="Times New Roman" w:hAnsi="Arial" w:cs="Arial"/>
          <w:sz w:val="24"/>
          <w:szCs w:val="24"/>
          <w:lang w:eastAsia="es-ES"/>
        </w:rPr>
        <w:t>rtículo 23 de la Ley N° 18.996 de 7 de noviembre de 2012 creo el Sistema Nacional de</w:t>
      </w:r>
      <w:r w:rsidR="009B311A">
        <w:rPr>
          <w:rFonts w:ascii="Arial" w:eastAsia="Times New Roman" w:hAnsi="Arial" w:cs="Arial"/>
          <w:sz w:val="24"/>
          <w:szCs w:val="24"/>
          <w:lang w:eastAsia="es-ES"/>
        </w:rPr>
        <w:t xml:space="preserve"> Inversión Pública (SNIP) y el A</w:t>
      </w:r>
      <w:r w:rsidR="00513FE9" w:rsidRPr="00530C32">
        <w:rPr>
          <w:rFonts w:ascii="Arial" w:eastAsia="Times New Roman" w:hAnsi="Arial" w:cs="Arial"/>
          <w:sz w:val="24"/>
          <w:szCs w:val="24"/>
          <w:lang w:eastAsia="es-ES"/>
        </w:rPr>
        <w:t>rtículo  24 se determina su alcance y se faculta al Poder Ejecutivo a reglamentarlo.</w:t>
      </w:r>
    </w:p>
    <w:p w:rsidR="00513FE9" w:rsidRPr="00530C32" w:rsidRDefault="00513FE9" w:rsidP="00513FE9">
      <w:pPr>
        <w:spacing w:after="0" w:line="360" w:lineRule="auto"/>
        <w:jc w:val="both"/>
        <w:rPr>
          <w:rFonts w:ascii="Arial" w:eastAsia="Times New Roman" w:hAnsi="Arial" w:cs="Arial"/>
          <w:sz w:val="24"/>
          <w:szCs w:val="24"/>
          <w:lang w:eastAsia="es-ES"/>
        </w:rPr>
      </w:pPr>
      <w:r w:rsidRPr="00530C32">
        <w:rPr>
          <w:rFonts w:ascii="Arial" w:eastAsia="Times New Roman" w:hAnsi="Arial" w:cs="Arial"/>
          <w:sz w:val="24"/>
          <w:szCs w:val="24"/>
          <w:lang w:eastAsia="es-ES"/>
        </w:rPr>
        <w:t>Con fecha  31 de agosto de 2015 el Poder Ej</w:t>
      </w:r>
      <w:r w:rsidR="009B311A">
        <w:rPr>
          <w:rFonts w:ascii="Arial" w:eastAsia="Times New Roman" w:hAnsi="Arial" w:cs="Arial"/>
          <w:sz w:val="24"/>
          <w:szCs w:val="24"/>
          <w:lang w:eastAsia="es-ES"/>
        </w:rPr>
        <w:t>ecutivo dicto el  D</w:t>
      </w:r>
      <w:r w:rsidRPr="00530C32">
        <w:rPr>
          <w:rFonts w:ascii="Arial" w:eastAsia="Times New Roman" w:hAnsi="Arial" w:cs="Arial"/>
          <w:sz w:val="24"/>
          <w:szCs w:val="24"/>
          <w:lang w:eastAsia="es-ES"/>
        </w:rPr>
        <w:t>ec</w:t>
      </w:r>
      <w:r w:rsidR="00C949B4">
        <w:rPr>
          <w:rFonts w:ascii="Arial" w:eastAsia="Times New Roman" w:hAnsi="Arial" w:cs="Arial"/>
          <w:sz w:val="24"/>
          <w:szCs w:val="24"/>
          <w:lang w:eastAsia="es-ES"/>
        </w:rPr>
        <w:t>reto reglamentario N° 231/015.</w:t>
      </w:r>
    </w:p>
    <w:p w:rsidR="00513FE9" w:rsidRPr="00530C32" w:rsidRDefault="00513FE9" w:rsidP="00513FE9">
      <w:pPr>
        <w:spacing w:after="0" w:line="360" w:lineRule="auto"/>
        <w:jc w:val="both"/>
        <w:rPr>
          <w:rFonts w:ascii="Arial" w:eastAsia="Times New Roman" w:hAnsi="Arial" w:cs="Arial"/>
          <w:sz w:val="24"/>
          <w:szCs w:val="24"/>
          <w:lang w:eastAsia="es-ES"/>
        </w:rPr>
      </w:pPr>
      <w:r w:rsidRPr="00530C32">
        <w:rPr>
          <w:rFonts w:ascii="Arial" w:eastAsia="Times New Roman" w:hAnsi="Arial" w:cs="Arial"/>
          <w:sz w:val="24"/>
          <w:szCs w:val="24"/>
          <w:lang w:eastAsia="es-ES"/>
        </w:rPr>
        <w:t>El Artículo 4 del Decreto reglamentario  mencionado establece que, a efectos del SNIP, se entiende por inversión pública a la aplicación de recursos en todo tipo de bienes y actividades que incrementen el patrimonio de las instituciones alcanzadas por el Artículo 24 de la Ley N° 18.996, el capital físico, el capital humano y la creación de conocimiento cuyo fin sea crear, ampliar, mejorar  modernizar, reponer o recuperar la capacidad productora de bienes o prestadora de servicios.</w:t>
      </w:r>
    </w:p>
    <w:p w:rsidR="00513FE9" w:rsidRPr="00530C32" w:rsidRDefault="00513FE9" w:rsidP="009B311A">
      <w:pPr>
        <w:spacing w:after="0" w:line="360" w:lineRule="auto"/>
        <w:jc w:val="both"/>
        <w:rPr>
          <w:rFonts w:ascii="Arial" w:eastAsia="Times New Roman" w:hAnsi="Arial" w:cs="Arial"/>
          <w:sz w:val="24"/>
          <w:szCs w:val="24"/>
          <w:lang w:eastAsia="es-ES"/>
        </w:rPr>
      </w:pPr>
      <w:r w:rsidRPr="00530C32">
        <w:rPr>
          <w:rFonts w:ascii="Arial" w:eastAsia="Times New Roman" w:hAnsi="Arial" w:cs="Arial"/>
          <w:sz w:val="24"/>
          <w:szCs w:val="24"/>
          <w:lang w:eastAsia="es-ES"/>
        </w:rPr>
        <w:t xml:space="preserve">El Artículo 10 del Decreto, asigna a la Oficina de Planeamiento y Presupuesto (OPP) la administración y gestión del SNIP y el Artículo 12 dispone que dicha Oficina emitirá dos clases de informes técnicos a los Proyectos de Inversión Pública: informe de Conformidad Técnica (CT), en la etapa de </w:t>
      </w:r>
      <w:proofErr w:type="spellStart"/>
      <w:r w:rsidRPr="00530C32">
        <w:rPr>
          <w:rFonts w:ascii="Arial" w:eastAsia="Times New Roman" w:hAnsi="Arial" w:cs="Arial"/>
          <w:sz w:val="24"/>
          <w:szCs w:val="24"/>
          <w:lang w:eastAsia="es-ES"/>
        </w:rPr>
        <w:t>preinversión</w:t>
      </w:r>
      <w:proofErr w:type="spellEnd"/>
      <w:r w:rsidRPr="00530C32">
        <w:rPr>
          <w:rFonts w:ascii="Arial" w:eastAsia="Times New Roman" w:hAnsi="Arial" w:cs="Arial"/>
          <w:sz w:val="24"/>
          <w:szCs w:val="24"/>
          <w:lang w:eastAsia="es-ES"/>
        </w:rPr>
        <w:t xml:space="preserve">, el que permite la </w:t>
      </w:r>
      <w:proofErr w:type="spellStart"/>
      <w:r w:rsidRPr="00530C32">
        <w:rPr>
          <w:rFonts w:ascii="Arial" w:eastAsia="Times New Roman" w:hAnsi="Arial" w:cs="Arial"/>
          <w:sz w:val="24"/>
          <w:szCs w:val="24"/>
          <w:lang w:eastAsia="es-ES"/>
        </w:rPr>
        <w:t>presupuestación</w:t>
      </w:r>
      <w:proofErr w:type="spellEnd"/>
      <w:r w:rsidRPr="00530C32">
        <w:rPr>
          <w:rFonts w:ascii="Arial" w:eastAsia="Times New Roman" w:hAnsi="Arial" w:cs="Arial"/>
          <w:sz w:val="24"/>
          <w:szCs w:val="24"/>
          <w:lang w:eastAsia="es-ES"/>
        </w:rPr>
        <w:t xml:space="preserve"> del proyecto pero no su ejecución, e informe de Dictamen Técnico Favorable (DTF), necesario para pasar a la etapa de ejecución del proyecto.</w:t>
      </w:r>
    </w:p>
    <w:p w:rsidR="00513FE9" w:rsidRPr="00530C32" w:rsidRDefault="00513FE9" w:rsidP="009B311A">
      <w:pPr>
        <w:spacing w:after="0" w:line="360" w:lineRule="auto"/>
        <w:jc w:val="both"/>
        <w:rPr>
          <w:rFonts w:ascii="Arial" w:eastAsia="Times New Roman" w:hAnsi="Arial" w:cs="Arial"/>
          <w:sz w:val="24"/>
          <w:szCs w:val="24"/>
          <w:lang w:eastAsia="es-ES"/>
        </w:rPr>
      </w:pPr>
      <w:r w:rsidRPr="00530C32">
        <w:rPr>
          <w:rFonts w:ascii="Arial" w:eastAsia="Times New Roman" w:hAnsi="Arial" w:cs="Arial"/>
          <w:sz w:val="24"/>
          <w:szCs w:val="24"/>
          <w:lang w:eastAsia="es-ES"/>
        </w:rPr>
        <w:t>En cumplimiento de lo dispuesto por el Artículo 211 de la Constitución de la República,  corresponde que este Tribunal efectúe el control del cumplimiento de las normas legales citadas y a esos efectos dicto la Ordenanza 88 de  16 de Diciembre de 2015.</w:t>
      </w:r>
    </w:p>
    <w:p w:rsidR="00513FE9" w:rsidRPr="00530C32" w:rsidRDefault="00513FE9" w:rsidP="009B311A">
      <w:pPr>
        <w:spacing w:after="0" w:line="360" w:lineRule="auto"/>
        <w:jc w:val="both"/>
        <w:rPr>
          <w:rFonts w:ascii="Arial" w:hAnsi="Arial" w:cs="Arial"/>
          <w:sz w:val="24"/>
          <w:szCs w:val="24"/>
        </w:rPr>
      </w:pPr>
      <w:r w:rsidRPr="00530C32">
        <w:rPr>
          <w:rFonts w:ascii="Arial" w:eastAsia="Times New Roman" w:hAnsi="Arial" w:cs="Arial"/>
          <w:sz w:val="24"/>
          <w:szCs w:val="24"/>
          <w:lang w:eastAsia="es-ES"/>
        </w:rPr>
        <w:t xml:space="preserve">En dicha Ordenanza se estableció que en oportunidad de informar sobre los presupuestos </w:t>
      </w:r>
      <w:r w:rsidRPr="00530C32">
        <w:rPr>
          <w:rFonts w:ascii="Arial" w:hAnsi="Arial" w:cs="Arial"/>
          <w:sz w:val="24"/>
          <w:szCs w:val="24"/>
        </w:rPr>
        <w:t>se controlará que cada proyecto de inversión incluido en el presupuesto cuente con el informe de Conformidad Técnica (CT) del SNIP.</w:t>
      </w:r>
    </w:p>
    <w:p w:rsidR="00513FE9" w:rsidRPr="00530C32" w:rsidRDefault="00513FE9" w:rsidP="009B311A">
      <w:pPr>
        <w:spacing w:after="0" w:line="360" w:lineRule="auto"/>
        <w:jc w:val="both"/>
        <w:rPr>
          <w:rFonts w:ascii="Arial" w:eastAsia="Times New Roman" w:hAnsi="Arial" w:cs="Arial"/>
          <w:sz w:val="24"/>
          <w:szCs w:val="24"/>
          <w:lang w:eastAsia="es-ES"/>
        </w:rPr>
      </w:pPr>
      <w:r w:rsidRPr="00530C32">
        <w:rPr>
          <w:rFonts w:ascii="Arial" w:hAnsi="Arial" w:cs="Arial"/>
          <w:sz w:val="24"/>
          <w:szCs w:val="24"/>
        </w:rPr>
        <w:t xml:space="preserve">Y que en </w:t>
      </w:r>
      <w:r w:rsidRPr="00530C32">
        <w:rPr>
          <w:rFonts w:ascii="Arial" w:eastAsia="Times New Roman" w:hAnsi="Arial" w:cs="Arial"/>
          <w:sz w:val="24"/>
          <w:szCs w:val="24"/>
          <w:lang w:eastAsia="es-ES"/>
        </w:rPr>
        <w:t xml:space="preserve"> oportunidad de someter a la intervención preventiva cualquier gasto asociado a proyectos de inversión SNIP, los organismos presentarán, junto a la documentación referida al proyecto presupuestal y al gasto, la documentación que verifique la validez del DTF, emitida por el SNIP. Cuando se trate de un gasto asociado a un programa de inversión SNIP, los organismos remitirán la identificación tanto del programa como de los proyectos que originan el gasto para permitir la verificación de que cada uno de estos posea el DTF.</w:t>
      </w:r>
    </w:p>
    <w:p w:rsidR="00513FE9" w:rsidRPr="00530C32" w:rsidRDefault="00513FE9" w:rsidP="009B311A">
      <w:pPr>
        <w:spacing w:after="0" w:line="360" w:lineRule="auto"/>
        <w:jc w:val="both"/>
        <w:rPr>
          <w:rFonts w:ascii="Arial" w:eastAsia="Times New Roman" w:hAnsi="Arial" w:cs="Arial"/>
          <w:sz w:val="24"/>
          <w:szCs w:val="24"/>
          <w:lang w:eastAsia="es-ES"/>
        </w:rPr>
      </w:pPr>
      <w:r w:rsidRPr="00530C32">
        <w:rPr>
          <w:rFonts w:ascii="Arial" w:eastAsia="Times New Roman" w:hAnsi="Arial" w:cs="Arial"/>
          <w:sz w:val="24"/>
          <w:szCs w:val="24"/>
          <w:lang w:eastAsia="es-ES"/>
        </w:rPr>
        <w:t>Se establece además, que al efectuar la intervención preventiva del gast</w:t>
      </w:r>
      <w:r w:rsidR="009B311A">
        <w:rPr>
          <w:rFonts w:ascii="Arial" w:eastAsia="Times New Roman" w:hAnsi="Arial" w:cs="Arial"/>
          <w:sz w:val="24"/>
          <w:szCs w:val="24"/>
          <w:lang w:eastAsia="es-ES"/>
        </w:rPr>
        <w:t>o, el Tribunal controlará por sí</w:t>
      </w:r>
      <w:r w:rsidRPr="00530C32">
        <w:rPr>
          <w:rFonts w:ascii="Arial" w:eastAsia="Times New Roman" w:hAnsi="Arial" w:cs="Arial"/>
          <w:sz w:val="24"/>
          <w:szCs w:val="24"/>
          <w:lang w:eastAsia="es-ES"/>
        </w:rPr>
        <w:t xml:space="preserve"> o por intermedio de sus contadores auditores o delegados, que el proyecto cuente con Dictamen Técnico Favorable (DTF) del SNIP; la validez del DTF se controlará tanto en los programas como en los proyectos de inversión SNIP.;</w:t>
      </w:r>
    </w:p>
    <w:p w:rsidR="00513FE9" w:rsidRPr="00530C32" w:rsidRDefault="00E21FCF" w:rsidP="009B311A">
      <w:pPr>
        <w:spacing w:after="0" w:line="360" w:lineRule="auto"/>
        <w:jc w:val="both"/>
        <w:rPr>
          <w:rFonts w:ascii="Arial" w:eastAsia="Times New Roman" w:hAnsi="Arial" w:cs="Arial"/>
          <w:sz w:val="24"/>
          <w:szCs w:val="24"/>
          <w:lang w:eastAsia="es-ES"/>
        </w:rPr>
      </w:pPr>
      <w:r w:rsidRPr="00530C32">
        <w:rPr>
          <w:rFonts w:ascii="Arial" w:eastAsia="Times New Roman" w:hAnsi="Arial" w:cs="Arial"/>
          <w:sz w:val="24"/>
          <w:szCs w:val="24"/>
          <w:lang w:eastAsia="es-ES"/>
        </w:rPr>
        <w:t>El</w:t>
      </w:r>
      <w:r w:rsidR="00513FE9" w:rsidRPr="00530C32">
        <w:rPr>
          <w:rFonts w:ascii="Arial" w:eastAsia="Times New Roman" w:hAnsi="Arial" w:cs="Arial"/>
          <w:sz w:val="24"/>
          <w:szCs w:val="24"/>
          <w:lang w:eastAsia="es-ES"/>
        </w:rPr>
        <w:t xml:space="preserve"> Contador Delegado deberá analizar  en cada caso</w:t>
      </w:r>
      <w:r w:rsidR="00096809" w:rsidRPr="00530C32">
        <w:rPr>
          <w:rFonts w:ascii="Arial" w:eastAsia="Times New Roman" w:hAnsi="Arial" w:cs="Arial"/>
          <w:sz w:val="24"/>
          <w:szCs w:val="24"/>
          <w:lang w:eastAsia="es-ES"/>
        </w:rPr>
        <w:t xml:space="preserve">, </w:t>
      </w:r>
      <w:r w:rsidR="009B311A">
        <w:rPr>
          <w:rFonts w:ascii="Arial" w:eastAsia="Times New Roman" w:hAnsi="Arial" w:cs="Arial"/>
          <w:sz w:val="24"/>
          <w:szCs w:val="24"/>
          <w:lang w:eastAsia="es-ES"/>
        </w:rPr>
        <w:t>aplicando su juicio profesional,</w:t>
      </w:r>
      <w:r w:rsidR="00513FE9" w:rsidRPr="00530C32">
        <w:rPr>
          <w:rFonts w:ascii="Arial" w:eastAsia="Times New Roman" w:hAnsi="Arial" w:cs="Arial"/>
          <w:sz w:val="24"/>
          <w:szCs w:val="24"/>
          <w:lang w:eastAsia="es-ES"/>
        </w:rPr>
        <w:t xml:space="preserve"> el cumplimiento de las normas precitadas</w:t>
      </w:r>
      <w:r w:rsidR="00E9507B" w:rsidRPr="00530C32">
        <w:rPr>
          <w:rFonts w:ascii="Arial" w:eastAsia="Times New Roman" w:hAnsi="Arial" w:cs="Arial"/>
          <w:sz w:val="24"/>
          <w:szCs w:val="24"/>
          <w:lang w:eastAsia="es-ES"/>
        </w:rPr>
        <w:t xml:space="preserve"> </w:t>
      </w:r>
      <w:r w:rsidR="00513FE9" w:rsidRPr="00530C32">
        <w:rPr>
          <w:rFonts w:ascii="Arial" w:eastAsia="Times New Roman" w:hAnsi="Arial" w:cs="Arial"/>
          <w:sz w:val="24"/>
          <w:szCs w:val="24"/>
          <w:lang w:eastAsia="es-ES"/>
        </w:rPr>
        <w:t>que son  el marco legal vigente</w:t>
      </w:r>
      <w:r w:rsidR="00096809" w:rsidRPr="00530C32">
        <w:rPr>
          <w:rFonts w:ascii="Arial" w:eastAsia="Times New Roman" w:hAnsi="Arial" w:cs="Arial"/>
          <w:sz w:val="24"/>
          <w:szCs w:val="24"/>
          <w:lang w:eastAsia="es-ES"/>
        </w:rPr>
        <w:t>.</w:t>
      </w:r>
    </w:p>
    <w:p w:rsidR="00530C32" w:rsidRDefault="00513FE9" w:rsidP="009B311A">
      <w:pPr>
        <w:spacing w:after="0" w:line="360" w:lineRule="auto"/>
        <w:jc w:val="both"/>
        <w:rPr>
          <w:rFonts w:ascii="Arial" w:eastAsia="Times New Roman" w:hAnsi="Arial" w:cs="Times New Roman"/>
          <w:sz w:val="24"/>
          <w:szCs w:val="24"/>
          <w:lang w:eastAsia="es-ES"/>
        </w:rPr>
      </w:pPr>
      <w:r w:rsidRPr="00530C32">
        <w:rPr>
          <w:rFonts w:ascii="Arial" w:eastAsia="Times New Roman" w:hAnsi="Arial" w:cs="Arial"/>
          <w:sz w:val="24"/>
          <w:szCs w:val="24"/>
          <w:lang w:eastAsia="es-ES"/>
        </w:rPr>
        <w:t>En cuanto a  las NICSP son normas  aplicables a la preparación y presentación de estados contables, que incluyen normas de valuación, exposición y, determinación de resultados.</w:t>
      </w:r>
      <w:r w:rsidR="00CE1650" w:rsidRPr="00530C32">
        <w:rPr>
          <w:rFonts w:ascii="Arial" w:eastAsia="Times New Roman" w:hAnsi="Arial" w:cs="Arial"/>
          <w:sz w:val="24"/>
          <w:szCs w:val="24"/>
          <w:lang w:eastAsia="es-ES"/>
        </w:rPr>
        <w:t xml:space="preserve"> Las mismas no resultan de aplicación a los efectos de</w:t>
      </w:r>
      <w:r w:rsidR="00CE1650" w:rsidRPr="00530C32">
        <w:rPr>
          <w:rFonts w:ascii="Arial" w:eastAsia="Times New Roman" w:hAnsi="Arial" w:cs="Times New Roman"/>
          <w:sz w:val="24"/>
          <w:szCs w:val="24"/>
          <w:lang w:eastAsia="es-ES"/>
        </w:rPr>
        <w:t xml:space="preserve"> realizar la certificación de legalidad que debe realizar este Tribunal.</w:t>
      </w:r>
    </w:p>
    <w:p w:rsidR="00530C32" w:rsidRDefault="007D6B79" w:rsidP="009B311A">
      <w:pPr>
        <w:spacing w:after="0" w:line="360" w:lineRule="auto"/>
        <w:jc w:val="right"/>
        <w:rPr>
          <w:rFonts w:ascii="Arial" w:eastAsia="Times New Roman" w:hAnsi="Arial" w:cs="Times New Roman"/>
          <w:sz w:val="24"/>
          <w:szCs w:val="20"/>
          <w:lang w:val="es-ES" w:eastAsia="es-ES"/>
        </w:rPr>
      </w:pPr>
      <w:r>
        <w:rPr>
          <w:rFonts w:ascii="Arial" w:eastAsia="Times New Roman" w:hAnsi="Arial" w:cs="Times New Roman"/>
          <w:sz w:val="24"/>
          <w:szCs w:val="20"/>
          <w:lang w:val="es-ES" w:eastAsia="es-ES"/>
        </w:rPr>
        <w:t xml:space="preserve">Saludo </w:t>
      </w:r>
      <w:r w:rsidR="00530C32" w:rsidRPr="00530C32">
        <w:rPr>
          <w:rFonts w:ascii="Arial" w:eastAsia="Times New Roman" w:hAnsi="Arial" w:cs="Times New Roman"/>
          <w:sz w:val="24"/>
          <w:szCs w:val="20"/>
          <w:lang w:val="es-ES" w:eastAsia="es-ES"/>
        </w:rPr>
        <w:t>a usted atentamente.</w:t>
      </w:r>
    </w:p>
    <w:p w:rsidR="00530C32" w:rsidRPr="00C949B4" w:rsidRDefault="007D6B79" w:rsidP="00C949B4">
      <w:pPr>
        <w:spacing w:after="0" w:line="360" w:lineRule="auto"/>
        <w:rPr>
          <w:rFonts w:ascii="Arial" w:eastAsia="Times New Roman" w:hAnsi="Arial" w:cs="Times New Roman"/>
          <w:b/>
          <w:sz w:val="20"/>
          <w:szCs w:val="20"/>
          <w:lang w:val="es-ES" w:eastAsia="es-ES"/>
        </w:rPr>
      </w:pPr>
      <w:r w:rsidRPr="007D6B79">
        <w:rPr>
          <w:rFonts w:ascii="Arial" w:eastAsia="Times New Roman" w:hAnsi="Arial" w:cs="Times New Roman"/>
          <w:sz w:val="20"/>
          <w:szCs w:val="20"/>
          <w:lang w:val="es-ES" w:eastAsia="es-ES"/>
        </w:rPr>
        <w:t>CLC</w:t>
      </w:r>
    </w:p>
    <w:sectPr w:rsidR="00530C32" w:rsidRPr="00C949B4" w:rsidSect="009B311A">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E6"/>
    <w:rsid w:val="00015EFB"/>
    <w:rsid w:val="00040F99"/>
    <w:rsid w:val="00096809"/>
    <w:rsid w:val="0010115F"/>
    <w:rsid w:val="00194F65"/>
    <w:rsid w:val="0020017C"/>
    <w:rsid w:val="0020303C"/>
    <w:rsid w:val="00233D49"/>
    <w:rsid w:val="002C0389"/>
    <w:rsid w:val="003536CB"/>
    <w:rsid w:val="003D247B"/>
    <w:rsid w:val="004315E6"/>
    <w:rsid w:val="004C7C78"/>
    <w:rsid w:val="004F0EFC"/>
    <w:rsid w:val="00513FE9"/>
    <w:rsid w:val="00530C32"/>
    <w:rsid w:val="0054784A"/>
    <w:rsid w:val="007D6B79"/>
    <w:rsid w:val="00841D84"/>
    <w:rsid w:val="008441ED"/>
    <w:rsid w:val="009A5A47"/>
    <w:rsid w:val="009B08B6"/>
    <w:rsid w:val="009B311A"/>
    <w:rsid w:val="00A03467"/>
    <w:rsid w:val="00A80A02"/>
    <w:rsid w:val="00A941F7"/>
    <w:rsid w:val="00AA2005"/>
    <w:rsid w:val="00C0030E"/>
    <w:rsid w:val="00C2106F"/>
    <w:rsid w:val="00C92CAC"/>
    <w:rsid w:val="00C949B4"/>
    <w:rsid w:val="00CA43C5"/>
    <w:rsid w:val="00CE1650"/>
    <w:rsid w:val="00CF3EB4"/>
    <w:rsid w:val="00E21FCF"/>
    <w:rsid w:val="00E9507B"/>
    <w:rsid w:val="00EB39CE"/>
    <w:rsid w:val="00EB5F69"/>
    <w:rsid w:val="00FE240D"/>
    <w:rsid w:val="00FF185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001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01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001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01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714</Words>
  <Characters>3928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Chiazzo</dc:creator>
  <cp:lastModifiedBy> </cp:lastModifiedBy>
  <cp:revision>5</cp:revision>
  <cp:lastPrinted>2017-03-10T16:58:00Z</cp:lastPrinted>
  <dcterms:created xsi:type="dcterms:W3CDTF">2017-03-27T16:09:00Z</dcterms:created>
  <dcterms:modified xsi:type="dcterms:W3CDTF">2017-04-25T15:13:00Z</dcterms:modified>
</cp:coreProperties>
</file>