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EB3" w:rsidRPr="00786EEB" w:rsidRDefault="00DD4EB3" w:rsidP="00DD4EB3">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902/17</w:t>
      </w:r>
    </w:p>
    <w:p w:rsidR="00DD4EB3" w:rsidRDefault="00DD4EB3" w:rsidP="00DD4EB3">
      <w:pPr>
        <w:tabs>
          <w:tab w:val="center" w:pos="4253"/>
        </w:tabs>
        <w:suppressAutoHyphens/>
        <w:jc w:val="right"/>
        <w:rPr>
          <w:rFonts w:ascii="Arial" w:hAnsi="Arial" w:cs="Arial"/>
          <w:b/>
          <w:lang w:val="es-ES_tradnl"/>
        </w:rPr>
      </w:pPr>
    </w:p>
    <w:p w:rsidR="00DD4EB3" w:rsidRPr="00DD4EB3" w:rsidRDefault="00DD4EB3" w:rsidP="00DD4EB3">
      <w:pPr>
        <w:tabs>
          <w:tab w:val="center" w:pos="4253"/>
        </w:tabs>
        <w:suppressAutoHyphens/>
        <w:spacing w:after="0" w:line="240" w:lineRule="auto"/>
        <w:jc w:val="center"/>
        <w:rPr>
          <w:rFonts w:ascii="Arial" w:hAnsi="Arial" w:cs="Arial"/>
          <w:b/>
          <w:sz w:val="24"/>
          <w:szCs w:val="24"/>
          <w:lang w:val="es-ES_tradnl"/>
        </w:rPr>
      </w:pPr>
      <w:r w:rsidRPr="00DD4EB3">
        <w:rPr>
          <w:rFonts w:ascii="Arial" w:hAnsi="Arial" w:cs="Arial"/>
          <w:b/>
          <w:sz w:val="24"/>
          <w:szCs w:val="24"/>
          <w:lang w:val="es-ES_tradnl"/>
        </w:rPr>
        <w:t>RESOLUCION ADOPTADA POR EL</w:t>
      </w:r>
    </w:p>
    <w:p w:rsidR="00DD4EB3" w:rsidRPr="00DD4EB3" w:rsidRDefault="00DD4EB3" w:rsidP="00DD4EB3">
      <w:pPr>
        <w:tabs>
          <w:tab w:val="left" w:pos="-720"/>
        </w:tabs>
        <w:suppressAutoHyphens/>
        <w:spacing w:after="0" w:line="240" w:lineRule="auto"/>
        <w:jc w:val="center"/>
        <w:rPr>
          <w:rFonts w:ascii="Arial" w:hAnsi="Arial" w:cs="Arial"/>
          <w:b/>
          <w:sz w:val="24"/>
          <w:szCs w:val="24"/>
          <w:lang w:val="es-ES_tradnl"/>
        </w:rPr>
      </w:pPr>
    </w:p>
    <w:p w:rsidR="00DD4EB3" w:rsidRPr="00DD4EB3" w:rsidRDefault="00DD4EB3" w:rsidP="00DD4EB3">
      <w:pPr>
        <w:tabs>
          <w:tab w:val="center" w:pos="4253"/>
        </w:tabs>
        <w:suppressAutoHyphens/>
        <w:spacing w:after="0" w:line="240" w:lineRule="auto"/>
        <w:jc w:val="center"/>
        <w:rPr>
          <w:rFonts w:ascii="Arial" w:hAnsi="Arial" w:cs="Arial"/>
          <w:b/>
          <w:sz w:val="24"/>
          <w:szCs w:val="24"/>
          <w:lang w:val="es-ES_tradnl"/>
        </w:rPr>
      </w:pPr>
      <w:r w:rsidRPr="00DD4EB3">
        <w:rPr>
          <w:rFonts w:ascii="Arial" w:hAnsi="Arial" w:cs="Arial"/>
          <w:b/>
          <w:sz w:val="24"/>
          <w:szCs w:val="24"/>
          <w:lang w:val="es-ES_tradnl"/>
        </w:rPr>
        <w:t>TRIBUNAL DE CUENTAS</w:t>
      </w:r>
    </w:p>
    <w:p w:rsidR="00DD4EB3" w:rsidRPr="00DD4EB3" w:rsidRDefault="00DD4EB3" w:rsidP="00DD4EB3">
      <w:pPr>
        <w:tabs>
          <w:tab w:val="left" w:pos="-720"/>
        </w:tabs>
        <w:suppressAutoHyphens/>
        <w:spacing w:after="0" w:line="240" w:lineRule="auto"/>
        <w:jc w:val="center"/>
        <w:rPr>
          <w:rFonts w:ascii="Arial" w:hAnsi="Arial" w:cs="Arial"/>
          <w:b/>
          <w:sz w:val="24"/>
          <w:szCs w:val="24"/>
          <w:lang w:val="es-ES_tradnl"/>
        </w:rPr>
      </w:pPr>
    </w:p>
    <w:p w:rsidR="00DD4EB3" w:rsidRPr="00DD4EB3" w:rsidRDefault="00DD4EB3" w:rsidP="00DD4EB3">
      <w:pPr>
        <w:tabs>
          <w:tab w:val="center" w:pos="4253"/>
        </w:tabs>
        <w:suppressAutoHyphens/>
        <w:spacing w:after="0" w:line="240" w:lineRule="auto"/>
        <w:jc w:val="center"/>
        <w:rPr>
          <w:rFonts w:ascii="Arial" w:hAnsi="Arial" w:cs="Arial"/>
          <w:b/>
          <w:sz w:val="24"/>
          <w:szCs w:val="24"/>
          <w:lang w:val="es-ES_tradnl"/>
        </w:rPr>
      </w:pPr>
      <w:r w:rsidRPr="00DD4EB3">
        <w:rPr>
          <w:rFonts w:ascii="Arial" w:hAnsi="Arial" w:cs="Arial"/>
          <w:b/>
          <w:sz w:val="24"/>
          <w:szCs w:val="24"/>
          <w:lang w:val="es-ES_tradnl"/>
        </w:rPr>
        <w:t>EN SESION DE FECHA 22 DE MARZO DE 2017</w:t>
      </w:r>
    </w:p>
    <w:p w:rsidR="00DD4EB3" w:rsidRPr="00DD4EB3" w:rsidRDefault="00DD4EB3" w:rsidP="00DD4EB3">
      <w:pPr>
        <w:tabs>
          <w:tab w:val="center" w:pos="4253"/>
        </w:tabs>
        <w:suppressAutoHyphens/>
        <w:spacing w:after="0" w:line="240" w:lineRule="auto"/>
        <w:jc w:val="center"/>
        <w:rPr>
          <w:rFonts w:ascii="Arial" w:hAnsi="Arial" w:cs="Arial"/>
          <w:b/>
          <w:sz w:val="24"/>
          <w:szCs w:val="24"/>
          <w:lang w:val="es-ES_tradnl"/>
        </w:rPr>
      </w:pPr>
    </w:p>
    <w:p w:rsidR="00DD4EB3" w:rsidRPr="00DD4EB3" w:rsidRDefault="00DD4EB3" w:rsidP="00DD4EB3">
      <w:pPr>
        <w:tabs>
          <w:tab w:val="center" w:pos="4253"/>
        </w:tabs>
        <w:suppressAutoHyphens/>
        <w:spacing w:after="0" w:line="240" w:lineRule="auto"/>
        <w:jc w:val="center"/>
        <w:rPr>
          <w:rFonts w:ascii="Arial" w:hAnsi="Arial" w:cs="Arial"/>
          <w:b/>
          <w:sz w:val="24"/>
          <w:szCs w:val="24"/>
          <w:lang w:val="es-ES"/>
        </w:rPr>
      </w:pPr>
      <w:r w:rsidRPr="00DD4EB3">
        <w:rPr>
          <w:rFonts w:ascii="Arial" w:hAnsi="Arial" w:cs="Arial"/>
          <w:b/>
          <w:sz w:val="24"/>
          <w:szCs w:val="24"/>
          <w:lang w:val="es-ES"/>
        </w:rPr>
        <w:t xml:space="preserve">(E. E. Nº </w:t>
      </w:r>
      <w:r w:rsidRPr="00DD4EB3">
        <w:rPr>
          <w:rFonts w:ascii="Arial" w:hAnsi="Arial" w:cs="Arial"/>
          <w:b/>
          <w:sz w:val="24"/>
          <w:szCs w:val="24"/>
        </w:rPr>
        <w:t>2017-17-1-0000205</w:t>
      </w:r>
      <w:r w:rsidRPr="00DD4EB3">
        <w:rPr>
          <w:rFonts w:ascii="Arial" w:hAnsi="Arial" w:cs="Arial"/>
          <w:b/>
          <w:sz w:val="24"/>
          <w:szCs w:val="24"/>
          <w:lang w:val="es-ES"/>
        </w:rPr>
        <w:t xml:space="preserve">, </w:t>
      </w:r>
      <w:proofErr w:type="spellStart"/>
      <w:r w:rsidRPr="00DD4EB3">
        <w:rPr>
          <w:rFonts w:ascii="Arial" w:hAnsi="Arial" w:cs="Arial"/>
          <w:b/>
          <w:sz w:val="24"/>
          <w:szCs w:val="24"/>
          <w:lang w:val="es-ES"/>
        </w:rPr>
        <w:t>Ent</w:t>
      </w:r>
      <w:proofErr w:type="spellEnd"/>
      <w:r w:rsidRPr="00DD4EB3">
        <w:rPr>
          <w:rFonts w:ascii="Arial" w:hAnsi="Arial" w:cs="Arial"/>
          <w:b/>
          <w:sz w:val="24"/>
          <w:szCs w:val="24"/>
          <w:lang w:val="es-ES"/>
        </w:rPr>
        <w:t xml:space="preserve">. N° </w:t>
      </w:r>
      <w:r w:rsidRPr="00DD4EB3">
        <w:rPr>
          <w:rFonts w:ascii="Arial" w:hAnsi="Arial" w:cs="Arial"/>
          <w:b/>
          <w:sz w:val="24"/>
          <w:szCs w:val="24"/>
        </w:rPr>
        <w:t>1043/17</w:t>
      </w:r>
      <w:r w:rsidRPr="00DD4EB3">
        <w:rPr>
          <w:rFonts w:ascii="Arial" w:hAnsi="Arial" w:cs="Arial"/>
          <w:b/>
          <w:sz w:val="24"/>
          <w:szCs w:val="24"/>
          <w:lang w:val="es-ES"/>
        </w:rPr>
        <w:t>)</w:t>
      </w:r>
    </w:p>
    <w:p w:rsidR="00DD4EB3" w:rsidRPr="00DD4EB3" w:rsidRDefault="00DD4EB3" w:rsidP="00DD4EB3">
      <w:pPr>
        <w:tabs>
          <w:tab w:val="center" w:pos="4253"/>
        </w:tabs>
        <w:suppressAutoHyphens/>
        <w:spacing w:after="0" w:line="240" w:lineRule="auto"/>
        <w:jc w:val="center"/>
        <w:rPr>
          <w:rFonts w:ascii="Arial" w:hAnsi="Arial" w:cs="Arial"/>
          <w:b/>
          <w:sz w:val="24"/>
          <w:szCs w:val="24"/>
          <w:lang w:val="es-ES"/>
        </w:rPr>
      </w:pPr>
    </w:p>
    <w:p w:rsidR="00DD4EB3" w:rsidRPr="00DD4EB3" w:rsidRDefault="00DD4EB3" w:rsidP="00DD4EB3">
      <w:pPr>
        <w:tabs>
          <w:tab w:val="center" w:pos="4253"/>
        </w:tabs>
        <w:suppressAutoHyphens/>
        <w:jc w:val="right"/>
        <w:rPr>
          <w:rFonts w:ascii="Arial" w:hAnsi="Arial"/>
          <w:spacing w:val="-3"/>
          <w:lang w:val="es-ES"/>
        </w:rPr>
      </w:pPr>
    </w:p>
    <w:p w:rsidR="0073400C" w:rsidRDefault="0073400C" w:rsidP="00DD4EB3">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 xml:space="preserve">las nuevas actuaciones remitidas por la Administración Nacional de Telecomunicaciones, relacionadas con la reiteración del gasto derivado de la contratación directa por excepción, para </w:t>
      </w:r>
      <w:r w:rsidR="00DD4EB3">
        <w:rPr>
          <w:rFonts w:ascii="Arial" w:hAnsi="Arial" w:cs="Arial"/>
          <w:sz w:val="24"/>
          <w:szCs w:val="24"/>
        </w:rPr>
        <w:t>e</w:t>
      </w:r>
      <w:r>
        <w:rPr>
          <w:rFonts w:ascii="Arial" w:hAnsi="Arial" w:cs="Arial"/>
          <w:sz w:val="24"/>
          <w:szCs w:val="24"/>
        </w:rPr>
        <w:t xml:space="preserve">l arrendamiento de puertos de tránsito IP internacional en Buenos Aires, al amparo de la causal del </w:t>
      </w:r>
      <w:r w:rsidR="00DD4EB3">
        <w:rPr>
          <w:rFonts w:ascii="Arial" w:hAnsi="Arial" w:cs="Arial"/>
          <w:sz w:val="24"/>
          <w:szCs w:val="24"/>
        </w:rPr>
        <w:t>A</w:t>
      </w:r>
      <w:r>
        <w:rPr>
          <w:rFonts w:ascii="Arial" w:hAnsi="Arial" w:cs="Arial"/>
          <w:sz w:val="24"/>
          <w:szCs w:val="24"/>
        </w:rPr>
        <w:t xml:space="preserve">rtículo 33 </w:t>
      </w:r>
      <w:r w:rsidR="00DD4EB3">
        <w:rPr>
          <w:rFonts w:ascii="Arial" w:hAnsi="Arial" w:cs="Arial"/>
          <w:sz w:val="24"/>
          <w:szCs w:val="24"/>
        </w:rPr>
        <w:t>L</w:t>
      </w:r>
      <w:r>
        <w:rPr>
          <w:rFonts w:ascii="Arial" w:hAnsi="Arial" w:cs="Arial"/>
          <w:sz w:val="24"/>
          <w:szCs w:val="24"/>
        </w:rPr>
        <w:t xml:space="preserve">iteral C) </w:t>
      </w:r>
      <w:r w:rsidR="00DD4EB3">
        <w:rPr>
          <w:rFonts w:ascii="Arial" w:hAnsi="Arial" w:cs="Arial"/>
          <w:sz w:val="24"/>
          <w:szCs w:val="24"/>
        </w:rPr>
        <w:t>n</w:t>
      </w:r>
      <w:r>
        <w:rPr>
          <w:rFonts w:ascii="Arial" w:hAnsi="Arial" w:cs="Arial"/>
          <w:sz w:val="24"/>
          <w:szCs w:val="24"/>
        </w:rPr>
        <w:t>umeral 22° del TOCAF;</w:t>
      </w:r>
    </w:p>
    <w:p w:rsidR="0073400C" w:rsidRDefault="0073400C" w:rsidP="00DD4EB3">
      <w:pPr>
        <w:spacing w:after="0" w:line="360" w:lineRule="auto"/>
        <w:ind w:firstLine="851"/>
        <w:jc w:val="both"/>
        <w:rPr>
          <w:rFonts w:ascii="Arial" w:hAnsi="Arial" w:cs="Arial"/>
          <w:sz w:val="24"/>
          <w:szCs w:val="24"/>
        </w:rPr>
      </w:pPr>
      <w:r>
        <w:rPr>
          <w:rFonts w:ascii="Arial" w:hAnsi="Arial" w:cs="Arial"/>
          <w:b/>
          <w:bCs/>
          <w:sz w:val="24"/>
          <w:szCs w:val="24"/>
        </w:rPr>
        <w:t>RESULTANDO:</w:t>
      </w:r>
      <w:r>
        <w:rPr>
          <w:rFonts w:ascii="Arial" w:hAnsi="Arial" w:cs="Arial"/>
          <w:b/>
          <w:bCs/>
          <w:sz w:val="24"/>
          <w:szCs w:val="24"/>
        </w:rPr>
        <w:tab/>
        <w:t>1)</w:t>
      </w:r>
      <w:r>
        <w:rPr>
          <w:rFonts w:ascii="Arial" w:hAnsi="Arial" w:cs="Arial"/>
          <w:sz w:val="24"/>
          <w:szCs w:val="24"/>
        </w:rPr>
        <w:t xml:space="preserve"> por Resolución N° 1663/16 de fecha 27</w:t>
      </w:r>
      <w:r w:rsidR="00DD4EB3">
        <w:rPr>
          <w:rFonts w:ascii="Arial" w:hAnsi="Arial" w:cs="Arial"/>
          <w:sz w:val="24"/>
          <w:szCs w:val="24"/>
        </w:rPr>
        <w:t>/</w:t>
      </w:r>
      <w:r>
        <w:rPr>
          <w:rFonts w:ascii="Arial" w:hAnsi="Arial" w:cs="Arial"/>
          <w:sz w:val="24"/>
          <w:szCs w:val="24"/>
        </w:rPr>
        <w:t>12</w:t>
      </w:r>
      <w:r w:rsidR="00DD4EB3">
        <w:rPr>
          <w:rFonts w:ascii="Arial" w:hAnsi="Arial" w:cs="Arial"/>
          <w:sz w:val="24"/>
          <w:szCs w:val="24"/>
        </w:rPr>
        <w:t>/</w:t>
      </w:r>
      <w:r>
        <w:rPr>
          <w:rFonts w:ascii="Arial" w:hAnsi="Arial" w:cs="Arial"/>
          <w:sz w:val="24"/>
          <w:szCs w:val="24"/>
        </w:rPr>
        <w:t>16, el Directorio autorizó la contratación directa de referencia para el arrendamiento de puertos de tránsito IP internacional (Alternativa 2 – prepago), por un plazo de 12 meses, cuyo monto asciende a U$S 2</w:t>
      </w:r>
      <w:r w:rsidR="00DD4EB3">
        <w:rPr>
          <w:rFonts w:ascii="Arial" w:hAnsi="Arial" w:cs="Arial"/>
          <w:sz w:val="24"/>
          <w:szCs w:val="24"/>
        </w:rPr>
        <w:t>:</w:t>
      </w:r>
      <w:r>
        <w:rPr>
          <w:rFonts w:ascii="Arial" w:hAnsi="Arial" w:cs="Arial"/>
          <w:sz w:val="24"/>
          <w:szCs w:val="24"/>
        </w:rPr>
        <w:t>100.000, y estableció la reserva de la información por el término de diez años, según Resolución SGGGE N° 03/14 de fecha 10</w:t>
      </w:r>
      <w:r w:rsidR="00DD4EB3">
        <w:rPr>
          <w:rFonts w:ascii="Arial" w:hAnsi="Arial" w:cs="Arial"/>
          <w:sz w:val="24"/>
          <w:szCs w:val="24"/>
        </w:rPr>
        <w:t>/</w:t>
      </w:r>
      <w:r>
        <w:rPr>
          <w:rFonts w:ascii="Arial" w:hAnsi="Arial" w:cs="Arial"/>
          <w:sz w:val="24"/>
          <w:szCs w:val="24"/>
        </w:rPr>
        <w:t>03</w:t>
      </w:r>
      <w:r w:rsidR="00DD4EB3">
        <w:rPr>
          <w:rFonts w:ascii="Arial" w:hAnsi="Arial" w:cs="Arial"/>
          <w:sz w:val="24"/>
          <w:szCs w:val="24"/>
        </w:rPr>
        <w:t>/</w:t>
      </w:r>
      <w:r>
        <w:rPr>
          <w:rFonts w:ascii="Arial" w:hAnsi="Arial" w:cs="Arial"/>
          <w:sz w:val="24"/>
          <w:szCs w:val="24"/>
        </w:rPr>
        <w:t>14;</w:t>
      </w:r>
    </w:p>
    <w:p w:rsidR="0073400C" w:rsidRDefault="0073400C" w:rsidP="00DD4EB3">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 xml:space="preserve">2) </w:t>
      </w:r>
      <w:r>
        <w:rPr>
          <w:rFonts w:ascii="Arial" w:hAnsi="Arial" w:cs="Arial"/>
          <w:sz w:val="24"/>
          <w:szCs w:val="24"/>
        </w:rPr>
        <w:t>que por Resolución N° 273/17 adoptada en Sesión de fecha 25</w:t>
      </w:r>
      <w:r w:rsidR="00DD4EB3">
        <w:rPr>
          <w:rFonts w:ascii="Arial" w:hAnsi="Arial" w:cs="Arial"/>
          <w:sz w:val="24"/>
          <w:szCs w:val="24"/>
        </w:rPr>
        <w:t>/</w:t>
      </w:r>
      <w:r>
        <w:rPr>
          <w:rFonts w:ascii="Arial" w:hAnsi="Arial" w:cs="Arial"/>
          <w:sz w:val="24"/>
          <w:szCs w:val="24"/>
        </w:rPr>
        <w:t>01</w:t>
      </w:r>
      <w:r w:rsidR="00DD4EB3">
        <w:rPr>
          <w:rFonts w:ascii="Arial" w:hAnsi="Arial" w:cs="Arial"/>
          <w:sz w:val="24"/>
          <w:szCs w:val="24"/>
        </w:rPr>
        <w:t>/</w:t>
      </w:r>
      <w:r>
        <w:rPr>
          <w:rFonts w:ascii="Arial" w:hAnsi="Arial" w:cs="Arial"/>
          <w:sz w:val="24"/>
          <w:szCs w:val="24"/>
        </w:rPr>
        <w:t xml:space="preserve">17, este Tribunal acordó observar el gasto en razón de que Dedicado </w:t>
      </w:r>
      <w:proofErr w:type="spellStart"/>
      <w:r>
        <w:rPr>
          <w:rFonts w:ascii="Arial" w:hAnsi="Arial" w:cs="Arial"/>
          <w:sz w:val="24"/>
          <w:szCs w:val="24"/>
        </w:rPr>
        <w:t>Carrier</w:t>
      </w:r>
      <w:proofErr w:type="spellEnd"/>
      <w:r>
        <w:rPr>
          <w:rFonts w:ascii="Arial" w:hAnsi="Arial" w:cs="Arial"/>
          <w:sz w:val="24"/>
          <w:szCs w:val="24"/>
        </w:rPr>
        <w:t xml:space="preserve"> Internacional ZF S.A no se encontraba en condiciones de contratar con el Estado porque no estaba inscripta en el RUPE, en contravención de lo establecido en los </w:t>
      </w:r>
      <w:r w:rsidR="00560EC8">
        <w:rPr>
          <w:rFonts w:ascii="Arial" w:hAnsi="Arial" w:cs="Arial"/>
          <w:sz w:val="24"/>
          <w:szCs w:val="24"/>
        </w:rPr>
        <w:t>A</w:t>
      </w:r>
      <w:r>
        <w:rPr>
          <w:rFonts w:ascii="Arial" w:hAnsi="Arial" w:cs="Arial"/>
          <w:sz w:val="24"/>
          <w:szCs w:val="24"/>
        </w:rPr>
        <w:t xml:space="preserve">rtículos 46 y 76 del TOCAF, estableciéndose que tanto el </w:t>
      </w:r>
      <w:r w:rsidR="00560EC8">
        <w:rPr>
          <w:rFonts w:ascii="Arial" w:hAnsi="Arial" w:cs="Arial"/>
          <w:sz w:val="24"/>
          <w:szCs w:val="24"/>
        </w:rPr>
        <w:t>A</w:t>
      </w:r>
      <w:r>
        <w:rPr>
          <w:rFonts w:ascii="Arial" w:hAnsi="Arial" w:cs="Arial"/>
          <w:sz w:val="24"/>
          <w:szCs w:val="24"/>
        </w:rPr>
        <w:t>rtículo 2 del Decreto Nº 155/013, como la Resolución Nº 012/014 del Consejo Directivo Honorario de la ACCE, que exceptúan el requisito de inscripción en el referido Registro, contravienen normas legales;</w:t>
      </w:r>
    </w:p>
    <w:p w:rsidR="0073400C" w:rsidRDefault="0073400C" w:rsidP="00DD4EB3">
      <w:pPr>
        <w:spacing w:after="0" w:line="36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 xml:space="preserve">3) </w:t>
      </w:r>
      <w:r>
        <w:rPr>
          <w:rFonts w:ascii="Arial" w:hAnsi="Arial" w:cs="Arial"/>
          <w:sz w:val="24"/>
          <w:szCs w:val="24"/>
        </w:rPr>
        <w:t>que por Resolución N° 174/17 de fecha 16</w:t>
      </w:r>
      <w:r w:rsidR="00560EC8">
        <w:rPr>
          <w:rFonts w:ascii="Arial" w:hAnsi="Arial" w:cs="Arial"/>
          <w:sz w:val="24"/>
          <w:szCs w:val="24"/>
        </w:rPr>
        <w:t>/</w:t>
      </w:r>
      <w:r>
        <w:rPr>
          <w:rFonts w:ascii="Arial" w:hAnsi="Arial" w:cs="Arial"/>
          <w:sz w:val="24"/>
          <w:szCs w:val="24"/>
        </w:rPr>
        <w:t>02</w:t>
      </w:r>
      <w:r w:rsidR="00560EC8">
        <w:rPr>
          <w:rFonts w:ascii="Arial" w:hAnsi="Arial" w:cs="Arial"/>
          <w:sz w:val="24"/>
          <w:szCs w:val="24"/>
        </w:rPr>
        <w:t>/</w:t>
      </w:r>
      <w:r>
        <w:rPr>
          <w:rFonts w:ascii="Arial" w:hAnsi="Arial" w:cs="Arial"/>
          <w:sz w:val="24"/>
          <w:szCs w:val="24"/>
        </w:rPr>
        <w:t xml:space="preserve">17, el Directorio reiteró el gasto, argumentando que se actuó al amparo de lo dispuesto en el </w:t>
      </w:r>
      <w:r w:rsidR="00560EC8">
        <w:rPr>
          <w:rFonts w:ascii="Arial" w:hAnsi="Arial" w:cs="Arial"/>
          <w:sz w:val="24"/>
          <w:szCs w:val="24"/>
        </w:rPr>
        <w:t>A</w:t>
      </w:r>
      <w:r>
        <w:rPr>
          <w:rFonts w:ascii="Arial" w:hAnsi="Arial" w:cs="Arial"/>
          <w:sz w:val="24"/>
          <w:szCs w:val="24"/>
        </w:rPr>
        <w:t>rtículo 155/013 y por la</w:t>
      </w:r>
      <w:r>
        <w:rPr>
          <w:rFonts w:ascii="Arial" w:hAnsi="Arial" w:cs="Arial"/>
          <w:b/>
          <w:bCs/>
          <w:sz w:val="24"/>
          <w:szCs w:val="24"/>
        </w:rPr>
        <w:t xml:space="preserve"> </w:t>
      </w:r>
      <w:r>
        <w:rPr>
          <w:rFonts w:ascii="Arial" w:hAnsi="Arial" w:cs="Arial"/>
          <w:sz w:val="24"/>
          <w:szCs w:val="24"/>
        </w:rPr>
        <w:t>Resolución N° 12/14 de ACCE, agregando que, a la fecha, la adjudicataria se encuentra inscripta en el Registro Único de Proveedores del Estado y que la contratación de referencia permite acompañar el crecimiento de tráfico regional y mejorar la conectividad con el resto de los países de la región, por lo que resulta imprescindible;</w:t>
      </w:r>
    </w:p>
    <w:p w:rsidR="0073400C" w:rsidRDefault="0073400C" w:rsidP="00DD4EB3">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4)</w:t>
      </w:r>
      <w:r>
        <w:rPr>
          <w:rFonts w:ascii="Arial" w:hAnsi="Arial" w:cs="Arial"/>
          <w:sz w:val="24"/>
          <w:szCs w:val="24"/>
        </w:rPr>
        <w:t xml:space="preserve"> que asimismo, mediante la referida </w:t>
      </w:r>
      <w:r w:rsidR="00560EC8">
        <w:rPr>
          <w:rFonts w:ascii="Arial" w:hAnsi="Arial" w:cs="Arial"/>
          <w:sz w:val="24"/>
          <w:szCs w:val="24"/>
        </w:rPr>
        <w:t>R</w:t>
      </w:r>
      <w:r>
        <w:rPr>
          <w:rFonts w:ascii="Arial" w:hAnsi="Arial" w:cs="Arial"/>
          <w:sz w:val="24"/>
          <w:szCs w:val="24"/>
        </w:rPr>
        <w:t>esolución, se rectificó la Resolución N° 1663/16 de fecha 27</w:t>
      </w:r>
      <w:r w:rsidR="00560EC8">
        <w:rPr>
          <w:rFonts w:ascii="Arial" w:hAnsi="Arial" w:cs="Arial"/>
          <w:sz w:val="24"/>
          <w:szCs w:val="24"/>
        </w:rPr>
        <w:t>/</w:t>
      </w:r>
      <w:r>
        <w:rPr>
          <w:rFonts w:ascii="Arial" w:hAnsi="Arial" w:cs="Arial"/>
          <w:sz w:val="24"/>
          <w:szCs w:val="24"/>
        </w:rPr>
        <w:t>12</w:t>
      </w:r>
      <w:r w:rsidR="00560EC8">
        <w:rPr>
          <w:rFonts w:ascii="Arial" w:hAnsi="Arial" w:cs="Arial"/>
          <w:sz w:val="24"/>
          <w:szCs w:val="24"/>
        </w:rPr>
        <w:t>/</w:t>
      </w:r>
      <w:r>
        <w:rPr>
          <w:rFonts w:ascii="Arial" w:hAnsi="Arial" w:cs="Arial"/>
          <w:sz w:val="24"/>
          <w:szCs w:val="24"/>
        </w:rPr>
        <w:t xml:space="preserve">16 en lo que respecta a la razón social de la firma adjudicataria, siendo el nombre correcto de la misma Dedicado </w:t>
      </w:r>
      <w:proofErr w:type="spellStart"/>
      <w:r>
        <w:rPr>
          <w:rFonts w:ascii="Arial" w:hAnsi="Arial" w:cs="Arial"/>
          <w:sz w:val="24"/>
          <w:szCs w:val="24"/>
        </w:rPr>
        <w:t>Carrier</w:t>
      </w:r>
      <w:proofErr w:type="spellEnd"/>
      <w:r>
        <w:rPr>
          <w:rFonts w:ascii="Arial" w:hAnsi="Arial" w:cs="Arial"/>
          <w:sz w:val="24"/>
          <w:szCs w:val="24"/>
        </w:rPr>
        <w:t xml:space="preserve"> Internacional ZF S.A;</w:t>
      </w:r>
    </w:p>
    <w:p w:rsidR="0073400C" w:rsidRDefault="0073400C" w:rsidP="00DD4EB3">
      <w:pPr>
        <w:spacing w:after="0" w:line="360" w:lineRule="auto"/>
        <w:ind w:firstLine="851"/>
        <w:jc w:val="both"/>
        <w:rPr>
          <w:rFonts w:ascii="Arial" w:hAnsi="Arial" w:cs="Arial"/>
          <w:sz w:val="24"/>
          <w:szCs w:val="24"/>
        </w:rPr>
      </w:pPr>
      <w:r>
        <w:rPr>
          <w:rFonts w:ascii="Arial" w:hAnsi="Arial" w:cs="Arial"/>
          <w:b/>
          <w:bCs/>
          <w:sz w:val="24"/>
          <w:szCs w:val="24"/>
        </w:rPr>
        <w:t>CONSIDERANDO:</w:t>
      </w:r>
      <w:r>
        <w:rPr>
          <w:rFonts w:ascii="Arial" w:hAnsi="Arial" w:cs="Arial"/>
          <w:b/>
          <w:bCs/>
          <w:sz w:val="24"/>
          <w:szCs w:val="24"/>
        </w:rPr>
        <w:tab/>
      </w:r>
      <w:r>
        <w:rPr>
          <w:rFonts w:ascii="Arial" w:hAnsi="Arial" w:cs="Arial"/>
          <w:sz w:val="24"/>
          <w:szCs w:val="24"/>
        </w:rPr>
        <w:t xml:space="preserve">que no obstante la firma adjudicataria se encuentra actualmente inscripta en el RUPE, la misma no lo estaba al momento de la contratación y, en consecuencia, no se encontraba en condiciones de contratar con el Estado, en contravención de lo dispuesto en los </w:t>
      </w:r>
      <w:r w:rsidR="00560EC8">
        <w:rPr>
          <w:rFonts w:ascii="Arial" w:hAnsi="Arial" w:cs="Arial"/>
          <w:sz w:val="24"/>
          <w:szCs w:val="24"/>
        </w:rPr>
        <w:t>A</w:t>
      </w:r>
      <w:r>
        <w:rPr>
          <w:rFonts w:ascii="Arial" w:hAnsi="Arial" w:cs="Arial"/>
          <w:sz w:val="24"/>
          <w:szCs w:val="24"/>
        </w:rPr>
        <w:t>rtículos 46 y 76 del TOCAF, por lo que la argumentación esgrimida por la Administración en oportunidad de reiterar el gasto, no modifica la observación formulada por este Tribunal;</w:t>
      </w:r>
    </w:p>
    <w:p w:rsidR="0073400C" w:rsidRDefault="0073400C" w:rsidP="00DD4EB3">
      <w:pPr>
        <w:spacing w:after="0" w:line="360" w:lineRule="auto"/>
        <w:ind w:firstLine="851"/>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expuesto y a lo dispuesto por el </w:t>
      </w:r>
      <w:r w:rsidR="00560EC8">
        <w:rPr>
          <w:rFonts w:ascii="Arial" w:hAnsi="Arial" w:cs="Arial"/>
          <w:sz w:val="24"/>
          <w:szCs w:val="24"/>
        </w:rPr>
        <w:t>A</w:t>
      </w:r>
      <w:r>
        <w:rPr>
          <w:rFonts w:ascii="Arial" w:hAnsi="Arial" w:cs="Arial"/>
          <w:sz w:val="24"/>
          <w:szCs w:val="24"/>
        </w:rPr>
        <w:t xml:space="preserve">rtículo 211 </w:t>
      </w:r>
      <w:r w:rsidR="00560EC8">
        <w:rPr>
          <w:rFonts w:ascii="Arial" w:hAnsi="Arial" w:cs="Arial"/>
          <w:sz w:val="24"/>
          <w:szCs w:val="24"/>
        </w:rPr>
        <w:t>L</w:t>
      </w:r>
      <w:r>
        <w:rPr>
          <w:rFonts w:ascii="Arial" w:hAnsi="Arial" w:cs="Arial"/>
          <w:sz w:val="24"/>
          <w:szCs w:val="24"/>
        </w:rPr>
        <w:t>iteral B) de la Constitución de la República;</w:t>
      </w:r>
    </w:p>
    <w:p w:rsidR="0073400C" w:rsidRDefault="0073400C" w:rsidP="00DD4EB3">
      <w:pPr>
        <w:spacing w:after="0" w:line="360" w:lineRule="auto"/>
        <w:jc w:val="center"/>
        <w:rPr>
          <w:rFonts w:ascii="Arial" w:hAnsi="Arial" w:cs="Arial"/>
          <w:b/>
          <w:bCs/>
          <w:sz w:val="24"/>
          <w:szCs w:val="24"/>
        </w:rPr>
      </w:pPr>
      <w:r>
        <w:rPr>
          <w:rFonts w:ascii="Arial" w:hAnsi="Arial" w:cs="Arial"/>
          <w:b/>
          <w:bCs/>
          <w:sz w:val="24"/>
          <w:szCs w:val="24"/>
        </w:rPr>
        <w:t>EL TRIBUNAL ACUERDA</w:t>
      </w:r>
    </w:p>
    <w:p w:rsidR="0073400C" w:rsidRDefault="0073400C" w:rsidP="00DD4EB3">
      <w:pPr>
        <w:spacing w:after="0" w:line="360" w:lineRule="auto"/>
        <w:ind w:left="284" w:hanging="284"/>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Mantener la observación formulada mediante Resolución N°273/17 adoptada en Sesión de fecha 25</w:t>
      </w:r>
      <w:r w:rsidR="00560EC8">
        <w:rPr>
          <w:rFonts w:ascii="Arial" w:hAnsi="Arial" w:cs="Arial"/>
          <w:sz w:val="24"/>
          <w:szCs w:val="24"/>
        </w:rPr>
        <w:t>/</w:t>
      </w:r>
      <w:r>
        <w:rPr>
          <w:rFonts w:ascii="Arial" w:hAnsi="Arial" w:cs="Arial"/>
          <w:sz w:val="24"/>
          <w:szCs w:val="24"/>
        </w:rPr>
        <w:t>01</w:t>
      </w:r>
      <w:r w:rsidR="00560EC8">
        <w:rPr>
          <w:rFonts w:ascii="Arial" w:hAnsi="Arial" w:cs="Arial"/>
          <w:sz w:val="24"/>
          <w:szCs w:val="24"/>
        </w:rPr>
        <w:t>/</w:t>
      </w:r>
      <w:bookmarkStart w:id="0" w:name="_GoBack"/>
      <w:bookmarkEnd w:id="0"/>
      <w:r>
        <w:rPr>
          <w:rFonts w:ascii="Arial" w:hAnsi="Arial" w:cs="Arial"/>
          <w:sz w:val="24"/>
          <w:szCs w:val="24"/>
        </w:rPr>
        <w:t>17;</w:t>
      </w:r>
    </w:p>
    <w:p w:rsidR="0073400C" w:rsidRDefault="0073400C" w:rsidP="00DD4EB3">
      <w:pPr>
        <w:spacing w:after="0" w:line="360" w:lineRule="auto"/>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w:t>
      </w:r>
      <w:r w:rsidR="00DD4EB3">
        <w:rPr>
          <w:rFonts w:ascii="Arial" w:hAnsi="Arial" w:cs="Arial"/>
          <w:sz w:val="24"/>
          <w:szCs w:val="24"/>
        </w:rPr>
        <w:t>Comunicar a la Administración actuante y al Contador Delegado;</w:t>
      </w:r>
    </w:p>
    <w:p w:rsidR="0073400C" w:rsidRDefault="0073400C" w:rsidP="00DD4EB3">
      <w:pPr>
        <w:spacing w:after="0" w:line="360" w:lineRule="auto"/>
        <w:jc w:val="both"/>
        <w:rPr>
          <w:rFonts w:ascii="Arial" w:hAnsi="Arial" w:cs="Arial"/>
          <w:sz w:val="24"/>
          <w:szCs w:val="24"/>
        </w:rPr>
      </w:pPr>
      <w:r>
        <w:rPr>
          <w:rFonts w:ascii="Arial" w:hAnsi="Arial" w:cs="Arial"/>
          <w:b/>
          <w:bCs/>
          <w:sz w:val="24"/>
          <w:szCs w:val="24"/>
        </w:rPr>
        <w:t>3)</w:t>
      </w:r>
      <w:r>
        <w:rPr>
          <w:rFonts w:ascii="Arial" w:hAnsi="Arial" w:cs="Arial"/>
          <w:sz w:val="24"/>
          <w:szCs w:val="24"/>
        </w:rPr>
        <w:t xml:space="preserve"> </w:t>
      </w:r>
      <w:r w:rsidR="00DD4EB3">
        <w:rPr>
          <w:rFonts w:ascii="Arial" w:hAnsi="Arial" w:cs="Arial"/>
          <w:sz w:val="24"/>
          <w:szCs w:val="24"/>
        </w:rPr>
        <w:t>Dar cuenta a la Asamblea General;</w:t>
      </w:r>
    </w:p>
    <w:p w:rsidR="0073400C" w:rsidRDefault="0073400C" w:rsidP="00DD4EB3">
      <w:pPr>
        <w:spacing w:after="0" w:line="360" w:lineRule="auto"/>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Devolver las actuaciones.</w:t>
      </w:r>
    </w:p>
    <w:p w:rsidR="00DD4EB3" w:rsidRDefault="00DD4EB3">
      <w:pPr>
        <w:spacing w:line="360" w:lineRule="auto"/>
        <w:jc w:val="both"/>
        <w:rPr>
          <w:rFonts w:ascii="Arial" w:hAnsi="Arial" w:cs="Arial"/>
        </w:rPr>
      </w:pPr>
      <w:proofErr w:type="spellStart"/>
      <w:proofErr w:type="gramStart"/>
      <w:r>
        <w:rPr>
          <w:rFonts w:ascii="Arial" w:hAnsi="Arial" w:cs="Arial"/>
        </w:rPr>
        <w:t>bf</w:t>
      </w:r>
      <w:proofErr w:type="spellEnd"/>
      <w:proofErr w:type="gramEnd"/>
      <w:r w:rsidRPr="00DD4EB3">
        <w:rPr>
          <w:rFonts w:ascii="Arial" w:hAnsi="Arial" w:cs="Arial"/>
          <w:sz w:val="24"/>
          <w:szCs w:val="24"/>
        </w:rPr>
        <w:t xml:space="preserve"> </w:t>
      </w:r>
    </w:p>
    <w:sectPr w:rsidR="00DD4EB3" w:rsidSect="00DD4EB3">
      <w:footerReference w:type="default" r:id="rId7"/>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79C" w:rsidRDefault="0007779C" w:rsidP="0007779C">
      <w:pPr>
        <w:spacing w:after="0" w:line="240" w:lineRule="auto"/>
      </w:pPr>
      <w:r>
        <w:separator/>
      </w:r>
    </w:p>
  </w:endnote>
  <w:endnote w:type="continuationSeparator" w:id="0">
    <w:p w:rsidR="0007779C" w:rsidRDefault="0007779C" w:rsidP="0007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33362"/>
      <w:docPartObj>
        <w:docPartGallery w:val="Page Numbers (Bottom of Page)"/>
        <w:docPartUnique/>
      </w:docPartObj>
    </w:sdtPr>
    <w:sdtContent>
      <w:p w:rsidR="0007779C" w:rsidRDefault="0007779C">
        <w:pPr>
          <w:pStyle w:val="Piedepgina"/>
          <w:jc w:val="center"/>
        </w:pPr>
        <w:r>
          <w:fldChar w:fldCharType="begin"/>
        </w:r>
        <w:r>
          <w:instrText>PAGE   \* MERGEFORMAT</w:instrText>
        </w:r>
        <w:r>
          <w:fldChar w:fldCharType="separate"/>
        </w:r>
        <w:r w:rsidRPr="0007779C">
          <w:rPr>
            <w:noProof/>
            <w:lang w:val="es-ES"/>
          </w:rPr>
          <w:t>2</w:t>
        </w:r>
        <w:r>
          <w:fldChar w:fldCharType="end"/>
        </w:r>
      </w:p>
    </w:sdtContent>
  </w:sdt>
  <w:p w:rsidR="0007779C" w:rsidRDefault="000777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79C" w:rsidRDefault="0007779C" w:rsidP="0007779C">
      <w:pPr>
        <w:spacing w:after="0" w:line="240" w:lineRule="auto"/>
      </w:pPr>
      <w:r>
        <w:separator/>
      </w:r>
    </w:p>
  </w:footnote>
  <w:footnote w:type="continuationSeparator" w:id="0">
    <w:p w:rsidR="0007779C" w:rsidRDefault="0007779C" w:rsidP="000777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0C"/>
    <w:rsid w:val="0007779C"/>
    <w:rsid w:val="00560EC8"/>
    <w:rsid w:val="0073400C"/>
    <w:rsid w:val="00BD197D"/>
    <w:rsid w:val="00DD4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77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779C"/>
    <w:rPr>
      <w:rFonts w:ascii="Calibri" w:hAnsi="Calibri" w:cs="Calibri"/>
      <w:lang w:val="es-UY"/>
    </w:rPr>
  </w:style>
  <w:style w:type="paragraph" w:styleId="Piedepgina">
    <w:name w:val="footer"/>
    <w:basedOn w:val="Normal"/>
    <w:link w:val="PiedepginaCar"/>
    <w:uiPriority w:val="99"/>
    <w:unhideWhenUsed/>
    <w:rsid w:val="000777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779C"/>
    <w:rPr>
      <w:rFonts w:ascii="Calibri" w:hAnsi="Calibri" w:cs="Calibri"/>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77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779C"/>
    <w:rPr>
      <w:rFonts w:ascii="Calibri" w:hAnsi="Calibri" w:cs="Calibri"/>
      <w:lang w:val="es-UY"/>
    </w:rPr>
  </w:style>
  <w:style w:type="paragraph" w:styleId="Piedepgina">
    <w:name w:val="footer"/>
    <w:basedOn w:val="Normal"/>
    <w:link w:val="PiedepginaCar"/>
    <w:uiPriority w:val="99"/>
    <w:unhideWhenUsed/>
    <w:rsid w:val="000777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779C"/>
    <w:rPr>
      <w:rFonts w:ascii="Calibri" w:hAnsi="Calibri" w:cs="Calibri"/>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2545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CARPETA N°: 2017-17-1-0000205</vt:lpstr>
    </vt:vector>
  </TitlesOfParts>
  <Company>Tribunal de Cuentas</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2017-17-1-0000205</dc:title>
  <dc:creator>MARIA ALEJANDRA ALVAREZ LOPEZ</dc:creator>
  <cp:lastModifiedBy>Tribunal1</cp:lastModifiedBy>
  <cp:revision>2</cp:revision>
  <cp:lastPrinted>2017-03-09T18:44:00Z</cp:lastPrinted>
  <dcterms:created xsi:type="dcterms:W3CDTF">2017-03-23T18:06:00Z</dcterms:created>
  <dcterms:modified xsi:type="dcterms:W3CDTF">2017-03-23T18:06:00Z</dcterms:modified>
</cp:coreProperties>
</file>