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F5" w:rsidRPr="00161683" w:rsidRDefault="00F00BF5" w:rsidP="00F00BF5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817/17</w:t>
      </w:r>
    </w:p>
    <w:p w:rsidR="00F00BF5" w:rsidRDefault="00F00BF5" w:rsidP="00F00B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BF5" w:rsidRPr="004746D1" w:rsidRDefault="00F00BF5" w:rsidP="00F00B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00BF5" w:rsidRPr="004746D1" w:rsidRDefault="00F00BF5" w:rsidP="00F00BF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BF5" w:rsidRPr="004746D1" w:rsidRDefault="00F00BF5" w:rsidP="00F00B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00BF5" w:rsidRPr="004746D1" w:rsidRDefault="00F00BF5" w:rsidP="00F00BF5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BF5" w:rsidRPr="004746D1" w:rsidRDefault="00F00BF5" w:rsidP="00F00B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8 DE MARZO DE 2017</w:t>
      </w:r>
    </w:p>
    <w:p w:rsidR="00F00BF5" w:rsidRPr="004746D1" w:rsidRDefault="00F00BF5" w:rsidP="00F00B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00BF5" w:rsidRPr="004746D1" w:rsidRDefault="00F00BF5" w:rsidP="00F00BF5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2013-17-1-0000637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885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F00BF5" w:rsidRDefault="00F00BF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46D0E" w:rsidRDefault="00546D0E" w:rsidP="00F00B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VISTO: </w:t>
      </w:r>
      <w:r w:rsidR="00F00BF5">
        <w:rPr>
          <w:rFonts w:ascii="Arial" w:hAnsi="Arial" w:cs="Arial"/>
          <w:bCs/>
          <w:sz w:val="24"/>
          <w:szCs w:val="24"/>
        </w:rPr>
        <w:t xml:space="preserve">las </w:t>
      </w:r>
      <w:r>
        <w:rPr>
          <w:rFonts w:ascii="Arial" w:hAnsi="Arial" w:cs="Arial"/>
          <w:sz w:val="24"/>
          <w:szCs w:val="24"/>
        </w:rPr>
        <w:t>actuaciones remitidas por la Intendencia de Maldonado</w:t>
      </w:r>
      <w:r w:rsidR="00F00BF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relacionadas con la imputación presupuestal correspondiente a la  contratación directa de la firma </w:t>
      </w:r>
      <w:proofErr w:type="spellStart"/>
      <w:r>
        <w:rPr>
          <w:rFonts w:ascii="Arial" w:hAnsi="Arial" w:cs="Arial"/>
          <w:sz w:val="24"/>
          <w:szCs w:val="24"/>
        </w:rPr>
        <w:t>Foreing</w:t>
      </w:r>
      <w:proofErr w:type="spellEnd"/>
      <w:r>
        <w:rPr>
          <w:rFonts w:ascii="Arial" w:hAnsi="Arial" w:cs="Arial"/>
          <w:sz w:val="24"/>
          <w:szCs w:val="24"/>
        </w:rPr>
        <w:t xml:space="preserve"> Security Ltda., para realizar el servicio de seguridad y vigilancia de la planta de la Direcci</w:t>
      </w:r>
      <w:r w:rsidR="00F00BF5">
        <w:rPr>
          <w:rFonts w:ascii="Arial" w:hAnsi="Arial" w:cs="Arial"/>
          <w:sz w:val="24"/>
          <w:szCs w:val="24"/>
        </w:rPr>
        <w:t>ón General de Obras y Talleres;</w:t>
      </w:r>
    </w:p>
    <w:p w:rsidR="00546D0E" w:rsidRDefault="00546D0E" w:rsidP="00F00BF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RESULTANDO: 1) </w:t>
      </w:r>
      <w:r>
        <w:rPr>
          <w:rFonts w:ascii="Arial" w:hAnsi="Arial" w:cs="Arial"/>
          <w:sz w:val="24"/>
          <w:szCs w:val="24"/>
          <w:lang w:val="es-MX" w:eastAsia="es-ES"/>
        </w:rPr>
        <w:t>que por Resolución Nº</w:t>
      </w:r>
      <w:r w:rsidR="00001E50">
        <w:rPr>
          <w:rFonts w:ascii="Arial" w:hAnsi="Arial" w:cs="Arial"/>
          <w:sz w:val="24"/>
          <w:szCs w:val="24"/>
          <w:lang w:val="es-MX" w:eastAsia="es-ES"/>
        </w:rPr>
        <w:t xml:space="preserve"> 5471/11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de fecha 22</w:t>
      </w:r>
      <w:r w:rsidR="00F00BF5">
        <w:rPr>
          <w:rFonts w:ascii="Arial" w:hAnsi="Arial" w:cs="Arial"/>
          <w:sz w:val="24"/>
          <w:szCs w:val="24"/>
          <w:lang w:val="es-MX" w:eastAsia="es-ES"/>
        </w:rPr>
        <w:t>/07/</w:t>
      </w:r>
      <w:r>
        <w:rPr>
          <w:rFonts w:ascii="Arial" w:hAnsi="Arial" w:cs="Arial"/>
          <w:sz w:val="24"/>
          <w:szCs w:val="24"/>
          <w:lang w:val="es-MX" w:eastAsia="es-ES"/>
        </w:rPr>
        <w:t>2011, el Intendente dispuso adjudicar la L</w:t>
      </w:r>
      <w:r>
        <w:rPr>
          <w:rFonts w:ascii="Arial" w:hAnsi="Arial" w:cs="Arial"/>
          <w:sz w:val="24"/>
          <w:szCs w:val="24"/>
          <w:lang w:val="es-MX"/>
        </w:rPr>
        <w:t>icitación Pública 13/11, para la prestación del servicio de mantenimiento de la seguridad y vigilancia de la planta de la Dirección General de Obras y Talleres, sito en Ruta 39 y Avda. Luis Alberto de Herrera</w:t>
      </w:r>
      <w:r w:rsidR="0020253D">
        <w:rPr>
          <w:rFonts w:ascii="Arial" w:hAnsi="Arial" w:cs="Arial"/>
          <w:sz w:val="24"/>
          <w:szCs w:val="24"/>
          <w:lang w:val="es-MX"/>
        </w:rPr>
        <w:t>,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Foreing</w:t>
      </w:r>
      <w:proofErr w:type="spellEnd"/>
      <w:r>
        <w:rPr>
          <w:rFonts w:ascii="Arial" w:hAnsi="Arial" w:cs="Arial"/>
          <w:sz w:val="24"/>
          <w:szCs w:val="24"/>
          <w:lang w:val="es-MX"/>
        </w:rPr>
        <w:t xml:space="preserve"> Security Ltda., por $ 523.613 mensuales (IVA incl.), hasta la finali</w:t>
      </w:r>
      <w:r w:rsidR="00001E50">
        <w:rPr>
          <w:rFonts w:ascii="Arial" w:hAnsi="Arial" w:cs="Arial"/>
          <w:sz w:val="24"/>
          <w:szCs w:val="24"/>
          <w:lang w:val="es-MX"/>
        </w:rPr>
        <w:t>zación del período de gobierno;</w:t>
      </w:r>
    </w:p>
    <w:p w:rsidR="0020253D" w:rsidRDefault="00546D0E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2) </w:t>
      </w:r>
      <w:r>
        <w:rPr>
          <w:rFonts w:ascii="Arial" w:hAnsi="Arial" w:cs="Arial"/>
          <w:sz w:val="24"/>
          <w:szCs w:val="24"/>
          <w:lang w:val="es-MX"/>
        </w:rPr>
        <w:t>que</w:t>
      </w:r>
      <w:r>
        <w:rPr>
          <w:rFonts w:ascii="Arial" w:hAnsi="Arial" w:cs="Arial"/>
          <w:sz w:val="24"/>
          <w:szCs w:val="24"/>
        </w:rPr>
        <w:t xml:space="preserve"> en virtud de haber finalizado la contratación dispuesta en el marco de la Licitación</w:t>
      </w:r>
      <w:r w:rsidR="0020253D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 xml:space="preserve"> </w:t>
      </w:r>
      <w:r w:rsidR="0020253D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13/2011, por Resolución 05442/2015 de 28/07/15 el Intendente dispuso la contratación directa de la referida firma, hasta el 30/09/15, por un  monto mensual de $ 724.366. El gasto derivado de dicha contratación fue intervenido por la Contadora Delegada el 28/08/</w:t>
      </w:r>
      <w:r w:rsidR="00962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15;                         </w:t>
      </w:r>
    </w:p>
    <w:p w:rsidR="00546D0E" w:rsidRDefault="00546D0E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3) </w:t>
      </w:r>
      <w:r>
        <w:rPr>
          <w:rFonts w:ascii="Arial" w:hAnsi="Arial" w:cs="Arial"/>
          <w:sz w:val="24"/>
          <w:szCs w:val="24"/>
        </w:rPr>
        <w:t>que por Resolución 09018/2015 de fecha 15/12/</w:t>
      </w:r>
      <w:r w:rsidR="009626A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15 el Intendente dispuso contratar nuevamente, al amparo del </w:t>
      </w:r>
      <w:r w:rsidR="002025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33 </w:t>
      </w:r>
      <w:r w:rsidR="0020253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20253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umeral 9 del TOCAF  a la empresa </w:t>
      </w:r>
      <w:proofErr w:type="spellStart"/>
      <w:r>
        <w:rPr>
          <w:rFonts w:ascii="Arial" w:hAnsi="Arial" w:cs="Arial"/>
          <w:sz w:val="24"/>
          <w:szCs w:val="24"/>
        </w:rPr>
        <w:t>Foreing</w:t>
      </w:r>
      <w:proofErr w:type="spellEnd"/>
      <w:r>
        <w:rPr>
          <w:rFonts w:ascii="Arial" w:hAnsi="Arial" w:cs="Arial"/>
          <w:sz w:val="24"/>
          <w:szCs w:val="24"/>
        </w:rPr>
        <w:t xml:space="preserve"> Security Ltda., para las tareas de vigilancia de la Dirección General de Obras y Talleres, p</w:t>
      </w:r>
      <w:r w:rsidR="00090A06">
        <w:rPr>
          <w:rFonts w:ascii="Arial" w:hAnsi="Arial" w:cs="Arial"/>
          <w:sz w:val="24"/>
          <w:szCs w:val="24"/>
        </w:rPr>
        <w:t>or un monto mensual de  $ 724.3</w:t>
      </w:r>
      <w:r>
        <w:rPr>
          <w:rFonts w:ascii="Arial" w:hAnsi="Arial" w:cs="Arial"/>
          <w:sz w:val="24"/>
          <w:szCs w:val="24"/>
        </w:rPr>
        <w:t>66, hasta la adjudicaci</w:t>
      </w:r>
      <w:r w:rsidR="0030245D">
        <w:rPr>
          <w:rFonts w:ascii="Arial" w:hAnsi="Arial" w:cs="Arial"/>
          <w:sz w:val="24"/>
          <w:szCs w:val="24"/>
        </w:rPr>
        <w:t>ón de la licitación en trámite;</w:t>
      </w:r>
    </w:p>
    <w:p w:rsidR="009626A2" w:rsidRDefault="009626A2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9626A2" w:rsidRDefault="009626A2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546D0E" w:rsidRDefault="00546D0E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que con fecha 21/12/2015, la Contadora Delegada observó el gasto de la imputación preventiva Nº 12415 por $ 2:173.098</w:t>
      </w:r>
      <w:r w:rsidR="002025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0253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por contravenir el </w:t>
      </w:r>
      <w:r w:rsidR="002025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20253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B) de la Constitución de la República </w:t>
      </w:r>
      <w:r w:rsidR="0020253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y </w:t>
      </w:r>
      <w:r w:rsidR="0020253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20253D">
        <w:rPr>
          <w:rFonts w:ascii="Arial" w:hAnsi="Arial" w:cs="Arial"/>
          <w:sz w:val="24"/>
          <w:szCs w:val="24"/>
        </w:rPr>
        <w:t xml:space="preserve">ículo </w:t>
      </w:r>
      <w:r>
        <w:rPr>
          <w:rFonts w:ascii="Arial" w:hAnsi="Arial" w:cs="Arial"/>
          <w:sz w:val="24"/>
          <w:szCs w:val="24"/>
        </w:rPr>
        <w:t xml:space="preserve">15 del TOCAF, siendo reiterado el gasto por Resolución </w:t>
      </w:r>
      <w:r w:rsidR="0020253D">
        <w:rPr>
          <w:rFonts w:ascii="Arial" w:hAnsi="Arial" w:cs="Arial"/>
          <w:sz w:val="24"/>
          <w:szCs w:val="24"/>
        </w:rPr>
        <w:t xml:space="preserve">                  Nº 09293/2015 de 23/12/2015;</w:t>
      </w:r>
    </w:p>
    <w:p w:rsidR="00546D0E" w:rsidRDefault="00546D0E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>que la Contadora Delegada informó, con fecha 04/03/</w:t>
      </w:r>
      <w:r w:rsidR="0020253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 que el gasto de $ 4:346.196</w:t>
      </w:r>
      <w:r w:rsidR="002025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correspondiente al período enero-junio </w:t>
      </w:r>
      <w:r w:rsidR="0020253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2016 fue imputado al rubro 5291 Servicio de Vigilancia y Custodia - derivado 10500 Dirección General de Obra, el que cuenta con disponibilidad suficiente, solicitando la remisión de las actuaciones al Tribunal, en virtud de que el monto d</w:t>
      </w:r>
      <w:r w:rsidR="0020253D">
        <w:rPr>
          <w:rFonts w:ascii="Arial" w:hAnsi="Arial" w:cs="Arial"/>
          <w:sz w:val="24"/>
          <w:szCs w:val="24"/>
        </w:rPr>
        <w:t>el gasto excede su competencia;</w:t>
      </w:r>
    </w:p>
    <w:p w:rsidR="00546D0E" w:rsidRDefault="00546D0E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en sesión de fecha 16/03/2016, este Tribunal  observó el gasto ,por encontrarse indefinido el monto de la contratación, contar las actuaciones con principio de ejecución, y no aj</w:t>
      </w:r>
      <w:r w:rsidR="0020253D">
        <w:rPr>
          <w:rFonts w:ascii="Arial" w:hAnsi="Arial" w:cs="Arial"/>
          <w:sz w:val="24"/>
          <w:szCs w:val="24"/>
        </w:rPr>
        <w:t xml:space="preserve">ustarse a lo dispuesto por </w:t>
      </w:r>
      <w:r w:rsidR="0030245D">
        <w:rPr>
          <w:rFonts w:ascii="Arial" w:hAnsi="Arial" w:cs="Arial"/>
          <w:sz w:val="24"/>
          <w:szCs w:val="24"/>
        </w:rPr>
        <w:t xml:space="preserve">   </w:t>
      </w:r>
      <w:r w:rsidR="0020253D">
        <w:rPr>
          <w:rFonts w:ascii="Arial" w:hAnsi="Arial" w:cs="Arial"/>
          <w:sz w:val="24"/>
          <w:szCs w:val="24"/>
        </w:rPr>
        <w:t>los A</w:t>
      </w:r>
      <w:r>
        <w:rPr>
          <w:rFonts w:ascii="Arial" w:hAnsi="Arial" w:cs="Arial"/>
          <w:sz w:val="24"/>
          <w:szCs w:val="24"/>
        </w:rPr>
        <w:t xml:space="preserve">rtículos 33 </w:t>
      </w:r>
      <w:r w:rsidR="0020253D">
        <w:rPr>
          <w:rFonts w:ascii="Arial" w:hAnsi="Arial" w:cs="Arial"/>
          <w:sz w:val="24"/>
          <w:szCs w:val="24"/>
        </w:rPr>
        <w:t>Literal C) N</w:t>
      </w:r>
      <w:r>
        <w:rPr>
          <w:rFonts w:ascii="Arial" w:hAnsi="Arial" w:cs="Arial"/>
          <w:sz w:val="24"/>
          <w:szCs w:val="24"/>
        </w:rPr>
        <w:t>umeral 9</w:t>
      </w:r>
      <w:r w:rsidR="002025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157 del TOCAF, reiterándose el gasto por la suma de $ 4</w:t>
      </w:r>
      <w:r w:rsidR="0020253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346.196,</w:t>
      </w:r>
      <w:r w:rsidR="0020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Resolución Nº 2862 del 26/04/</w:t>
      </w:r>
      <w:r w:rsidR="0020253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 y manteniéndose la observación, en sesión de fecha 01/06/</w:t>
      </w:r>
      <w:r w:rsidR="0020253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16;</w:t>
      </w:r>
    </w:p>
    <w:p w:rsidR="00546D0E" w:rsidRDefault="00546D0E" w:rsidP="0020253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que con fecha 19/</w:t>
      </w:r>
      <w:r w:rsidR="002025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8/</w:t>
      </w:r>
      <w:r w:rsidR="0020253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16, se remitió al Tribunal a efectos de la intervención</w:t>
      </w:r>
      <w:r w:rsidR="003024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imputaciones correspondiente al período julio-diciembre 2016 por la suma de $ 4:346.196, sin disponibilidad. Este Tribunal, en sesión de fecha 31/08/</w:t>
      </w:r>
      <w:r w:rsidR="0030245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16, observó el gasto considerando que ya se había expedido observando el gasto del procedimiento, por incumplimiento del </w:t>
      </w:r>
      <w:r w:rsidR="003024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30245D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15 del TOCAF y por principio de ejecución. </w:t>
      </w:r>
      <w:r w:rsidR="00090A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Dicho gasto fue reiterado por Res</w:t>
      </w:r>
      <w:r w:rsidR="0030245D">
        <w:rPr>
          <w:rFonts w:ascii="Arial" w:hAnsi="Arial" w:cs="Arial"/>
          <w:sz w:val="24"/>
          <w:szCs w:val="24"/>
        </w:rPr>
        <w:t xml:space="preserve">olución Nº </w:t>
      </w:r>
      <w:r>
        <w:rPr>
          <w:rFonts w:ascii="Arial" w:hAnsi="Arial" w:cs="Arial"/>
          <w:sz w:val="24"/>
          <w:szCs w:val="24"/>
        </w:rPr>
        <w:t>7501/16 el 18/10/</w:t>
      </w:r>
      <w:r w:rsidR="0030245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 y mantenida la observación el 23/11/</w:t>
      </w:r>
      <w:r w:rsidR="0030245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16;</w:t>
      </w:r>
    </w:p>
    <w:p w:rsidR="00750A76" w:rsidRDefault="00546D0E" w:rsidP="0030245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8) </w:t>
      </w:r>
      <w:r>
        <w:rPr>
          <w:rFonts w:ascii="Arial" w:hAnsi="Arial" w:cs="Arial"/>
          <w:sz w:val="24"/>
          <w:szCs w:val="24"/>
        </w:rPr>
        <w:t xml:space="preserve">que en la oportunidad, se remite para la intervención la imputación por la suma de $ 4:346.196, correspondiente al período enero-junio 2017, con cargo al rubro 5291-10500, con disponibilidad presupuestal;       </w:t>
      </w:r>
    </w:p>
    <w:p w:rsidR="00750A76" w:rsidRDefault="00750A76" w:rsidP="0030245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</w:p>
    <w:p w:rsidR="00546D0E" w:rsidRDefault="00546D0E" w:rsidP="0030245D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</w:t>
      </w:r>
    </w:p>
    <w:p w:rsidR="00546D0E" w:rsidRDefault="00546D0E" w:rsidP="003024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CONSIDERANDO:1)</w:t>
      </w:r>
      <w:r w:rsidR="0030245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las imputaciones remitidas están comprendidas en el gasto autorizado por Resol</w:t>
      </w:r>
      <w:r w:rsidR="0030245D">
        <w:rPr>
          <w:rFonts w:ascii="Arial" w:hAnsi="Arial" w:cs="Arial"/>
          <w:sz w:val="24"/>
          <w:szCs w:val="24"/>
        </w:rPr>
        <w:t>ución del Intendente                Nº 09018/20</w:t>
      </w:r>
      <w:r>
        <w:rPr>
          <w:rFonts w:ascii="Arial" w:hAnsi="Arial" w:cs="Arial"/>
          <w:sz w:val="24"/>
          <w:szCs w:val="24"/>
        </w:rPr>
        <w:t>15 de fecha 15/12/</w:t>
      </w:r>
      <w:r w:rsidR="0030245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15</w:t>
      </w:r>
      <w:r w:rsidR="0030245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dispone la contratación hasta la adjudicación de la licitación en trámite y que fuera observado por el Tribunal en sesión de 16</w:t>
      </w:r>
      <w:r w:rsidR="0030245D">
        <w:rPr>
          <w:rFonts w:ascii="Arial" w:hAnsi="Arial" w:cs="Arial"/>
          <w:sz w:val="24"/>
          <w:szCs w:val="24"/>
        </w:rPr>
        <w:t>/3/2016;</w:t>
      </w:r>
    </w:p>
    <w:p w:rsidR="00546D0E" w:rsidRDefault="00546D0E" w:rsidP="0030245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0245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gasto que se remite en la oportunidad cuenta con principio de ejecución en contravención a lo dispuesto por</w:t>
      </w:r>
      <w:r w:rsidR="003024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el </w:t>
      </w:r>
      <w:r w:rsidR="0030245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</w:t>
      </w:r>
      <w:r w:rsidR="0030245D">
        <w:rPr>
          <w:rFonts w:ascii="Arial" w:hAnsi="Arial" w:cs="Arial"/>
          <w:sz w:val="24"/>
          <w:szCs w:val="24"/>
        </w:rPr>
        <w:t>tículo 211 Literal B) de la Constitución;</w:t>
      </w:r>
    </w:p>
    <w:p w:rsidR="00546D0E" w:rsidRDefault="00546D0E" w:rsidP="0030245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ATENTO: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a lo precedentemente expuesto;</w:t>
      </w:r>
    </w:p>
    <w:p w:rsidR="00546D0E" w:rsidRDefault="00546D0E" w:rsidP="00F00BF5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546D0E" w:rsidRDefault="0030245D" w:rsidP="0030245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val="es-MX" w:eastAsia="es-ES"/>
        </w:rPr>
        <w:t xml:space="preserve">1) </w:t>
      </w:r>
      <w:proofErr w:type="spellStart"/>
      <w:r w:rsidR="001D339F">
        <w:rPr>
          <w:rFonts w:ascii="Arial" w:hAnsi="Arial" w:cs="Arial"/>
          <w:sz w:val="24"/>
          <w:szCs w:val="24"/>
          <w:lang w:val="es-MX" w:eastAsia="es-ES"/>
        </w:rPr>
        <w:t>Esté</w:t>
      </w:r>
      <w:r w:rsidR="00546D0E">
        <w:rPr>
          <w:rFonts w:ascii="Arial" w:hAnsi="Arial" w:cs="Arial"/>
          <w:sz w:val="24"/>
          <w:szCs w:val="24"/>
          <w:lang w:val="es-MX" w:eastAsia="es-ES"/>
        </w:rPr>
        <w:t>se</w:t>
      </w:r>
      <w:proofErr w:type="spellEnd"/>
      <w:r w:rsidR="00546D0E">
        <w:rPr>
          <w:rFonts w:ascii="Arial" w:hAnsi="Arial" w:cs="Arial"/>
          <w:sz w:val="24"/>
          <w:szCs w:val="24"/>
          <w:lang w:val="es-MX" w:eastAsia="es-ES"/>
        </w:rPr>
        <w:t xml:space="preserve"> a lo dispuesto en sesión de fecha 16/</w:t>
      </w:r>
      <w:r w:rsidR="00632583">
        <w:rPr>
          <w:rFonts w:ascii="Arial" w:hAnsi="Arial" w:cs="Arial"/>
          <w:sz w:val="24"/>
          <w:szCs w:val="24"/>
          <w:lang w:val="es-MX" w:eastAsia="es-ES"/>
        </w:rPr>
        <w:t>0</w:t>
      </w:r>
      <w:r w:rsidR="00546D0E">
        <w:rPr>
          <w:rFonts w:ascii="Arial" w:hAnsi="Arial" w:cs="Arial"/>
          <w:sz w:val="24"/>
          <w:szCs w:val="24"/>
          <w:lang w:val="es-MX" w:eastAsia="es-ES"/>
        </w:rPr>
        <w:t xml:space="preserve">3/2016; </w:t>
      </w:r>
    </w:p>
    <w:p w:rsidR="00546D0E" w:rsidRDefault="0030245D" w:rsidP="0030245D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2) </w:t>
      </w:r>
      <w:r w:rsidR="00546D0E">
        <w:rPr>
          <w:rFonts w:ascii="Arial" w:hAnsi="Arial" w:cs="Arial"/>
          <w:sz w:val="24"/>
          <w:szCs w:val="24"/>
          <w:lang w:val="es-MX" w:eastAsia="es-ES"/>
        </w:rPr>
        <w:t xml:space="preserve">Observar la </w:t>
      </w:r>
      <w:r w:rsidR="00546D0E">
        <w:rPr>
          <w:rFonts w:ascii="Arial" w:hAnsi="Arial" w:cs="Arial"/>
          <w:sz w:val="24"/>
          <w:szCs w:val="24"/>
        </w:rPr>
        <w:t>imputación por la suma de $ 4:346.196, correspondiente al período enero-junio 2017;</w:t>
      </w:r>
      <w:r w:rsidR="00546D0E">
        <w:rPr>
          <w:rFonts w:ascii="Arial" w:hAnsi="Arial" w:cs="Arial"/>
          <w:sz w:val="24"/>
          <w:szCs w:val="24"/>
          <w:lang w:val="es-MX" w:eastAsia="es-ES"/>
        </w:rPr>
        <w:t xml:space="preserve"> </w:t>
      </w:r>
      <w:r>
        <w:rPr>
          <w:rFonts w:ascii="Arial" w:hAnsi="Arial" w:cs="Arial"/>
          <w:sz w:val="24"/>
          <w:szCs w:val="24"/>
          <w:lang w:val="es-MX" w:eastAsia="es-ES"/>
        </w:rPr>
        <w:t>y</w:t>
      </w:r>
    </w:p>
    <w:p w:rsidR="00546D0E" w:rsidRDefault="0030245D" w:rsidP="0030245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  <w:lang w:eastAsia="es-ES"/>
        </w:rPr>
        <w:t xml:space="preserve">3) </w:t>
      </w:r>
      <w:r w:rsidR="00546D0E">
        <w:rPr>
          <w:rFonts w:ascii="Arial" w:hAnsi="Arial" w:cs="Arial"/>
          <w:sz w:val="24"/>
          <w:szCs w:val="24"/>
          <w:lang w:eastAsia="es-ES"/>
        </w:rPr>
        <w:t>Devolver las actuaciones.</w:t>
      </w:r>
    </w:p>
    <w:p w:rsidR="00546D0E" w:rsidRDefault="00546D0E" w:rsidP="0030245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bookmarkStart w:id="0" w:name="_GoBack"/>
      <w:bookmarkEnd w:id="0"/>
    </w:p>
    <w:p w:rsidR="0030245D" w:rsidRDefault="0030245D" w:rsidP="0030245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eastAsia="es-ES"/>
        </w:rPr>
        <w:t>lc</w:t>
      </w:r>
      <w:proofErr w:type="spellEnd"/>
      <w:proofErr w:type="gramEnd"/>
    </w:p>
    <w:p w:rsidR="00546D0E" w:rsidRDefault="00546D0E" w:rsidP="00F00BF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546D0E" w:rsidSect="0076679A">
      <w:pgSz w:w="11906" w:h="16838" w:code="9"/>
      <w:pgMar w:top="3062" w:right="1701" w:bottom="136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65920"/>
    <w:multiLevelType w:val="hybridMultilevel"/>
    <w:tmpl w:val="B636AD68"/>
    <w:lvl w:ilvl="0" w:tplc="0254AC1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ascii="Arial" w:hAnsi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0E"/>
    <w:rsid w:val="00001E50"/>
    <w:rsid w:val="00090A06"/>
    <w:rsid w:val="000974C3"/>
    <w:rsid w:val="001D339F"/>
    <w:rsid w:val="0020253D"/>
    <w:rsid w:val="0030245D"/>
    <w:rsid w:val="00546D0E"/>
    <w:rsid w:val="00632583"/>
    <w:rsid w:val="00750A76"/>
    <w:rsid w:val="0076679A"/>
    <w:rsid w:val="009626A2"/>
    <w:rsid w:val="00F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4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A76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45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A7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649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2013-17-1-0000637</vt:lpstr>
    </vt:vector>
  </TitlesOfParts>
  <Company>Tribunal de Cuentas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2013-17-1-0000637</dc:title>
  <dc:creator>Tribunal1</dc:creator>
  <cp:lastModifiedBy>Tribunal1</cp:lastModifiedBy>
  <cp:revision>10</cp:revision>
  <cp:lastPrinted>2017-03-11T19:29:00Z</cp:lastPrinted>
  <dcterms:created xsi:type="dcterms:W3CDTF">2017-03-11T18:02:00Z</dcterms:created>
  <dcterms:modified xsi:type="dcterms:W3CDTF">2017-03-11T19:30:00Z</dcterms:modified>
</cp:coreProperties>
</file>