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01" w:type="dxa"/>
        <w:tblCellSpacing w:w="0" w:type="dxa"/>
        <w:tblInd w:w="-10" w:type="dxa"/>
        <w:tblCellMar>
          <w:top w:w="12" w:type="dxa"/>
          <w:left w:w="12" w:type="dxa"/>
          <w:bottom w:w="12" w:type="dxa"/>
          <w:right w:w="12" w:type="dxa"/>
        </w:tblCellMar>
        <w:tblLook w:val="0000" w:firstRow="0" w:lastRow="0" w:firstColumn="0" w:lastColumn="0" w:noHBand="0" w:noVBand="0"/>
      </w:tblPr>
      <w:tblGrid>
        <w:gridCol w:w="3526"/>
        <w:gridCol w:w="3497"/>
        <w:gridCol w:w="1778"/>
      </w:tblGrid>
      <w:tr w:rsidR="00006065" w:rsidTr="00926D6E">
        <w:trPr>
          <w:tblCellSpacing w:w="0" w:type="dxa"/>
        </w:trPr>
        <w:tc>
          <w:tcPr>
            <w:tcW w:w="8801" w:type="dxa"/>
            <w:gridSpan w:val="3"/>
            <w:tcBorders>
              <w:top w:val="nil"/>
              <w:left w:val="nil"/>
              <w:bottom w:val="nil"/>
              <w:right w:val="nil"/>
            </w:tcBorders>
            <w:shd w:val="clear" w:color="auto" w:fill="FFFFFF"/>
            <w:vAlign w:val="center"/>
          </w:tcPr>
          <w:p w:rsidR="009E0C2F" w:rsidRPr="00926D6E" w:rsidRDefault="009E0C2F" w:rsidP="009E0C2F">
            <w:pPr>
              <w:tabs>
                <w:tab w:val="center" w:pos="4253"/>
              </w:tabs>
              <w:suppressAutoHyphens/>
              <w:spacing w:after="0" w:line="360" w:lineRule="auto"/>
              <w:jc w:val="right"/>
              <w:rPr>
                <w:rFonts w:ascii="Arial" w:hAnsi="Arial" w:cs="Arial"/>
                <w:b/>
                <w:sz w:val="24"/>
                <w:szCs w:val="24"/>
                <w:lang w:val="es-ES_tradnl"/>
              </w:rPr>
            </w:pPr>
            <w:r w:rsidRPr="00926D6E">
              <w:rPr>
                <w:rFonts w:ascii="Arial" w:hAnsi="Arial" w:cs="Arial"/>
                <w:b/>
                <w:sz w:val="24"/>
                <w:szCs w:val="24"/>
                <w:lang w:val="es-ES_tradnl"/>
              </w:rPr>
              <w:t>RES. 781/17</w:t>
            </w:r>
          </w:p>
          <w:p w:rsidR="009E0C2F" w:rsidRPr="00926D6E" w:rsidRDefault="009E0C2F" w:rsidP="009E0C2F">
            <w:pPr>
              <w:tabs>
                <w:tab w:val="center" w:pos="4253"/>
              </w:tabs>
              <w:suppressAutoHyphens/>
              <w:spacing w:after="0" w:line="360" w:lineRule="auto"/>
              <w:jc w:val="center"/>
              <w:rPr>
                <w:rFonts w:ascii="Arial" w:hAnsi="Arial" w:cs="Arial"/>
                <w:b/>
                <w:sz w:val="24"/>
                <w:szCs w:val="24"/>
                <w:lang w:val="es-ES_tradnl"/>
              </w:rPr>
            </w:pPr>
            <w:r w:rsidRPr="00926D6E">
              <w:rPr>
                <w:rFonts w:ascii="Arial" w:hAnsi="Arial" w:cs="Arial"/>
                <w:b/>
                <w:sz w:val="24"/>
                <w:szCs w:val="24"/>
                <w:lang w:val="es-ES_tradnl"/>
              </w:rPr>
              <w:t>RESOLUCION ADOPTADA POR EL</w:t>
            </w:r>
          </w:p>
          <w:p w:rsidR="009E0C2F" w:rsidRPr="00926D6E" w:rsidRDefault="009E0C2F" w:rsidP="009E0C2F">
            <w:pPr>
              <w:tabs>
                <w:tab w:val="center" w:pos="4253"/>
              </w:tabs>
              <w:suppressAutoHyphens/>
              <w:spacing w:after="0" w:line="360" w:lineRule="auto"/>
              <w:jc w:val="center"/>
              <w:rPr>
                <w:rFonts w:ascii="Arial" w:hAnsi="Arial" w:cs="Arial"/>
                <w:b/>
                <w:sz w:val="24"/>
                <w:szCs w:val="24"/>
                <w:lang w:val="es-ES_tradnl"/>
              </w:rPr>
            </w:pPr>
            <w:r w:rsidRPr="00926D6E">
              <w:rPr>
                <w:rFonts w:ascii="Arial" w:hAnsi="Arial" w:cs="Arial"/>
                <w:b/>
                <w:sz w:val="24"/>
                <w:szCs w:val="24"/>
                <w:lang w:val="es-ES_tradnl"/>
              </w:rPr>
              <w:t>TRIBUNAL DE CUENTAS</w:t>
            </w:r>
          </w:p>
          <w:p w:rsidR="009E0C2F" w:rsidRPr="00926D6E" w:rsidRDefault="009E0C2F" w:rsidP="009E0C2F">
            <w:pPr>
              <w:tabs>
                <w:tab w:val="center" w:pos="4253"/>
              </w:tabs>
              <w:suppressAutoHyphens/>
              <w:spacing w:after="0" w:line="360" w:lineRule="auto"/>
              <w:jc w:val="center"/>
              <w:rPr>
                <w:rFonts w:ascii="Arial" w:hAnsi="Arial" w:cs="Arial"/>
                <w:b/>
                <w:sz w:val="24"/>
                <w:szCs w:val="24"/>
                <w:lang w:val="es-ES_tradnl"/>
              </w:rPr>
            </w:pPr>
            <w:r w:rsidRPr="00926D6E">
              <w:rPr>
                <w:rFonts w:ascii="Arial" w:hAnsi="Arial" w:cs="Arial"/>
                <w:b/>
                <w:sz w:val="24"/>
                <w:szCs w:val="24"/>
                <w:lang w:val="es-ES_tradnl"/>
              </w:rPr>
              <w:t>EN SESION DE FECHA 2 DE MARZO DE 2017</w:t>
            </w:r>
          </w:p>
          <w:p w:rsidR="009E0C2F" w:rsidRPr="00926D6E" w:rsidRDefault="009E0C2F" w:rsidP="009E0C2F">
            <w:pPr>
              <w:tabs>
                <w:tab w:val="center" w:pos="4253"/>
              </w:tabs>
              <w:suppressAutoHyphens/>
              <w:spacing w:after="0" w:line="360" w:lineRule="auto"/>
              <w:jc w:val="center"/>
              <w:rPr>
                <w:rFonts w:ascii="Arial" w:hAnsi="Arial" w:cs="Arial"/>
                <w:b/>
                <w:sz w:val="24"/>
                <w:szCs w:val="24"/>
                <w:lang w:val="es-UY"/>
              </w:rPr>
            </w:pPr>
            <w:r w:rsidRPr="00926D6E">
              <w:rPr>
                <w:rFonts w:ascii="Arial" w:hAnsi="Arial" w:cs="Arial"/>
                <w:b/>
                <w:sz w:val="24"/>
                <w:szCs w:val="24"/>
                <w:lang w:val="es-UY"/>
              </w:rPr>
              <w:t xml:space="preserve">(E. E. Nº 2017-17-1-0000302, </w:t>
            </w:r>
            <w:proofErr w:type="spellStart"/>
            <w:r w:rsidRPr="00926D6E">
              <w:rPr>
                <w:rFonts w:ascii="Arial" w:hAnsi="Arial" w:cs="Arial"/>
                <w:b/>
                <w:sz w:val="24"/>
                <w:szCs w:val="24"/>
                <w:lang w:val="es-UY"/>
              </w:rPr>
              <w:t>Ent</w:t>
            </w:r>
            <w:proofErr w:type="spellEnd"/>
            <w:r w:rsidRPr="00926D6E">
              <w:rPr>
                <w:rFonts w:ascii="Arial" w:hAnsi="Arial" w:cs="Arial"/>
                <w:b/>
                <w:sz w:val="24"/>
                <w:szCs w:val="24"/>
                <w:lang w:val="es-UY"/>
              </w:rPr>
              <w:t>. N° 251/17)</w:t>
            </w:r>
          </w:p>
          <w:p w:rsidR="00006065" w:rsidRPr="00926D6E" w:rsidRDefault="009E0C2F" w:rsidP="009E0C2F">
            <w:pPr>
              <w:spacing w:after="0" w:line="360" w:lineRule="auto"/>
              <w:ind w:firstLine="719"/>
              <w:jc w:val="both"/>
              <w:rPr>
                <w:rFonts w:ascii="Arial" w:hAnsi="Arial" w:cs="Arial"/>
                <w:sz w:val="24"/>
                <w:szCs w:val="24"/>
                <w:lang w:eastAsia="es-ES"/>
              </w:rPr>
            </w:pPr>
            <w:r w:rsidRPr="00926D6E">
              <w:rPr>
                <w:rFonts w:ascii="Arial" w:hAnsi="Arial" w:cs="Arial"/>
                <w:b/>
                <w:sz w:val="24"/>
                <w:szCs w:val="24"/>
                <w:lang w:eastAsia="es-ES"/>
              </w:rPr>
              <w:t>V</w:t>
            </w:r>
            <w:r w:rsidR="00006065" w:rsidRPr="00926D6E">
              <w:rPr>
                <w:rFonts w:ascii="Arial" w:hAnsi="Arial" w:cs="Arial"/>
                <w:b/>
                <w:sz w:val="24"/>
                <w:szCs w:val="24"/>
                <w:lang w:eastAsia="es-ES"/>
              </w:rPr>
              <w:t>ISTO:</w:t>
            </w:r>
            <w:r w:rsidR="00006065" w:rsidRPr="00926D6E">
              <w:rPr>
                <w:rFonts w:ascii="Arial" w:hAnsi="Arial" w:cs="Arial"/>
                <w:sz w:val="24"/>
                <w:szCs w:val="24"/>
                <w:lang w:eastAsia="es-ES"/>
              </w:rPr>
              <w:t xml:space="preserve"> actuaciones remitidas por la Intendencia de Maldonado, relacionadas con la Licitación Abreviada Nº 89/2016, convocada para la explotación comercial de deportes náuticos a vela y/o remo, alquiler y guardería en Parada 10 de Playa Mansa desde el 1º de diciembre/2016 hasta el último día de la Semana de Turismo del año siguiente, prorrogable, año a año, hasta la finalización </w:t>
            </w:r>
            <w:r w:rsidRPr="00926D6E">
              <w:rPr>
                <w:rFonts w:ascii="Arial" w:hAnsi="Arial" w:cs="Arial"/>
                <w:sz w:val="24"/>
                <w:szCs w:val="24"/>
                <w:lang w:eastAsia="es-ES"/>
              </w:rPr>
              <w:t>del actual período de Gobierno;</w:t>
            </w:r>
          </w:p>
          <w:p w:rsidR="00006065" w:rsidRPr="00926D6E" w:rsidRDefault="00006065" w:rsidP="009E0C2F">
            <w:pPr>
              <w:spacing w:after="0" w:line="360" w:lineRule="auto"/>
              <w:ind w:firstLine="719"/>
              <w:jc w:val="both"/>
              <w:rPr>
                <w:rFonts w:ascii="Arial" w:hAnsi="Arial" w:cs="Arial"/>
                <w:sz w:val="24"/>
                <w:szCs w:val="24"/>
                <w:lang w:eastAsia="es-ES"/>
              </w:rPr>
            </w:pPr>
            <w:r w:rsidRPr="00926D6E">
              <w:rPr>
                <w:rFonts w:ascii="Arial" w:hAnsi="Arial" w:cs="Arial"/>
                <w:b/>
                <w:sz w:val="24"/>
                <w:szCs w:val="24"/>
                <w:lang w:eastAsia="es-ES"/>
              </w:rPr>
              <w:t>RESULTANDO: 1)</w:t>
            </w:r>
            <w:r w:rsidRPr="00926D6E">
              <w:rPr>
                <w:rFonts w:ascii="Arial" w:hAnsi="Arial" w:cs="Arial"/>
                <w:sz w:val="24"/>
                <w:szCs w:val="24"/>
                <w:lang w:eastAsia="es-ES"/>
              </w:rPr>
              <w:t xml:space="preserve"> que el llamado fue publicado en la página web de compras e</w:t>
            </w:r>
            <w:r w:rsidR="009E0C2F" w:rsidRPr="00926D6E">
              <w:rPr>
                <w:rFonts w:ascii="Arial" w:hAnsi="Arial" w:cs="Arial"/>
                <w:sz w:val="24"/>
                <w:szCs w:val="24"/>
                <w:lang w:eastAsia="es-ES"/>
              </w:rPr>
              <w:t>statales, con fecha 05/08/2016;</w:t>
            </w:r>
          </w:p>
          <w:p w:rsidR="009E0C2F" w:rsidRPr="00926D6E" w:rsidRDefault="00006065" w:rsidP="009E0C2F">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2)</w:t>
            </w:r>
            <w:r w:rsidRPr="00926D6E">
              <w:rPr>
                <w:rFonts w:ascii="Arial" w:hAnsi="Arial" w:cs="Arial"/>
                <w:sz w:val="24"/>
                <w:szCs w:val="24"/>
                <w:lang w:eastAsia="es-ES"/>
              </w:rPr>
              <w:t xml:space="preserve"> que el Pliego de Condiciones</w:t>
            </w:r>
            <w:r w:rsidR="009E0C2F" w:rsidRPr="00926D6E">
              <w:rPr>
                <w:rFonts w:ascii="Arial" w:hAnsi="Arial" w:cs="Arial"/>
                <w:sz w:val="24"/>
                <w:szCs w:val="24"/>
                <w:lang w:eastAsia="es-ES"/>
              </w:rPr>
              <w:t xml:space="preserve"> establece entre otros: </w:t>
            </w:r>
            <w:r w:rsidR="009E0C2F" w:rsidRPr="00926D6E">
              <w:rPr>
                <w:rFonts w:ascii="Arial" w:hAnsi="Arial" w:cs="Arial"/>
                <w:b/>
                <w:sz w:val="24"/>
                <w:szCs w:val="24"/>
                <w:lang w:eastAsia="es-ES"/>
              </w:rPr>
              <w:t>2.1)</w:t>
            </w:r>
            <w:r w:rsidR="009E0C2F" w:rsidRPr="00926D6E">
              <w:rPr>
                <w:rFonts w:ascii="Arial" w:hAnsi="Arial" w:cs="Arial"/>
                <w:sz w:val="24"/>
                <w:szCs w:val="24"/>
                <w:lang w:eastAsia="es-ES"/>
              </w:rPr>
              <w:t xml:space="preserve"> el A</w:t>
            </w:r>
            <w:r w:rsidRPr="00926D6E">
              <w:rPr>
                <w:rFonts w:ascii="Arial" w:hAnsi="Arial" w:cs="Arial"/>
                <w:sz w:val="24"/>
                <w:szCs w:val="24"/>
                <w:lang w:eastAsia="es-ES"/>
              </w:rPr>
              <w:t>rtículo 16 que los oferentes, en caso de ser persona jurídica, deberán acompañar certificado notarial que acredite la personería, representación y vigencia de la misma e integración del Directorio si correspondiere, así como el cumplimiento de la Ley 18.930</w:t>
            </w:r>
            <w:r w:rsidR="009E0C2F" w:rsidRPr="00926D6E">
              <w:rPr>
                <w:rFonts w:ascii="Arial" w:hAnsi="Arial" w:cs="Arial"/>
                <w:sz w:val="24"/>
                <w:szCs w:val="24"/>
                <w:lang w:eastAsia="es-ES"/>
              </w:rPr>
              <w:t>;</w:t>
            </w:r>
          </w:p>
          <w:p w:rsidR="00006065" w:rsidRPr="00926D6E" w:rsidRDefault="00006065" w:rsidP="009E0C2F">
            <w:pPr>
              <w:spacing w:after="0" w:line="360" w:lineRule="auto"/>
              <w:jc w:val="both"/>
              <w:rPr>
                <w:rFonts w:ascii="Arial" w:hAnsi="Arial" w:cs="Arial"/>
                <w:sz w:val="24"/>
                <w:szCs w:val="24"/>
                <w:lang w:eastAsia="es-ES"/>
              </w:rPr>
            </w:pPr>
            <w:r w:rsidRPr="00926D6E">
              <w:rPr>
                <w:rFonts w:ascii="Arial" w:hAnsi="Arial" w:cs="Arial"/>
                <w:b/>
                <w:sz w:val="24"/>
                <w:szCs w:val="24"/>
                <w:lang w:eastAsia="es-ES"/>
              </w:rPr>
              <w:t>2.2)</w:t>
            </w:r>
            <w:r w:rsidRPr="00926D6E">
              <w:rPr>
                <w:rFonts w:ascii="Arial" w:hAnsi="Arial" w:cs="Arial"/>
                <w:sz w:val="24"/>
                <w:szCs w:val="24"/>
                <w:lang w:eastAsia="es-ES"/>
              </w:rPr>
              <w:t xml:space="preserve"> el </w:t>
            </w:r>
            <w:r w:rsidR="009E0C2F" w:rsidRPr="00926D6E">
              <w:rPr>
                <w:rFonts w:ascii="Arial" w:hAnsi="Arial" w:cs="Arial"/>
                <w:sz w:val="24"/>
                <w:szCs w:val="24"/>
                <w:lang w:eastAsia="es-ES"/>
              </w:rPr>
              <w:t>A</w:t>
            </w:r>
            <w:r w:rsidRPr="00926D6E">
              <w:rPr>
                <w:rFonts w:ascii="Arial" w:hAnsi="Arial" w:cs="Arial"/>
                <w:sz w:val="24"/>
                <w:szCs w:val="24"/>
                <w:lang w:eastAsia="es-ES"/>
              </w:rPr>
              <w:t>rtículo 19  que los criterios de para la evaluación de las propuestas, (establecidos en el artículo 39 de la Memoria Descriptiva): precio: 50%; antecedentes e idoneidad: 25%;  y propuesta: 25%;</w:t>
            </w:r>
          </w:p>
          <w:p w:rsidR="009E0C2F" w:rsidRPr="00926D6E" w:rsidRDefault="009E0C2F" w:rsidP="009E0C2F">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 xml:space="preserve"> </w:t>
            </w:r>
            <w:r w:rsidR="00006065" w:rsidRPr="00926D6E">
              <w:rPr>
                <w:rFonts w:ascii="Arial" w:hAnsi="Arial" w:cs="Arial"/>
                <w:b/>
                <w:sz w:val="24"/>
                <w:szCs w:val="24"/>
                <w:lang w:eastAsia="es-ES"/>
              </w:rPr>
              <w:t>3)</w:t>
            </w:r>
            <w:r w:rsidR="00006065" w:rsidRPr="00926D6E">
              <w:rPr>
                <w:rFonts w:ascii="Arial" w:hAnsi="Arial" w:cs="Arial"/>
                <w:sz w:val="24"/>
                <w:szCs w:val="24"/>
                <w:lang w:eastAsia="es-ES"/>
              </w:rPr>
              <w:t xml:space="preserve"> que la Memoria Descriptiva establece:</w:t>
            </w:r>
          </w:p>
          <w:p w:rsidR="009E0C2F" w:rsidRPr="00926D6E" w:rsidRDefault="00006065" w:rsidP="009E0C2F">
            <w:pPr>
              <w:spacing w:after="0" w:line="360" w:lineRule="auto"/>
              <w:jc w:val="both"/>
              <w:rPr>
                <w:rFonts w:ascii="Arial" w:hAnsi="Arial" w:cs="Arial"/>
                <w:sz w:val="24"/>
                <w:szCs w:val="24"/>
                <w:lang w:eastAsia="es-ES"/>
              </w:rPr>
            </w:pPr>
            <w:r w:rsidRPr="00926D6E">
              <w:rPr>
                <w:rFonts w:ascii="Arial" w:hAnsi="Arial" w:cs="Arial"/>
                <w:b/>
                <w:sz w:val="24"/>
                <w:szCs w:val="24"/>
                <w:lang w:eastAsia="es-ES"/>
              </w:rPr>
              <w:t>3.1)</w:t>
            </w:r>
            <w:r w:rsidRPr="00926D6E">
              <w:rPr>
                <w:rFonts w:ascii="Arial" w:hAnsi="Arial" w:cs="Arial"/>
                <w:sz w:val="24"/>
                <w:szCs w:val="24"/>
                <w:lang w:eastAsia="es-ES"/>
              </w:rPr>
              <w:t xml:space="preserve">  determinadas condiciones al adjudicatario, entre ellas la prevista en su </w:t>
            </w:r>
            <w:r w:rsidR="009E0C2F" w:rsidRPr="00926D6E">
              <w:rPr>
                <w:rFonts w:ascii="Arial" w:hAnsi="Arial" w:cs="Arial"/>
                <w:sz w:val="24"/>
                <w:szCs w:val="24"/>
                <w:lang w:eastAsia="es-ES"/>
              </w:rPr>
              <w:t>L</w:t>
            </w:r>
            <w:r w:rsidRPr="00926D6E">
              <w:rPr>
                <w:rFonts w:ascii="Arial" w:hAnsi="Arial" w:cs="Arial"/>
                <w:sz w:val="24"/>
                <w:szCs w:val="24"/>
                <w:lang w:eastAsia="es-ES"/>
              </w:rPr>
              <w:t xml:space="preserve">iteral </w:t>
            </w:r>
            <w:r w:rsidR="009E0C2F" w:rsidRPr="00926D6E">
              <w:rPr>
                <w:rFonts w:ascii="Arial" w:hAnsi="Arial" w:cs="Arial"/>
                <w:sz w:val="24"/>
                <w:szCs w:val="24"/>
                <w:lang w:eastAsia="es-ES"/>
              </w:rPr>
              <w:t>A</w:t>
            </w:r>
            <w:r w:rsidRPr="00926D6E">
              <w:rPr>
                <w:rFonts w:ascii="Arial" w:hAnsi="Arial" w:cs="Arial"/>
                <w:sz w:val="24"/>
                <w:szCs w:val="24"/>
                <w:lang w:eastAsia="es-ES"/>
              </w:rPr>
              <w:t>) de contratar y presentar en forma obligatoria el seguro contra responsabilidad civil;</w:t>
            </w:r>
          </w:p>
          <w:p w:rsidR="002A5516" w:rsidRPr="00926D6E" w:rsidRDefault="00006065" w:rsidP="009E0C2F">
            <w:pPr>
              <w:spacing w:after="0" w:line="360" w:lineRule="auto"/>
              <w:jc w:val="both"/>
              <w:rPr>
                <w:rFonts w:ascii="Arial" w:hAnsi="Arial" w:cs="Arial"/>
                <w:sz w:val="24"/>
                <w:szCs w:val="24"/>
                <w:lang w:eastAsia="es-ES"/>
              </w:rPr>
            </w:pPr>
            <w:r w:rsidRPr="00926D6E">
              <w:rPr>
                <w:rFonts w:ascii="Arial" w:hAnsi="Arial" w:cs="Arial"/>
                <w:b/>
                <w:sz w:val="24"/>
                <w:szCs w:val="24"/>
                <w:lang w:eastAsia="es-ES"/>
              </w:rPr>
              <w:t>3.2)</w:t>
            </w:r>
            <w:r w:rsidRPr="00926D6E">
              <w:rPr>
                <w:rFonts w:ascii="Arial" w:hAnsi="Arial" w:cs="Arial"/>
                <w:sz w:val="24"/>
                <w:szCs w:val="24"/>
                <w:lang w:eastAsia="es-ES"/>
              </w:rPr>
              <w:t xml:space="preserve"> en el </w:t>
            </w:r>
            <w:r w:rsidR="009E0C2F" w:rsidRPr="00926D6E">
              <w:rPr>
                <w:rFonts w:ascii="Arial" w:hAnsi="Arial" w:cs="Arial"/>
                <w:sz w:val="24"/>
                <w:szCs w:val="24"/>
                <w:lang w:eastAsia="es-ES"/>
              </w:rPr>
              <w:t>A</w:t>
            </w:r>
            <w:r w:rsidRPr="00926D6E">
              <w:rPr>
                <w:rFonts w:ascii="Arial" w:hAnsi="Arial" w:cs="Arial"/>
                <w:sz w:val="24"/>
                <w:szCs w:val="24"/>
                <w:lang w:eastAsia="es-ES"/>
              </w:rPr>
              <w:t>rt</w:t>
            </w:r>
            <w:r w:rsidR="009E0C2F" w:rsidRPr="00926D6E">
              <w:rPr>
                <w:rFonts w:ascii="Arial" w:hAnsi="Arial" w:cs="Arial"/>
                <w:sz w:val="24"/>
                <w:szCs w:val="24"/>
                <w:lang w:eastAsia="es-ES"/>
              </w:rPr>
              <w:t>ículo</w:t>
            </w:r>
            <w:r w:rsidRPr="00926D6E">
              <w:rPr>
                <w:rFonts w:ascii="Arial" w:hAnsi="Arial" w:cs="Arial"/>
                <w:sz w:val="24"/>
                <w:szCs w:val="24"/>
                <w:lang w:eastAsia="es-ES"/>
              </w:rPr>
              <w:t xml:space="preserve"> 24,  la prohibición al concesionario de realizar construcciones fijas, desmontables o móviles ajenas a los servicios licitados, con excepción de las correspondientes a la protección del personal a cargo. La cantidad, diseño y </w:t>
            </w:r>
            <w:r w:rsidRPr="00926D6E">
              <w:rPr>
                <w:rFonts w:ascii="Arial" w:hAnsi="Arial" w:cs="Arial"/>
                <w:sz w:val="24"/>
                <w:szCs w:val="24"/>
                <w:lang w:eastAsia="es-ES"/>
              </w:rPr>
              <w:lastRenderedPageBreak/>
              <w:t>estructura básica de las construcciones se establecerán en la propuesta, debiendo tenerse presente que:</w:t>
            </w:r>
          </w:p>
          <w:p w:rsidR="002A5516" w:rsidRPr="00926D6E" w:rsidRDefault="00006065" w:rsidP="009E0C2F">
            <w:pPr>
              <w:spacing w:after="0" w:line="360" w:lineRule="auto"/>
              <w:jc w:val="both"/>
              <w:rPr>
                <w:rFonts w:ascii="Arial" w:hAnsi="Arial" w:cs="Arial"/>
                <w:sz w:val="24"/>
                <w:szCs w:val="24"/>
                <w:lang w:eastAsia="es-ES"/>
              </w:rPr>
            </w:pPr>
            <w:r w:rsidRPr="00926D6E">
              <w:rPr>
                <w:rFonts w:ascii="Arial" w:hAnsi="Arial" w:cs="Arial"/>
                <w:b/>
                <w:sz w:val="24"/>
                <w:szCs w:val="24"/>
                <w:lang w:eastAsia="es-ES"/>
              </w:rPr>
              <w:t>a)</w:t>
            </w:r>
            <w:r w:rsidRPr="00926D6E">
              <w:rPr>
                <w:rFonts w:ascii="Arial" w:hAnsi="Arial" w:cs="Arial"/>
                <w:sz w:val="24"/>
                <w:szCs w:val="24"/>
                <w:lang w:eastAsia="es-ES"/>
              </w:rPr>
              <w:t xml:space="preserve"> sólo se admitirán estructuras de madera de 3mts. x 3mts., con techo liviano</w:t>
            </w:r>
            <w:r w:rsidR="002A5516" w:rsidRPr="00926D6E">
              <w:rPr>
                <w:rFonts w:ascii="Arial" w:hAnsi="Arial" w:cs="Arial"/>
                <w:sz w:val="24"/>
                <w:szCs w:val="24"/>
                <w:lang w:eastAsia="es-ES"/>
              </w:rPr>
              <w:t>;</w:t>
            </w:r>
          </w:p>
          <w:p w:rsidR="002A5516" w:rsidRPr="00926D6E" w:rsidRDefault="00006065" w:rsidP="009E0C2F">
            <w:pPr>
              <w:spacing w:after="0" w:line="360" w:lineRule="auto"/>
              <w:jc w:val="both"/>
              <w:rPr>
                <w:rFonts w:ascii="Arial" w:hAnsi="Arial" w:cs="Arial"/>
                <w:sz w:val="24"/>
                <w:szCs w:val="24"/>
                <w:lang w:eastAsia="es-ES"/>
              </w:rPr>
            </w:pPr>
            <w:r w:rsidRPr="00926D6E">
              <w:rPr>
                <w:rFonts w:ascii="Arial" w:hAnsi="Arial" w:cs="Arial"/>
                <w:b/>
                <w:sz w:val="24"/>
                <w:szCs w:val="24"/>
                <w:lang w:eastAsia="es-ES"/>
              </w:rPr>
              <w:t>b)</w:t>
            </w:r>
            <w:r w:rsidRPr="00926D6E">
              <w:rPr>
                <w:rFonts w:ascii="Arial" w:hAnsi="Arial" w:cs="Arial"/>
                <w:sz w:val="24"/>
                <w:szCs w:val="24"/>
                <w:lang w:eastAsia="es-ES"/>
              </w:rPr>
              <w:t xml:space="preserve"> las estructuras no podrán superar los 2 </w:t>
            </w:r>
            <w:proofErr w:type="spellStart"/>
            <w:r w:rsidRPr="00926D6E">
              <w:rPr>
                <w:rFonts w:ascii="Arial" w:hAnsi="Arial" w:cs="Arial"/>
                <w:sz w:val="24"/>
                <w:szCs w:val="24"/>
                <w:lang w:eastAsia="es-ES"/>
              </w:rPr>
              <w:t>mts</w:t>
            </w:r>
            <w:proofErr w:type="spellEnd"/>
            <w:r w:rsidRPr="00926D6E">
              <w:rPr>
                <w:rFonts w:ascii="Arial" w:hAnsi="Arial" w:cs="Arial"/>
                <w:sz w:val="24"/>
                <w:szCs w:val="24"/>
                <w:lang w:eastAsia="es-ES"/>
              </w:rPr>
              <w:t>. de altura;</w:t>
            </w:r>
          </w:p>
          <w:p w:rsidR="002A5516" w:rsidRPr="00926D6E" w:rsidRDefault="00006065" w:rsidP="009E0C2F">
            <w:pPr>
              <w:spacing w:after="0" w:line="360" w:lineRule="auto"/>
              <w:jc w:val="both"/>
              <w:rPr>
                <w:rFonts w:ascii="Arial" w:hAnsi="Arial" w:cs="Arial"/>
                <w:sz w:val="24"/>
                <w:szCs w:val="24"/>
                <w:lang w:eastAsia="es-ES"/>
              </w:rPr>
            </w:pPr>
            <w:r w:rsidRPr="00926D6E">
              <w:rPr>
                <w:rFonts w:ascii="Arial" w:hAnsi="Arial" w:cs="Arial"/>
                <w:b/>
                <w:sz w:val="24"/>
                <w:szCs w:val="24"/>
                <w:lang w:eastAsia="es-ES"/>
              </w:rPr>
              <w:t>c)</w:t>
            </w:r>
            <w:r w:rsidRPr="00926D6E">
              <w:rPr>
                <w:rFonts w:ascii="Arial" w:hAnsi="Arial" w:cs="Arial"/>
                <w:sz w:val="24"/>
                <w:szCs w:val="24"/>
                <w:lang w:eastAsia="es-ES"/>
              </w:rPr>
              <w:t xml:space="preserve"> las mismas no pueden ser cerradas;</w:t>
            </w:r>
          </w:p>
          <w:p w:rsidR="002A5516" w:rsidRPr="00926D6E" w:rsidRDefault="00006065" w:rsidP="002A5516">
            <w:pPr>
              <w:spacing w:after="0" w:line="360" w:lineRule="auto"/>
              <w:ind w:left="294" w:hanging="284"/>
              <w:jc w:val="both"/>
              <w:rPr>
                <w:rFonts w:ascii="Arial" w:hAnsi="Arial" w:cs="Arial"/>
                <w:sz w:val="24"/>
                <w:szCs w:val="24"/>
                <w:lang w:eastAsia="es-ES"/>
              </w:rPr>
            </w:pPr>
            <w:r w:rsidRPr="00926D6E">
              <w:rPr>
                <w:rFonts w:ascii="Arial" w:hAnsi="Arial" w:cs="Arial"/>
                <w:b/>
                <w:sz w:val="24"/>
                <w:szCs w:val="24"/>
                <w:lang w:eastAsia="es-ES"/>
              </w:rPr>
              <w:t>d)</w:t>
            </w:r>
            <w:r w:rsidRPr="00926D6E">
              <w:rPr>
                <w:rFonts w:ascii="Arial" w:hAnsi="Arial" w:cs="Arial"/>
                <w:sz w:val="24"/>
                <w:szCs w:val="24"/>
                <w:lang w:eastAsia="es-ES"/>
              </w:rPr>
              <w:t xml:space="preserve"> el piso será sobre la arena o, en su defecto, </w:t>
            </w:r>
            <w:r w:rsidR="002A5516" w:rsidRPr="00926D6E">
              <w:rPr>
                <w:rFonts w:ascii="Arial" w:hAnsi="Arial" w:cs="Arial"/>
                <w:sz w:val="24"/>
                <w:szCs w:val="24"/>
                <w:lang w:eastAsia="es-ES"/>
              </w:rPr>
              <w:t xml:space="preserve">un </w:t>
            </w:r>
            <w:proofErr w:type="spellStart"/>
            <w:r w:rsidR="002A5516" w:rsidRPr="00926D6E">
              <w:rPr>
                <w:rFonts w:ascii="Arial" w:hAnsi="Arial" w:cs="Arial"/>
                <w:sz w:val="24"/>
                <w:szCs w:val="24"/>
                <w:lang w:eastAsia="es-ES"/>
              </w:rPr>
              <w:t>deck</w:t>
            </w:r>
            <w:proofErr w:type="spellEnd"/>
            <w:r w:rsidR="002A5516" w:rsidRPr="00926D6E">
              <w:rPr>
                <w:rFonts w:ascii="Arial" w:hAnsi="Arial" w:cs="Arial"/>
                <w:sz w:val="24"/>
                <w:szCs w:val="24"/>
                <w:lang w:eastAsia="es-ES"/>
              </w:rPr>
              <w:t xml:space="preserve"> apoyado sobre la misma;</w:t>
            </w:r>
          </w:p>
          <w:p w:rsidR="00006065" w:rsidRPr="00926D6E" w:rsidRDefault="00006065" w:rsidP="002A5516">
            <w:pPr>
              <w:spacing w:after="0" w:line="360" w:lineRule="auto"/>
              <w:ind w:left="294" w:hanging="284"/>
              <w:jc w:val="both"/>
              <w:rPr>
                <w:rFonts w:ascii="Arial" w:hAnsi="Arial" w:cs="Arial"/>
                <w:sz w:val="24"/>
                <w:szCs w:val="24"/>
                <w:lang w:eastAsia="es-ES"/>
              </w:rPr>
            </w:pPr>
            <w:r w:rsidRPr="00926D6E">
              <w:rPr>
                <w:rFonts w:ascii="Arial" w:hAnsi="Arial" w:cs="Arial"/>
                <w:b/>
                <w:sz w:val="24"/>
                <w:szCs w:val="24"/>
                <w:lang w:eastAsia="es-ES"/>
              </w:rPr>
              <w:t>e)</w:t>
            </w:r>
            <w:r w:rsidRPr="00926D6E">
              <w:rPr>
                <w:rFonts w:ascii="Arial" w:hAnsi="Arial" w:cs="Arial"/>
                <w:sz w:val="24"/>
                <w:szCs w:val="24"/>
                <w:lang w:eastAsia="es-ES"/>
              </w:rPr>
              <w:t xml:space="preserve"> como alternativa, se puede colocar </w:t>
            </w:r>
            <w:proofErr w:type="spellStart"/>
            <w:r w:rsidRPr="00926D6E">
              <w:rPr>
                <w:rFonts w:ascii="Arial" w:hAnsi="Arial" w:cs="Arial"/>
                <w:sz w:val="24"/>
                <w:szCs w:val="24"/>
                <w:lang w:eastAsia="es-ES"/>
              </w:rPr>
              <w:t>gazebo</w:t>
            </w:r>
            <w:proofErr w:type="spellEnd"/>
            <w:r w:rsidRPr="00926D6E">
              <w:rPr>
                <w:rFonts w:ascii="Arial" w:hAnsi="Arial" w:cs="Arial"/>
                <w:sz w:val="24"/>
                <w:szCs w:val="24"/>
                <w:lang w:eastAsia="es-ES"/>
              </w:rPr>
              <w:t xml:space="preserve">, siempre que cumpla con las </w:t>
            </w:r>
            <w:r w:rsidR="002A5516" w:rsidRPr="00926D6E">
              <w:rPr>
                <w:rFonts w:ascii="Arial" w:hAnsi="Arial" w:cs="Arial"/>
                <w:sz w:val="24"/>
                <w:szCs w:val="24"/>
                <w:lang w:eastAsia="es-ES"/>
              </w:rPr>
              <w:t xml:space="preserve">  </w:t>
            </w:r>
            <w:r w:rsidRPr="00926D6E">
              <w:rPr>
                <w:rFonts w:ascii="Arial" w:hAnsi="Arial" w:cs="Arial"/>
                <w:sz w:val="24"/>
                <w:szCs w:val="24"/>
                <w:lang w:eastAsia="es-ES"/>
              </w:rPr>
              <w:t>dimensiones detalladas;</w:t>
            </w: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4)</w:t>
            </w:r>
            <w:r w:rsidRPr="00926D6E">
              <w:rPr>
                <w:rFonts w:ascii="Arial" w:hAnsi="Arial" w:cs="Arial"/>
                <w:sz w:val="24"/>
                <w:szCs w:val="24"/>
                <w:lang w:eastAsia="es-ES"/>
              </w:rPr>
              <w:t xml:space="preserve"> que con fecha 19/08/2016 ,se llevó a cabo el acto de recepción de ofertas, recibiéndose una única propuesta presentada por Nicolás </w:t>
            </w:r>
            <w:proofErr w:type="spellStart"/>
            <w:r w:rsidRPr="00926D6E">
              <w:rPr>
                <w:rFonts w:ascii="Arial" w:hAnsi="Arial" w:cs="Arial"/>
                <w:sz w:val="24"/>
                <w:szCs w:val="24"/>
                <w:lang w:eastAsia="es-ES"/>
              </w:rPr>
              <w:t>Marchetti</w:t>
            </w:r>
            <w:proofErr w:type="spellEnd"/>
            <w:r w:rsidRPr="00926D6E">
              <w:rPr>
                <w:rFonts w:ascii="Arial" w:hAnsi="Arial" w:cs="Arial"/>
                <w:sz w:val="24"/>
                <w:szCs w:val="24"/>
                <w:lang w:eastAsia="es-ES"/>
              </w:rPr>
              <w:t xml:space="preserve"> quien se compromete a prestar el servicio licitado ofreciendo un canon para la primera temporada de $ 115.000 en efectivo, y además  becas como aporte a la comunidad, valuados en $ 190.200;</w:t>
            </w: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5)</w:t>
            </w:r>
            <w:r w:rsidRPr="00926D6E">
              <w:rPr>
                <w:rFonts w:ascii="Arial" w:hAnsi="Arial" w:cs="Arial"/>
                <w:sz w:val="24"/>
                <w:szCs w:val="24"/>
                <w:lang w:eastAsia="es-ES"/>
              </w:rPr>
              <w:t xml:space="preserve"> que la oferta presentada fue analizada por la Dirección de Medio Ambiente que, con fecha 14/10/16, informó que en la misma  no se hace referencia a la contratación de seguro obligatorio (</w:t>
            </w:r>
            <w:r w:rsidR="002A5516" w:rsidRPr="00926D6E">
              <w:rPr>
                <w:rFonts w:ascii="Arial" w:hAnsi="Arial" w:cs="Arial"/>
                <w:sz w:val="24"/>
                <w:szCs w:val="24"/>
                <w:lang w:eastAsia="es-ES"/>
              </w:rPr>
              <w:t>A</w:t>
            </w:r>
            <w:r w:rsidRPr="00926D6E">
              <w:rPr>
                <w:rFonts w:ascii="Arial" w:hAnsi="Arial" w:cs="Arial"/>
                <w:sz w:val="24"/>
                <w:szCs w:val="24"/>
                <w:lang w:eastAsia="es-ES"/>
              </w:rPr>
              <w:t>rt</w:t>
            </w:r>
            <w:r w:rsidR="002A5516" w:rsidRPr="00926D6E">
              <w:rPr>
                <w:rFonts w:ascii="Arial" w:hAnsi="Arial" w:cs="Arial"/>
                <w:sz w:val="24"/>
                <w:szCs w:val="24"/>
                <w:lang w:eastAsia="es-ES"/>
              </w:rPr>
              <w:t>ículo</w:t>
            </w:r>
            <w:r w:rsidRPr="00926D6E">
              <w:rPr>
                <w:rFonts w:ascii="Arial" w:hAnsi="Arial" w:cs="Arial"/>
                <w:sz w:val="24"/>
                <w:szCs w:val="24"/>
                <w:lang w:eastAsia="es-ES"/>
              </w:rPr>
              <w:t xml:space="preserve"> 13 </w:t>
            </w:r>
            <w:r w:rsidR="002A5516" w:rsidRPr="00926D6E">
              <w:rPr>
                <w:rFonts w:ascii="Arial" w:hAnsi="Arial" w:cs="Arial"/>
                <w:sz w:val="24"/>
                <w:szCs w:val="24"/>
                <w:lang w:eastAsia="es-ES"/>
              </w:rPr>
              <w:t>I</w:t>
            </w:r>
            <w:r w:rsidRPr="00926D6E">
              <w:rPr>
                <w:rFonts w:ascii="Arial" w:hAnsi="Arial" w:cs="Arial"/>
                <w:sz w:val="24"/>
                <w:szCs w:val="24"/>
                <w:lang w:eastAsia="es-ES"/>
              </w:rPr>
              <w:t>nc</w:t>
            </w:r>
            <w:r w:rsidR="002A5516" w:rsidRPr="00926D6E">
              <w:rPr>
                <w:rFonts w:ascii="Arial" w:hAnsi="Arial" w:cs="Arial"/>
                <w:sz w:val="24"/>
                <w:szCs w:val="24"/>
                <w:lang w:eastAsia="es-ES"/>
              </w:rPr>
              <w:t>iso</w:t>
            </w:r>
            <w:r w:rsidRPr="00926D6E">
              <w:rPr>
                <w:rFonts w:ascii="Arial" w:hAnsi="Arial" w:cs="Arial"/>
                <w:sz w:val="24"/>
                <w:szCs w:val="24"/>
                <w:lang w:eastAsia="es-ES"/>
              </w:rPr>
              <w:t xml:space="preserve"> </w:t>
            </w:r>
            <w:r w:rsidR="002A5516" w:rsidRPr="00926D6E">
              <w:rPr>
                <w:rFonts w:ascii="Arial" w:hAnsi="Arial" w:cs="Arial"/>
                <w:sz w:val="24"/>
                <w:szCs w:val="24"/>
                <w:lang w:eastAsia="es-ES"/>
              </w:rPr>
              <w:t>A)</w:t>
            </w:r>
            <w:r w:rsidRPr="00926D6E">
              <w:rPr>
                <w:rFonts w:ascii="Arial" w:hAnsi="Arial" w:cs="Arial"/>
                <w:sz w:val="24"/>
                <w:szCs w:val="24"/>
                <w:lang w:eastAsia="es-ES"/>
              </w:rPr>
              <w:t xml:space="preserve"> de la Memoria Descriptiva); las instalaciones propuestas no respetan las medidas establecidas en el </w:t>
            </w:r>
            <w:r w:rsidR="002A5516" w:rsidRPr="00926D6E">
              <w:rPr>
                <w:rFonts w:ascii="Arial" w:hAnsi="Arial" w:cs="Arial"/>
                <w:sz w:val="24"/>
                <w:szCs w:val="24"/>
                <w:lang w:eastAsia="es-ES"/>
              </w:rPr>
              <w:t>A</w:t>
            </w:r>
            <w:r w:rsidRPr="00926D6E">
              <w:rPr>
                <w:rFonts w:ascii="Arial" w:hAnsi="Arial" w:cs="Arial"/>
                <w:sz w:val="24"/>
                <w:szCs w:val="24"/>
                <w:lang w:eastAsia="es-ES"/>
              </w:rPr>
              <w:t>rtículo 24 de la Memoria Descriptiva, sugiriendo , no obstante  la</w:t>
            </w:r>
            <w:r w:rsidR="002A5516" w:rsidRPr="00926D6E">
              <w:rPr>
                <w:rFonts w:ascii="Arial" w:hAnsi="Arial" w:cs="Arial"/>
                <w:sz w:val="24"/>
                <w:szCs w:val="24"/>
                <w:lang w:eastAsia="es-ES"/>
              </w:rPr>
              <w:t xml:space="preserve"> adjudicación al Sr. </w:t>
            </w:r>
            <w:proofErr w:type="spellStart"/>
            <w:r w:rsidR="002A5516" w:rsidRPr="00926D6E">
              <w:rPr>
                <w:rFonts w:ascii="Arial" w:hAnsi="Arial" w:cs="Arial"/>
                <w:sz w:val="24"/>
                <w:szCs w:val="24"/>
                <w:lang w:eastAsia="es-ES"/>
              </w:rPr>
              <w:t>Marchetti</w:t>
            </w:r>
            <w:proofErr w:type="spellEnd"/>
            <w:r w:rsidR="002A5516" w:rsidRPr="00926D6E">
              <w:rPr>
                <w:rFonts w:ascii="Arial" w:hAnsi="Arial" w:cs="Arial"/>
                <w:sz w:val="24"/>
                <w:szCs w:val="24"/>
                <w:lang w:eastAsia="es-ES"/>
              </w:rPr>
              <w:t>;</w:t>
            </w: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6)</w:t>
            </w:r>
            <w:r w:rsidRPr="00926D6E">
              <w:rPr>
                <w:rFonts w:ascii="Arial" w:hAnsi="Arial" w:cs="Arial"/>
                <w:sz w:val="24"/>
                <w:szCs w:val="24"/>
                <w:lang w:eastAsia="es-ES"/>
              </w:rPr>
              <w:t xml:space="preserve"> que la Comisión Asesora de Adjudicaciones, con fecha 16/11/16 analizo el informe técnico producido y, en base a los apartamientos del oferente a los pliegos y memoria descriptiva aconsejo declarar frustrado el llamado;</w:t>
            </w: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7)</w:t>
            </w:r>
            <w:r w:rsidRPr="00926D6E">
              <w:rPr>
                <w:rFonts w:ascii="Arial" w:hAnsi="Arial" w:cs="Arial"/>
                <w:sz w:val="24"/>
                <w:szCs w:val="24"/>
                <w:lang w:eastAsia="es-ES"/>
              </w:rPr>
              <w:t xml:space="preserve"> que por Resolución Nº 08529/2016 de  fecha 24/11/16 el Director General de Hacienda declaro frustrada la Licitación Abreviada 89/16 y dispuso la realización de un nuevo llamado, con bases y especificaciones </w:t>
            </w:r>
            <w:r w:rsidR="002A5516" w:rsidRPr="00926D6E">
              <w:rPr>
                <w:rFonts w:ascii="Arial" w:hAnsi="Arial" w:cs="Arial"/>
                <w:sz w:val="24"/>
                <w:szCs w:val="24"/>
                <w:lang w:eastAsia="es-ES"/>
              </w:rPr>
              <w:t>idénticas;</w:t>
            </w:r>
          </w:p>
          <w:p w:rsidR="005420AA" w:rsidRPr="00926D6E" w:rsidRDefault="005420AA" w:rsidP="002A5516">
            <w:pPr>
              <w:spacing w:after="0" w:line="360" w:lineRule="auto"/>
              <w:ind w:firstLine="2562"/>
              <w:jc w:val="both"/>
              <w:rPr>
                <w:rFonts w:ascii="Arial" w:hAnsi="Arial" w:cs="Arial"/>
                <w:b/>
                <w:sz w:val="24"/>
                <w:szCs w:val="24"/>
                <w:lang w:eastAsia="es-ES"/>
              </w:rPr>
            </w:pP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lastRenderedPageBreak/>
              <w:t>8)</w:t>
            </w:r>
            <w:r w:rsidRPr="00926D6E">
              <w:rPr>
                <w:rFonts w:ascii="Arial" w:hAnsi="Arial" w:cs="Arial"/>
                <w:sz w:val="24"/>
                <w:szCs w:val="24"/>
                <w:lang w:eastAsia="es-ES"/>
              </w:rPr>
              <w:t xml:space="preserve"> que con fecha 25/11/16, se efectuó publicación en la página web de compras y servicios estatales, en cuya oportunidad se establece que la fecha de recepción de ofertas es el 01/12/16 y se identifica el llamado con el número 989/16;</w:t>
            </w: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9)</w:t>
            </w:r>
            <w:r w:rsidRPr="00926D6E">
              <w:rPr>
                <w:rFonts w:ascii="Arial" w:hAnsi="Arial" w:cs="Arial"/>
                <w:sz w:val="24"/>
                <w:szCs w:val="24"/>
                <w:lang w:eastAsia="es-ES"/>
              </w:rPr>
              <w:t xml:space="preserve"> que consta Acta de recepción de ofertas fechada el 1º de agosto de 2016 en la que se establece que se recibe una única oferta presentada por Nicolás </w:t>
            </w:r>
            <w:proofErr w:type="spellStart"/>
            <w:r w:rsidRPr="00926D6E">
              <w:rPr>
                <w:rFonts w:ascii="Arial" w:hAnsi="Arial" w:cs="Arial"/>
                <w:sz w:val="24"/>
                <w:szCs w:val="24"/>
                <w:lang w:eastAsia="es-ES"/>
              </w:rPr>
              <w:t>Marchetti</w:t>
            </w:r>
            <w:proofErr w:type="spellEnd"/>
            <w:r w:rsidRPr="00926D6E">
              <w:rPr>
                <w:rFonts w:ascii="Arial" w:hAnsi="Arial" w:cs="Arial"/>
                <w:sz w:val="24"/>
                <w:szCs w:val="24"/>
                <w:lang w:eastAsia="es-ES"/>
              </w:rPr>
              <w:t xml:space="preserve"> quien se compromete a cumplir con el servicio licitado ofreciendo un canon en la primera temporada de $ 115.000 en efectivo y, como aporte a la comunidad ofrece becas y servicios valuados en $ 100.200;</w:t>
            </w: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10)</w:t>
            </w:r>
            <w:r w:rsidRPr="00926D6E">
              <w:rPr>
                <w:rFonts w:ascii="Arial" w:hAnsi="Arial" w:cs="Arial"/>
                <w:sz w:val="24"/>
                <w:szCs w:val="24"/>
                <w:lang w:eastAsia="es-ES"/>
              </w:rPr>
              <w:t xml:space="preserve"> que con fecha 15/12/2016, la Dirección de Medio Ambiente informo que la propuesta presentada se ajusta al  Plie</w:t>
            </w:r>
            <w:r w:rsidR="002A5516" w:rsidRPr="00926D6E">
              <w:rPr>
                <w:rFonts w:ascii="Arial" w:hAnsi="Arial" w:cs="Arial"/>
                <w:sz w:val="24"/>
                <w:szCs w:val="24"/>
                <w:lang w:eastAsia="es-ES"/>
              </w:rPr>
              <w:t>go y a  la Memoria Descriptiva;</w:t>
            </w: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11)</w:t>
            </w:r>
            <w:r w:rsidRPr="00926D6E">
              <w:rPr>
                <w:rFonts w:ascii="Arial" w:hAnsi="Arial" w:cs="Arial"/>
                <w:sz w:val="24"/>
                <w:szCs w:val="24"/>
                <w:lang w:eastAsia="es-ES"/>
              </w:rPr>
              <w:t xml:space="preserve"> que la Comisión Asesora de Adjudicaciones ,en informe de fecha 17/12/2016, aconsejo adjudicar el llamado al señor Nicolás </w:t>
            </w:r>
            <w:proofErr w:type="spellStart"/>
            <w:r w:rsidRPr="00926D6E">
              <w:rPr>
                <w:rFonts w:ascii="Arial" w:hAnsi="Arial" w:cs="Arial"/>
                <w:sz w:val="24"/>
                <w:szCs w:val="24"/>
                <w:lang w:eastAsia="es-ES"/>
              </w:rPr>
              <w:t>Marchetti</w:t>
            </w:r>
            <w:proofErr w:type="spellEnd"/>
            <w:r w:rsidRPr="00926D6E">
              <w:rPr>
                <w:rFonts w:ascii="Arial" w:hAnsi="Arial" w:cs="Arial"/>
                <w:sz w:val="24"/>
                <w:szCs w:val="24"/>
                <w:lang w:eastAsia="es-ES"/>
              </w:rPr>
              <w:t>;</w:t>
            </w:r>
          </w:p>
          <w:p w:rsidR="00006065" w:rsidRPr="00926D6E" w:rsidRDefault="00006065" w:rsidP="002A5516">
            <w:pPr>
              <w:spacing w:after="0" w:line="360" w:lineRule="auto"/>
              <w:ind w:firstLine="2562"/>
              <w:jc w:val="both"/>
              <w:rPr>
                <w:rFonts w:ascii="Arial" w:hAnsi="Arial" w:cs="Arial"/>
                <w:sz w:val="24"/>
                <w:szCs w:val="24"/>
                <w:lang w:eastAsia="es-ES"/>
              </w:rPr>
            </w:pPr>
            <w:r w:rsidRPr="00926D6E">
              <w:rPr>
                <w:rFonts w:ascii="Arial" w:hAnsi="Arial" w:cs="Arial"/>
                <w:b/>
                <w:sz w:val="24"/>
                <w:szCs w:val="24"/>
                <w:lang w:eastAsia="es-ES"/>
              </w:rPr>
              <w:t>12)</w:t>
            </w:r>
            <w:r w:rsidRPr="00926D6E">
              <w:rPr>
                <w:rFonts w:ascii="Arial" w:hAnsi="Arial" w:cs="Arial"/>
                <w:sz w:val="24"/>
                <w:szCs w:val="24"/>
                <w:lang w:eastAsia="es-ES"/>
              </w:rPr>
              <w:t xml:space="preserve"> que por Resolución 00028/2017 de 03/01/17 el Director General de Hacienda adjudico, ad referéndum de la intervención del Tribunal de Cuentas, la referida licitación desde el 1º de diciembre de 2016 y hasta la finalización de la semana de turismo de 2017 a la empresa Nicolás </w:t>
            </w:r>
            <w:proofErr w:type="spellStart"/>
            <w:r w:rsidRPr="00926D6E">
              <w:rPr>
                <w:rFonts w:ascii="Arial" w:hAnsi="Arial" w:cs="Arial"/>
                <w:sz w:val="24"/>
                <w:szCs w:val="24"/>
                <w:lang w:eastAsia="es-ES"/>
              </w:rPr>
              <w:t>Marchetti</w:t>
            </w:r>
            <w:proofErr w:type="spellEnd"/>
            <w:r w:rsidRPr="00926D6E">
              <w:rPr>
                <w:rFonts w:ascii="Arial" w:hAnsi="Arial" w:cs="Arial"/>
                <w:sz w:val="24"/>
                <w:szCs w:val="24"/>
                <w:lang w:eastAsia="es-ES"/>
              </w:rPr>
              <w:t>, por un canon de $ 115.000, debiendo esta otorgar las becas y servicios propuestos y atendiendo a lo expresado en el informe técnico, con especial cuidado en el ajuste de las instalaciones, a lo que establece el artículo 24 de la Memoria descriptiva;</w:t>
            </w:r>
          </w:p>
          <w:p w:rsidR="00006065" w:rsidRPr="00926D6E" w:rsidRDefault="00006065" w:rsidP="005420AA">
            <w:pPr>
              <w:spacing w:after="0" w:line="360" w:lineRule="auto"/>
              <w:ind w:firstLine="719"/>
              <w:jc w:val="both"/>
              <w:rPr>
                <w:rFonts w:ascii="Arial" w:hAnsi="Arial" w:cs="Arial"/>
                <w:sz w:val="24"/>
                <w:szCs w:val="24"/>
                <w:lang w:eastAsia="es-ES"/>
              </w:rPr>
            </w:pPr>
            <w:r w:rsidRPr="00926D6E">
              <w:rPr>
                <w:rFonts w:ascii="Arial" w:hAnsi="Arial" w:cs="Arial"/>
                <w:b/>
                <w:sz w:val="24"/>
                <w:szCs w:val="24"/>
                <w:lang w:eastAsia="es-ES"/>
              </w:rPr>
              <w:t>CONSIDERANDO: 1)</w:t>
            </w:r>
            <w:r w:rsidRPr="00926D6E">
              <w:rPr>
                <w:rFonts w:ascii="Arial" w:hAnsi="Arial" w:cs="Arial"/>
                <w:sz w:val="24"/>
                <w:szCs w:val="24"/>
                <w:lang w:eastAsia="es-ES"/>
              </w:rPr>
              <w:t xml:space="preserve"> que la licitación abreviada 89/16 fue declarada frustrada, siendo en esta oportunidad el que se adjudica</w:t>
            </w:r>
            <w:r w:rsidR="005420AA" w:rsidRPr="00926D6E">
              <w:rPr>
                <w:rFonts w:ascii="Arial" w:hAnsi="Arial" w:cs="Arial"/>
                <w:sz w:val="24"/>
                <w:szCs w:val="24"/>
                <w:lang w:eastAsia="es-ES"/>
              </w:rPr>
              <w:t xml:space="preserve"> es</w:t>
            </w:r>
            <w:r w:rsidRPr="00926D6E">
              <w:rPr>
                <w:rFonts w:ascii="Arial" w:hAnsi="Arial" w:cs="Arial"/>
                <w:sz w:val="24"/>
                <w:szCs w:val="24"/>
                <w:lang w:eastAsia="es-ES"/>
              </w:rPr>
              <w:t xml:space="preserve"> </w:t>
            </w:r>
            <w:r w:rsidR="005420AA" w:rsidRPr="00926D6E">
              <w:rPr>
                <w:rFonts w:ascii="Arial" w:hAnsi="Arial" w:cs="Arial"/>
                <w:sz w:val="24"/>
                <w:szCs w:val="24"/>
                <w:lang w:eastAsia="es-ES"/>
              </w:rPr>
              <w:t>el procedimiento 989/16;</w:t>
            </w:r>
          </w:p>
          <w:p w:rsidR="005420AA" w:rsidRPr="00926D6E" w:rsidRDefault="005420AA" w:rsidP="005420AA">
            <w:pPr>
              <w:spacing w:after="0" w:line="360" w:lineRule="auto"/>
              <w:ind w:firstLine="2987"/>
              <w:jc w:val="both"/>
              <w:rPr>
                <w:rFonts w:ascii="Arial" w:hAnsi="Arial" w:cs="Arial"/>
                <w:b/>
                <w:sz w:val="24"/>
                <w:szCs w:val="24"/>
                <w:lang w:eastAsia="es-ES"/>
              </w:rPr>
            </w:pPr>
          </w:p>
          <w:p w:rsidR="005420AA" w:rsidRPr="00926D6E" w:rsidRDefault="005420AA" w:rsidP="005420AA">
            <w:pPr>
              <w:spacing w:after="0" w:line="360" w:lineRule="auto"/>
              <w:ind w:firstLine="2987"/>
              <w:jc w:val="both"/>
              <w:rPr>
                <w:rFonts w:ascii="Arial" w:hAnsi="Arial" w:cs="Arial"/>
                <w:b/>
                <w:sz w:val="24"/>
                <w:szCs w:val="24"/>
                <w:lang w:eastAsia="es-ES"/>
              </w:rPr>
            </w:pPr>
          </w:p>
          <w:p w:rsidR="00006065" w:rsidRPr="00926D6E" w:rsidRDefault="00006065" w:rsidP="005420AA">
            <w:pPr>
              <w:spacing w:after="0" w:line="360" w:lineRule="auto"/>
              <w:ind w:firstLine="2987"/>
              <w:jc w:val="both"/>
              <w:rPr>
                <w:rFonts w:ascii="Arial" w:hAnsi="Arial" w:cs="Arial"/>
                <w:sz w:val="24"/>
                <w:szCs w:val="24"/>
                <w:lang w:eastAsia="es-ES"/>
              </w:rPr>
            </w:pPr>
            <w:r w:rsidRPr="00926D6E">
              <w:rPr>
                <w:rFonts w:ascii="Arial" w:hAnsi="Arial" w:cs="Arial"/>
                <w:b/>
                <w:sz w:val="24"/>
                <w:szCs w:val="24"/>
                <w:lang w:eastAsia="es-ES"/>
              </w:rPr>
              <w:lastRenderedPageBreak/>
              <w:t>2)</w:t>
            </w:r>
            <w:r w:rsidRPr="00926D6E">
              <w:rPr>
                <w:rFonts w:ascii="Arial" w:hAnsi="Arial" w:cs="Arial"/>
                <w:sz w:val="24"/>
                <w:szCs w:val="24"/>
                <w:lang w:eastAsia="es-ES"/>
              </w:rPr>
              <w:t xml:space="preserve"> que el acta de recepción de ofertas que luce como fecha 01/08/16  no se corresponde con lo establecido en el llamado, en el que consta que la recepción de ofertas se haría efectiva el 01/12/16;</w:t>
            </w:r>
          </w:p>
          <w:p w:rsidR="00006065" w:rsidRPr="00926D6E" w:rsidRDefault="00006065" w:rsidP="005420AA">
            <w:pPr>
              <w:spacing w:after="0" w:line="360" w:lineRule="auto"/>
              <w:ind w:firstLine="2987"/>
              <w:jc w:val="both"/>
              <w:rPr>
                <w:rFonts w:ascii="Arial" w:hAnsi="Arial" w:cs="Arial"/>
                <w:sz w:val="24"/>
                <w:szCs w:val="24"/>
                <w:lang w:eastAsia="es-ES"/>
              </w:rPr>
            </w:pPr>
            <w:r w:rsidRPr="00926D6E">
              <w:rPr>
                <w:rFonts w:ascii="Arial" w:hAnsi="Arial" w:cs="Arial"/>
                <w:b/>
                <w:sz w:val="24"/>
                <w:szCs w:val="24"/>
                <w:lang w:eastAsia="es-ES"/>
              </w:rPr>
              <w:t>3)</w:t>
            </w:r>
            <w:r w:rsidRPr="00926D6E">
              <w:rPr>
                <w:rFonts w:ascii="Arial" w:hAnsi="Arial" w:cs="Arial"/>
                <w:sz w:val="24"/>
                <w:szCs w:val="24"/>
                <w:lang w:eastAsia="es-ES"/>
              </w:rPr>
              <w:t xml:space="preserve"> que los apartamientos a las especificaciones del </w:t>
            </w:r>
            <w:r w:rsidR="005420AA" w:rsidRPr="00926D6E">
              <w:rPr>
                <w:rFonts w:ascii="Arial" w:hAnsi="Arial" w:cs="Arial"/>
                <w:sz w:val="24"/>
                <w:szCs w:val="24"/>
                <w:lang w:eastAsia="es-ES"/>
              </w:rPr>
              <w:t>A</w:t>
            </w:r>
            <w:r w:rsidRPr="00926D6E">
              <w:rPr>
                <w:rFonts w:ascii="Arial" w:hAnsi="Arial" w:cs="Arial"/>
                <w:sz w:val="24"/>
                <w:szCs w:val="24"/>
                <w:lang w:eastAsia="es-ES"/>
              </w:rPr>
              <w:t>rtículo 24 de la memoria fueron formuladas a la oferta presentada en el primer llamado, mientras que en el segundo, que es el que en realidad se adjudica, la oferente no mereció objeciones por parte de los servicios técnic</w:t>
            </w:r>
            <w:r w:rsidR="005420AA" w:rsidRPr="00926D6E">
              <w:rPr>
                <w:rFonts w:ascii="Arial" w:hAnsi="Arial" w:cs="Arial"/>
                <w:sz w:val="24"/>
                <w:szCs w:val="24"/>
                <w:lang w:eastAsia="es-ES"/>
              </w:rPr>
              <w:t>os;</w:t>
            </w:r>
          </w:p>
          <w:p w:rsidR="00006065" w:rsidRPr="00926D6E" w:rsidRDefault="00006065" w:rsidP="005420AA">
            <w:pPr>
              <w:spacing w:after="0" w:line="360" w:lineRule="auto"/>
              <w:ind w:firstLine="2987"/>
              <w:jc w:val="both"/>
              <w:rPr>
                <w:rFonts w:ascii="Arial" w:hAnsi="Arial" w:cs="Arial"/>
                <w:sz w:val="24"/>
                <w:szCs w:val="24"/>
                <w:lang w:eastAsia="es-ES"/>
              </w:rPr>
            </w:pPr>
            <w:r w:rsidRPr="00926D6E">
              <w:rPr>
                <w:rFonts w:ascii="Arial" w:hAnsi="Arial" w:cs="Arial"/>
                <w:b/>
                <w:sz w:val="24"/>
                <w:szCs w:val="24"/>
                <w:lang w:eastAsia="es-ES"/>
              </w:rPr>
              <w:t>4)</w:t>
            </w:r>
            <w:r w:rsidRPr="00926D6E">
              <w:rPr>
                <w:rFonts w:ascii="Arial" w:hAnsi="Arial" w:cs="Arial"/>
                <w:sz w:val="24"/>
                <w:szCs w:val="24"/>
                <w:lang w:eastAsia="es-ES"/>
              </w:rPr>
              <w:t xml:space="preserve"> que atento a la fecha en que se remitieron las actuaciones, no se dio cumplimiento a la Resolución de este Tribunal de fecha 11/05/05, en la redacción dada por la Resolución de fecha 28/03/07, que dispone que: los Organismos del Estado, previamente a aprobar, modificar o rescindir concesiones contractuales de obras o de servicios, deberán remitir los antecedentes a dictamen de este Tribunal;</w:t>
            </w:r>
          </w:p>
          <w:p w:rsidR="00006065" w:rsidRPr="00926D6E" w:rsidRDefault="00006065" w:rsidP="005420AA">
            <w:pPr>
              <w:spacing w:after="0" w:line="360" w:lineRule="auto"/>
              <w:ind w:firstLine="2987"/>
              <w:jc w:val="both"/>
              <w:rPr>
                <w:rFonts w:ascii="Arial" w:hAnsi="Arial" w:cs="Arial"/>
                <w:sz w:val="24"/>
                <w:szCs w:val="24"/>
                <w:lang w:eastAsia="es-ES"/>
              </w:rPr>
            </w:pPr>
            <w:r w:rsidRPr="00926D6E">
              <w:rPr>
                <w:rFonts w:ascii="Arial" w:hAnsi="Arial" w:cs="Arial"/>
                <w:b/>
                <w:sz w:val="24"/>
                <w:szCs w:val="24"/>
                <w:lang w:eastAsia="es-ES"/>
              </w:rPr>
              <w:t>5)</w:t>
            </w:r>
            <w:r w:rsidRPr="00926D6E">
              <w:rPr>
                <w:rFonts w:ascii="Arial" w:hAnsi="Arial" w:cs="Arial"/>
                <w:sz w:val="24"/>
                <w:szCs w:val="24"/>
                <w:lang w:eastAsia="es-ES"/>
              </w:rPr>
              <w:t xml:space="preserve"> que si bien se indican los factores a tener en cuenta para la adjudicación y sus porcentajes, no se indican los criterios objetivos para adjudicar los puntajes dentro de cada factor (</w:t>
            </w:r>
            <w:r w:rsidR="005420AA" w:rsidRPr="00926D6E">
              <w:rPr>
                <w:rFonts w:ascii="Arial" w:hAnsi="Arial" w:cs="Arial"/>
                <w:sz w:val="24"/>
                <w:szCs w:val="24"/>
                <w:lang w:eastAsia="es-ES"/>
              </w:rPr>
              <w:t>A</w:t>
            </w:r>
            <w:r w:rsidRPr="00926D6E">
              <w:rPr>
                <w:rFonts w:ascii="Arial" w:hAnsi="Arial" w:cs="Arial"/>
                <w:sz w:val="24"/>
                <w:szCs w:val="24"/>
                <w:lang w:eastAsia="es-ES"/>
              </w:rPr>
              <w:t>rt</w:t>
            </w:r>
            <w:r w:rsidR="005420AA" w:rsidRPr="00926D6E">
              <w:rPr>
                <w:rFonts w:ascii="Arial" w:hAnsi="Arial" w:cs="Arial"/>
                <w:sz w:val="24"/>
                <w:szCs w:val="24"/>
                <w:lang w:eastAsia="es-ES"/>
              </w:rPr>
              <w:t>ículo</w:t>
            </w:r>
            <w:r w:rsidRPr="00926D6E">
              <w:rPr>
                <w:rFonts w:ascii="Arial" w:hAnsi="Arial" w:cs="Arial"/>
                <w:sz w:val="24"/>
                <w:szCs w:val="24"/>
                <w:lang w:eastAsia="es-ES"/>
              </w:rPr>
              <w:t xml:space="preserve"> 48 </w:t>
            </w:r>
            <w:r w:rsidR="005420AA" w:rsidRPr="00926D6E">
              <w:rPr>
                <w:rFonts w:ascii="Arial" w:hAnsi="Arial" w:cs="Arial"/>
                <w:sz w:val="24"/>
                <w:szCs w:val="24"/>
                <w:lang w:eastAsia="es-ES"/>
              </w:rPr>
              <w:t>L</w:t>
            </w:r>
            <w:r w:rsidRPr="00926D6E">
              <w:rPr>
                <w:rFonts w:ascii="Arial" w:hAnsi="Arial" w:cs="Arial"/>
                <w:sz w:val="24"/>
                <w:szCs w:val="24"/>
                <w:lang w:eastAsia="es-ES"/>
              </w:rPr>
              <w:t>it</w:t>
            </w:r>
            <w:r w:rsidR="005420AA" w:rsidRPr="00926D6E">
              <w:rPr>
                <w:rFonts w:ascii="Arial" w:hAnsi="Arial" w:cs="Arial"/>
                <w:sz w:val="24"/>
                <w:szCs w:val="24"/>
                <w:lang w:eastAsia="es-ES"/>
              </w:rPr>
              <w:t>eral</w:t>
            </w:r>
            <w:r w:rsidRPr="00926D6E">
              <w:rPr>
                <w:rFonts w:ascii="Arial" w:hAnsi="Arial" w:cs="Arial"/>
                <w:sz w:val="24"/>
                <w:szCs w:val="24"/>
                <w:lang w:eastAsia="es-ES"/>
              </w:rPr>
              <w:t xml:space="preserve"> C</w:t>
            </w:r>
            <w:r w:rsidR="005420AA" w:rsidRPr="00926D6E">
              <w:rPr>
                <w:rFonts w:ascii="Arial" w:hAnsi="Arial" w:cs="Arial"/>
                <w:sz w:val="24"/>
                <w:szCs w:val="24"/>
                <w:lang w:eastAsia="es-ES"/>
              </w:rPr>
              <w:t>)</w:t>
            </w:r>
            <w:r w:rsidRPr="00926D6E">
              <w:rPr>
                <w:rFonts w:ascii="Arial" w:hAnsi="Arial" w:cs="Arial"/>
                <w:sz w:val="24"/>
                <w:szCs w:val="24"/>
                <w:lang w:eastAsia="es-ES"/>
              </w:rPr>
              <w:t xml:space="preserve"> del TOCAF);  </w:t>
            </w:r>
          </w:p>
          <w:p w:rsidR="00006065" w:rsidRPr="00926D6E" w:rsidRDefault="00006065" w:rsidP="005420AA">
            <w:pPr>
              <w:spacing w:after="0" w:line="360" w:lineRule="auto"/>
              <w:ind w:firstLine="2987"/>
              <w:jc w:val="both"/>
              <w:rPr>
                <w:rFonts w:ascii="Arial" w:hAnsi="Arial" w:cs="Arial"/>
                <w:sz w:val="24"/>
                <w:szCs w:val="24"/>
                <w:lang w:eastAsia="es-ES"/>
              </w:rPr>
            </w:pPr>
            <w:r w:rsidRPr="00926D6E">
              <w:rPr>
                <w:rFonts w:ascii="Arial" w:hAnsi="Arial" w:cs="Arial"/>
                <w:b/>
                <w:sz w:val="24"/>
                <w:szCs w:val="24"/>
                <w:lang w:eastAsia="es-ES"/>
              </w:rPr>
              <w:t>6)</w:t>
            </w:r>
            <w:r w:rsidRPr="00926D6E">
              <w:rPr>
                <w:rFonts w:ascii="Arial" w:hAnsi="Arial" w:cs="Arial"/>
                <w:sz w:val="24"/>
                <w:szCs w:val="24"/>
                <w:lang w:eastAsia="es-ES"/>
              </w:rPr>
              <w:t xml:space="preserve"> que los </w:t>
            </w:r>
            <w:r w:rsidR="005420AA" w:rsidRPr="00926D6E">
              <w:rPr>
                <w:rFonts w:ascii="Arial" w:hAnsi="Arial" w:cs="Arial"/>
                <w:sz w:val="24"/>
                <w:szCs w:val="24"/>
                <w:lang w:eastAsia="es-ES"/>
              </w:rPr>
              <w:t>A</w:t>
            </w:r>
            <w:r w:rsidRPr="00926D6E">
              <w:rPr>
                <w:rFonts w:ascii="Arial" w:hAnsi="Arial" w:cs="Arial"/>
                <w:sz w:val="24"/>
                <w:szCs w:val="24"/>
                <w:lang w:eastAsia="es-ES"/>
              </w:rPr>
              <w:t xml:space="preserve">rtículos 23 y 25 de la Ley 19.355 han dado diferente y contradictoria redacción al penúltimo inciso del </w:t>
            </w:r>
            <w:r w:rsidR="005420AA" w:rsidRPr="00926D6E">
              <w:rPr>
                <w:rFonts w:ascii="Arial" w:hAnsi="Arial" w:cs="Arial"/>
                <w:sz w:val="24"/>
                <w:szCs w:val="24"/>
                <w:lang w:eastAsia="es-ES"/>
              </w:rPr>
              <w:t>A</w:t>
            </w:r>
            <w:r w:rsidRPr="00926D6E">
              <w:rPr>
                <w:rFonts w:ascii="Arial" w:hAnsi="Arial" w:cs="Arial"/>
                <w:sz w:val="24"/>
                <w:szCs w:val="24"/>
                <w:lang w:eastAsia="es-ES"/>
              </w:rPr>
              <w:t>rtículo 48 del TOCAF (</w:t>
            </w:r>
            <w:r w:rsidR="005420AA" w:rsidRPr="00926D6E">
              <w:rPr>
                <w:rFonts w:ascii="Arial" w:hAnsi="Arial" w:cs="Arial"/>
                <w:sz w:val="24"/>
                <w:szCs w:val="24"/>
                <w:lang w:eastAsia="es-ES"/>
              </w:rPr>
              <w:t>A</w:t>
            </w:r>
            <w:r w:rsidRPr="00926D6E">
              <w:rPr>
                <w:rFonts w:ascii="Arial" w:hAnsi="Arial" w:cs="Arial"/>
                <w:sz w:val="24"/>
                <w:szCs w:val="24"/>
                <w:lang w:eastAsia="es-ES"/>
              </w:rPr>
              <w:t xml:space="preserve">rtículo 489 de la Ley 15.903 en redacción dada por el </w:t>
            </w:r>
            <w:r w:rsidR="005420AA" w:rsidRPr="00926D6E">
              <w:rPr>
                <w:rFonts w:ascii="Arial" w:hAnsi="Arial" w:cs="Arial"/>
                <w:sz w:val="24"/>
                <w:szCs w:val="24"/>
                <w:lang w:eastAsia="es-ES"/>
              </w:rPr>
              <w:t>A</w:t>
            </w:r>
            <w:r w:rsidRPr="00926D6E">
              <w:rPr>
                <w:rFonts w:ascii="Arial" w:hAnsi="Arial" w:cs="Arial"/>
                <w:sz w:val="24"/>
                <w:szCs w:val="24"/>
                <w:lang w:eastAsia="es-ES"/>
              </w:rPr>
              <w:t xml:space="preserve">rtículo 29 de la Ley 18.834), planteando un problema insoluble al intérprete. En el caso concreto, iguales requisitos de los previstos en el Pliego (Resultando 2) resultan observables o no según cuál de las dos normas se aplique; </w:t>
            </w:r>
          </w:p>
          <w:p w:rsidR="005420AA" w:rsidRPr="00926D6E" w:rsidRDefault="00006065" w:rsidP="005420AA">
            <w:pPr>
              <w:spacing w:after="0" w:line="360" w:lineRule="auto"/>
              <w:ind w:firstLine="2987"/>
              <w:jc w:val="both"/>
              <w:rPr>
                <w:rFonts w:ascii="Arial" w:hAnsi="Arial" w:cs="Arial"/>
                <w:sz w:val="24"/>
                <w:szCs w:val="24"/>
                <w:lang w:val="es-MX" w:eastAsia="es-ES"/>
              </w:rPr>
            </w:pPr>
            <w:r w:rsidRPr="00926D6E">
              <w:rPr>
                <w:rFonts w:ascii="Arial" w:hAnsi="Arial" w:cs="Arial"/>
                <w:sz w:val="24"/>
                <w:szCs w:val="24"/>
                <w:lang w:eastAsia="es-ES"/>
              </w:rPr>
              <w:t xml:space="preserve"> </w:t>
            </w:r>
            <w:r w:rsidRPr="00926D6E">
              <w:rPr>
                <w:rFonts w:ascii="Arial" w:hAnsi="Arial" w:cs="Arial"/>
                <w:b/>
                <w:sz w:val="24"/>
                <w:szCs w:val="24"/>
                <w:lang w:eastAsia="es-ES"/>
              </w:rPr>
              <w:t>7)</w:t>
            </w:r>
            <w:r w:rsidRPr="00926D6E">
              <w:rPr>
                <w:rFonts w:ascii="Arial" w:hAnsi="Arial" w:cs="Arial"/>
                <w:sz w:val="24"/>
                <w:szCs w:val="24"/>
                <w:lang w:eastAsia="es-ES"/>
              </w:rPr>
              <w:t xml:space="preserve"> que en razón de lo antes expresado, se estima procedente no formular ninguna observación a los documentos requeridos al oferente;</w:t>
            </w:r>
          </w:p>
          <w:p w:rsidR="00006065" w:rsidRPr="00926D6E" w:rsidRDefault="00006065" w:rsidP="009E0C2F">
            <w:pPr>
              <w:spacing w:after="0" w:line="360" w:lineRule="auto"/>
              <w:jc w:val="both"/>
              <w:rPr>
                <w:rFonts w:ascii="Arial" w:hAnsi="Arial" w:cs="Arial"/>
                <w:sz w:val="24"/>
                <w:szCs w:val="24"/>
                <w:lang w:eastAsia="es-ES"/>
              </w:rPr>
            </w:pPr>
            <w:r w:rsidRPr="00926D6E">
              <w:rPr>
                <w:rFonts w:ascii="Arial" w:hAnsi="Arial" w:cs="Arial"/>
                <w:sz w:val="24"/>
                <w:szCs w:val="24"/>
                <w:lang w:val="es-MX" w:eastAsia="es-ES"/>
              </w:rPr>
              <w:t xml:space="preserve">    </w:t>
            </w:r>
            <w:r w:rsidRPr="00926D6E">
              <w:rPr>
                <w:rFonts w:ascii="Arial" w:hAnsi="Arial" w:cs="Arial"/>
                <w:sz w:val="24"/>
                <w:szCs w:val="24"/>
                <w:lang w:eastAsia="es-ES"/>
              </w:rPr>
              <w:tab/>
            </w:r>
          </w:p>
          <w:p w:rsidR="005420AA" w:rsidRPr="00926D6E" w:rsidRDefault="005420AA" w:rsidP="009E0C2F">
            <w:pPr>
              <w:spacing w:after="0" w:line="360" w:lineRule="auto"/>
              <w:jc w:val="both"/>
              <w:rPr>
                <w:rFonts w:ascii="Arial" w:hAnsi="Arial" w:cs="Arial"/>
                <w:sz w:val="24"/>
                <w:szCs w:val="24"/>
                <w:lang w:val="es-MX" w:eastAsia="es-ES"/>
              </w:rPr>
            </w:pPr>
          </w:p>
          <w:p w:rsidR="00006065" w:rsidRPr="00926D6E" w:rsidRDefault="00006065" w:rsidP="005420AA">
            <w:pPr>
              <w:spacing w:after="0" w:line="360" w:lineRule="auto"/>
              <w:ind w:firstLine="719"/>
              <w:jc w:val="both"/>
              <w:rPr>
                <w:rFonts w:ascii="Arial" w:hAnsi="Arial" w:cs="Arial"/>
                <w:sz w:val="24"/>
                <w:szCs w:val="24"/>
                <w:lang w:val="es-MX" w:eastAsia="es-ES"/>
              </w:rPr>
            </w:pPr>
            <w:r w:rsidRPr="00926D6E">
              <w:rPr>
                <w:rFonts w:ascii="Arial" w:hAnsi="Arial" w:cs="Arial"/>
                <w:b/>
                <w:sz w:val="24"/>
                <w:szCs w:val="24"/>
                <w:lang w:val="es-MX" w:eastAsia="es-ES"/>
              </w:rPr>
              <w:lastRenderedPageBreak/>
              <w:t>ATENTO:</w:t>
            </w:r>
            <w:r w:rsidRPr="00926D6E">
              <w:rPr>
                <w:rFonts w:ascii="Arial" w:hAnsi="Arial" w:cs="Arial"/>
                <w:sz w:val="24"/>
                <w:szCs w:val="24"/>
                <w:lang w:val="es-MX" w:eastAsia="es-ES"/>
              </w:rPr>
              <w:t xml:space="preserve"> a lo precedentemente expuesto y a lo dispuesto en el </w:t>
            </w:r>
            <w:r w:rsidR="005420AA" w:rsidRPr="00926D6E">
              <w:rPr>
                <w:rFonts w:ascii="Arial" w:hAnsi="Arial" w:cs="Arial"/>
                <w:sz w:val="24"/>
                <w:szCs w:val="24"/>
                <w:lang w:val="es-MX" w:eastAsia="es-ES"/>
              </w:rPr>
              <w:t>L</w:t>
            </w:r>
            <w:r w:rsidRPr="00926D6E">
              <w:rPr>
                <w:rFonts w:ascii="Arial" w:hAnsi="Arial" w:cs="Arial"/>
                <w:sz w:val="24"/>
                <w:szCs w:val="24"/>
                <w:lang w:val="es-MX" w:eastAsia="es-ES"/>
              </w:rPr>
              <w:t xml:space="preserve">iteral E) del </w:t>
            </w:r>
            <w:r w:rsidR="005420AA" w:rsidRPr="00926D6E">
              <w:rPr>
                <w:rFonts w:ascii="Arial" w:hAnsi="Arial" w:cs="Arial"/>
                <w:sz w:val="24"/>
                <w:szCs w:val="24"/>
                <w:lang w:val="es-MX" w:eastAsia="es-ES"/>
              </w:rPr>
              <w:t>A</w:t>
            </w:r>
            <w:r w:rsidRPr="00926D6E">
              <w:rPr>
                <w:rFonts w:ascii="Arial" w:hAnsi="Arial" w:cs="Arial"/>
                <w:sz w:val="24"/>
                <w:szCs w:val="24"/>
                <w:lang w:val="es-MX" w:eastAsia="es-ES"/>
              </w:rPr>
              <w:t xml:space="preserve">rtículo 211 de la Constitución de la República; </w:t>
            </w:r>
          </w:p>
          <w:p w:rsidR="00006065" w:rsidRPr="00926D6E" w:rsidRDefault="00006065" w:rsidP="009E0C2F">
            <w:pPr>
              <w:spacing w:after="0" w:line="360" w:lineRule="auto"/>
              <w:jc w:val="center"/>
              <w:rPr>
                <w:rFonts w:ascii="Arial" w:hAnsi="Arial" w:cs="Arial"/>
                <w:b/>
                <w:iCs/>
                <w:sz w:val="24"/>
                <w:szCs w:val="24"/>
                <w:lang w:val="es-MX" w:eastAsia="es-ES"/>
              </w:rPr>
            </w:pPr>
            <w:r w:rsidRPr="00926D6E">
              <w:rPr>
                <w:rFonts w:ascii="Arial" w:hAnsi="Arial" w:cs="Arial"/>
                <w:b/>
                <w:iCs/>
                <w:sz w:val="24"/>
                <w:szCs w:val="24"/>
                <w:lang w:val="es-MX" w:eastAsia="es-ES"/>
              </w:rPr>
              <w:t xml:space="preserve">EL TRIBUNAL </w:t>
            </w:r>
            <w:r w:rsidR="005420AA" w:rsidRPr="00926D6E">
              <w:rPr>
                <w:rFonts w:ascii="Arial" w:hAnsi="Arial" w:cs="Arial"/>
                <w:b/>
                <w:iCs/>
                <w:sz w:val="24"/>
                <w:szCs w:val="24"/>
                <w:lang w:val="es-MX" w:eastAsia="es-ES"/>
              </w:rPr>
              <w:t xml:space="preserve">POR MAYORIA </w:t>
            </w:r>
            <w:r w:rsidRPr="00926D6E">
              <w:rPr>
                <w:rFonts w:ascii="Arial" w:hAnsi="Arial" w:cs="Arial"/>
                <w:b/>
                <w:iCs/>
                <w:sz w:val="24"/>
                <w:szCs w:val="24"/>
                <w:lang w:val="es-MX" w:eastAsia="es-ES"/>
              </w:rPr>
              <w:t>ACUERDA:</w:t>
            </w:r>
          </w:p>
          <w:p w:rsidR="00006065" w:rsidRPr="00926D6E" w:rsidRDefault="00006065" w:rsidP="005420AA">
            <w:pPr>
              <w:numPr>
                <w:ilvl w:val="0"/>
                <w:numId w:val="1"/>
              </w:numPr>
              <w:tabs>
                <w:tab w:val="clear" w:pos="675"/>
                <w:tab w:val="num" w:pos="294"/>
              </w:tabs>
              <w:spacing w:after="0" w:line="360" w:lineRule="auto"/>
              <w:ind w:left="294" w:hanging="284"/>
              <w:jc w:val="both"/>
              <w:rPr>
                <w:rFonts w:ascii="Arial" w:hAnsi="Arial" w:cs="Arial"/>
                <w:sz w:val="24"/>
                <w:szCs w:val="24"/>
                <w:lang w:val="es-MX" w:eastAsia="es-ES"/>
              </w:rPr>
            </w:pPr>
            <w:r w:rsidRPr="00926D6E">
              <w:rPr>
                <w:rFonts w:ascii="Arial" w:hAnsi="Arial" w:cs="Arial"/>
                <w:sz w:val="24"/>
                <w:szCs w:val="24"/>
                <w:lang w:val="es-MX" w:eastAsia="es-ES"/>
              </w:rPr>
              <w:t>O</w:t>
            </w:r>
            <w:proofErr w:type="spellStart"/>
            <w:r w:rsidRPr="00926D6E">
              <w:rPr>
                <w:rFonts w:ascii="Arial" w:hAnsi="Arial" w:cs="Arial"/>
                <w:sz w:val="24"/>
                <w:szCs w:val="24"/>
                <w:lang w:eastAsia="es-ES"/>
              </w:rPr>
              <w:t>bservar</w:t>
            </w:r>
            <w:proofErr w:type="spellEnd"/>
            <w:r w:rsidRPr="00926D6E">
              <w:rPr>
                <w:rFonts w:ascii="Arial" w:hAnsi="Arial" w:cs="Arial"/>
                <w:sz w:val="24"/>
                <w:szCs w:val="24"/>
                <w:lang w:eastAsia="es-ES"/>
              </w:rPr>
              <w:t xml:space="preserve"> el procedimiento por lo  expresado en  los  Considerandos 4) y 5);</w:t>
            </w:r>
          </w:p>
          <w:p w:rsidR="00006065" w:rsidRPr="00926D6E" w:rsidRDefault="00006065" w:rsidP="005420AA">
            <w:pPr>
              <w:numPr>
                <w:ilvl w:val="0"/>
                <w:numId w:val="1"/>
              </w:numPr>
              <w:tabs>
                <w:tab w:val="clear" w:pos="675"/>
                <w:tab w:val="num" w:pos="294"/>
              </w:tabs>
              <w:spacing w:after="0" w:line="360" w:lineRule="auto"/>
              <w:ind w:left="294" w:hanging="284"/>
              <w:jc w:val="both"/>
              <w:rPr>
                <w:rFonts w:ascii="Arial" w:hAnsi="Arial" w:cs="Arial"/>
                <w:sz w:val="24"/>
                <w:szCs w:val="24"/>
                <w:lang w:val="es-MX" w:eastAsia="es-ES"/>
              </w:rPr>
            </w:pPr>
            <w:r w:rsidRPr="00926D6E">
              <w:rPr>
                <w:rFonts w:ascii="Arial" w:hAnsi="Arial" w:cs="Arial"/>
                <w:sz w:val="24"/>
                <w:szCs w:val="24"/>
                <w:lang w:eastAsia="es-ES"/>
              </w:rPr>
              <w:t xml:space="preserve">Téngase presente lo establecido en los </w:t>
            </w:r>
            <w:r w:rsidR="005420AA" w:rsidRPr="00926D6E">
              <w:rPr>
                <w:rFonts w:ascii="Arial" w:hAnsi="Arial" w:cs="Arial"/>
                <w:sz w:val="24"/>
                <w:szCs w:val="24"/>
                <w:lang w:eastAsia="es-ES"/>
              </w:rPr>
              <w:t>C</w:t>
            </w:r>
            <w:r w:rsidRPr="00926D6E">
              <w:rPr>
                <w:rFonts w:ascii="Arial" w:hAnsi="Arial" w:cs="Arial"/>
                <w:sz w:val="24"/>
                <w:szCs w:val="24"/>
                <w:lang w:eastAsia="es-ES"/>
              </w:rPr>
              <w:t>onsiderandos 1</w:t>
            </w:r>
            <w:r w:rsidR="005420AA" w:rsidRPr="00926D6E">
              <w:rPr>
                <w:rFonts w:ascii="Arial" w:hAnsi="Arial" w:cs="Arial"/>
                <w:sz w:val="24"/>
                <w:szCs w:val="24"/>
                <w:lang w:eastAsia="es-ES"/>
              </w:rPr>
              <w:t>)</w:t>
            </w:r>
            <w:r w:rsidRPr="00926D6E">
              <w:rPr>
                <w:rFonts w:ascii="Arial" w:hAnsi="Arial" w:cs="Arial"/>
                <w:sz w:val="24"/>
                <w:szCs w:val="24"/>
                <w:lang w:eastAsia="es-ES"/>
              </w:rPr>
              <w:t>, 2</w:t>
            </w:r>
            <w:r w:rsidR="005420AA" w:rsidRPr="00926D6E">
              <w:rPr>
                <w:rFonts w:ascii="Arial" w:hAnsi="Arial" w:cs="Arial"/>
                <w:sz w:val="24"/>
                <w:szCs w:val="24"/>
                <w:lang w:eastAsia="es-ES"/>
              </w:rPr>
              <w:t>)</w:t>
            </w:r>
            <w:r w:rsidRPr="00926D6E">
              <w:rPr>
                <w:rFonts w:ascii="Arial" w:hAnsi="Arial" w:cs="Arial"/>
                <w:sz w:val="24"/>
                <w:szCs w:val="24"/>
                <w:lang w:eastAsia="es-ES"/>
              </w:rPr>
              <w:t xml:space="preserve"> y 3</w:t>
            </w:r>
            <w:r w:rsidR="005420AA" w:rsidRPr="00926D6E">
              <w:rPr>
                <w:rFonts w:ascii="Arial" w:hAnsi="Arial" w:cs="Arial"/>
                <w:sz w:val="24"/>
                <w:szCs w:val="24"/>
                <w:lang w:eastAsia="es-ES"/>
              </w:rPr>
              <w:t>);</w:t>
            </w:r>
          </w:p>
          <w:p w:rsidR="00006065" w:rsidRPr="00926D6E" w:rsidRDefault="00006065" w:rsidP="005420AA">
            <w:pPr>
              <w:numPr>
                <w:ilvl w:val="0"/>
                <w:numId w:val="1"/>
              </w:numPr>
              <w:tabs>
                <w:tab w:val="clear" w:pos="675"/>
                <w:tab w:val="num" w:pos="294"/>
              </w:tabs>
              <w:spacing w:after="0" w:line="360" w:lineRule="auto"/>
              <w:ind w:left="294" w:hanging="284"/>
              <w:jc w:val="both"/>
              <w:rPr>
                <w:rFonts w:ascii="Arial" w:hAnsi="Arial" w:cs="Arial"/>
                <w:sz w:val="24"/>
                <w:szCs w:val="24"/>
                <w:lang w:val="es-MX" w:eastAsia="es-ES"/>
              </w:rPr>
            </w:pPr>
            <w:r w:rsidRPr="00926D6E">
              <w:rPr>
                <w:rFonts w:ascii="Arial" w:hAnsi="Arial" w:cs="Arial"/>
                <w:sz w:val="24"/>
                <w:szCs w:val="24"/>
                <w:lang w:val="es-MX" w:eastAsia="es-ES"/>
              </w:rPr>
              <w:t>Comunicar a la Junta Departamental de Maldonado;</w:t>
            </w:r>
            <w:r w:rsidR="005420AA" w:rsidRPr="00926D6E">
              <w:rPr>
                <w:rFonts w:ascii="Arial" w:hAnsi="Arial" w:cs="Arial"/>
                <w:sz w:val="24"/>
                <w:szCs w:val="24"/>
                <w:lang w:val="es-MX" w:eastAsia="es-ES"/>
              </w:rPr>
              <w:t xml:space="preserve"> y</w:t>
            </w:r>
          </w:p>
          <w:p w:rsidR="00006065" w:rsidRPr="00926D6E" w:rsidRDefault="00006065" w:rsidP="005420AA">
            <w:pPr>
              <w:numPr>
                <w:ilvl w:val="0"/>
                <w:numId w:val="1"/>
              </w:numPr>
              <w:tabs>
                <w:tab w:val="clear" w:pos="675"/>
                <w:tab w:val="num" w:pos="294"/>
              </w:tabs>
              <w:spacing w:after="0" w:line="360" w:lineRule="auto"/>
              <w:ind w:left="294" w:hanging="284"/>
              <w:jc w:val="both"/>
              <w:rPr>
                <w:rFonts w:ascii="Arial" w:hAnsi="Arial" w:cs="Arial"/>
                <w:sz w:val="24"/>
                <w:szCs w:val="24"/>
                <w:lang w:val="es-MX" w:eastAsia="es-ES"/>
              </w:rPr>
            </w:pPr>
            <w:r w:rsidRPr="00926D6E">
              <w:rPr>
                <w:rFonts w:ascii="Arial" w:hAnsi="Arial" w:cs="Arial"/>
                <w:sz w:val="24"/>
                <w:szCs w:val="24"/>
                <w:lang w:val="es-MX" w:eastAsia="es-ES"/>
              </w:rPr>
              <w:t>Devolver las actuaciones</w:t>
            </w:r>
            <w:r w:rsidR="005420AA" w:rsidRPr="00926D6E">
              <w:rPr>
                <w:rFonts w:ascii="Arial" w:hAnsi="Arial" w:cs="Arial"/>
                <w:sz w:val="24"/>
                <w:szCs w:val="24"/>
                <w:lang w:val="es-MX" w:eastAsia="es-ES"/>
              </w:rPr>
              <w:t>.</w:t>
            </w:r>
          </w:p>
          <w:p w:rsidR="00CF5DE9" w:rsidRPr="00926D6E" w:rsidRDefault="00CF5DE9" w:rsidP="00CF5DE9">
            <w:pPr>
              <w:spacing w:after="0" w:line="360" w:lineRule="auto"/>
              <w:jc w:val="both"/>
              <w:rPr>
                <w:rFonts w:ascii="Arial" w:hAnsi="Arial" w:cs="Arial"/>
                <w:sz w:val="24"/>
                <w:szCs w:val="24"/>
                <w:lang w:val="es-MX" w:eastAsia="es-ES"/>
              </w:rPr>
            </w:pPr>
          </w:p>
          <w:p w:rsidR="00CF5DE9" w:rsidRPr="00926D6E" w:rsidRDefault="00CF5DE9" w:rsidP="00CF5DE9">
            <w:pPr>
              <w:spacing w:after="0" w:line="360" w:lineRule="auto"/>
              <w:jc w:val="both"/>
              <w:rPr>
                <w:rFonts w:ascii="Arial" w:hAnsi="Arial" w:cs="Arial"/>
                <w:sz w:val="24"/>
                <w:szCs w:val="24"/>
                <w:lang w:val="es-MX" w:eastAsia="es-ES"/>
              </w:rPr>
            </w:pPr>
          </w:p>
          <w:p w:rsidR="00926D6E" w:rsidRDefault="00926D6E" w:rsidP="00CF5DE9">
            <w:pPr>
              <w:spacing w:after="0" w:line="360" w:lineRule="auto"/>
              <w:jc w:val="both"/>
              <w:rPr>
                <w:rFonts w:ascii="Arial" w:hAnsi="Arial" w:cs="Arial"/>
                <w:sz w:val="24"/>
                <w:szCs w:val="24"/>
                <w:lang w:val="es-MX" w:eastAsia="es-ES"/>
              </w:rPr>
            </w:pPr>
          </w:p>
          <w:p w:rsidR="00926D6E" w:rsidRDefault="00926D6E" w:rsidP="00CF5DE9">
            <w:pPr>
              <w:spacing w:after="0" w:line="360" w:lineRule="auto"/>
              <w:jc w:val="both"/>
              <w:rPr>
                <w:rFonts w:ascii="Arial" w:hAnsi="Arial" w:cs="Arial"/>
                <w:sz w:val="24"/>
                <w:szCs w:val="24"/>
                <w:lang w:val="es-MX" w:eastAsia="es-ES"/>
              </w:rPr>
            </w:pPr>
          </w:p>
          <w:p w:rsidR="00CF5DE9" w:rsidRPr="00926D6E" w:rsidRDefault="00CF5DE9" w:rsidP="00CF5DE9">
            <w:pPr>
              <w:spacing w:after="0" w:line="360" w:lineRule="auto"/>
              <w:jc w:val="both"/>
              <w:rPr>
                <w:rFonts w:ascii="Arial" w:hAnsi="Arial" w:cs="Arial"/>
                <w:sz w:val="24"/>
                <w:szCs w:val="24"/>
                <w:lang w:val="es-MX" w:eastAsia="es-ES"/>
              </w:rPr>
            </w:pPr>
            <w:proofErr w:type="spellStart"/>
            <w:r w:rsidRPr="00926D6E">
              <w:rPr>
                <w:rFonts w:ascii="Arial" w:hAnsi="Arial" w:cs="Arial"/>
                <w:sz w:val="24"/>
                <w:szCs w:val="24"/>
                <w:lang w:val="es-MX" w:eastAsia="es-ES"/>
              </w:rPr>
              <w:t>cr</w:t>
            </w:r>
            <w:proofErr w:type="spellEnd"/>
          </w:p>
          <w:p w:rsidR="00926D6E" w:rsidRDefault="00926D6E" w:rsidP="00926D6E">
            <w:pPr>
              <w:spacing w:after="0" w:line="360" w:lineRule="auto"/>
              <w:jc w:val="both"/>
              <w:rPr>
                <w:rFonts w:ascii="Arial" w:hAnsi="Arial" w:cs="Arial"/>
                <w:b/>
                <w:sz w:val="24"/>
                <w:szCs w:val="24"/>
                <w:lang w:val="es-UY"/>
              </w:rPr>
            </w:pPr>
          </w:p>
          <w:p w:rsidR="00926D6E" w:rsidRDefault="00926D6E" w:rsidP="00926D6E">
            <w:pPr>
              <w:spacing w:after="0" w:line="360" w:lineRule="auto"/>
              <w:jc w:val="both"/>
              <w:rPr>
                <w:rFonts w:ascii="Arial" w:hAnsi="Arial" w:cs="Arial"/>
                <w:b/>
                <w:sz w:val="24"/>
                <w:szCs w:val="24"/>
                <w:lang w:val="es-UY"/>
              </w:rPr>
            </w:pPr>
          </w:p>
          <w:p w:rsidR="00926D6E" w:rsidRPr="00926D6E" w:rsidRDefault="00926D6E" w:rsidP="00926D6E">
            <w:pPr>
              <w:spacing w:after="0" w:line="360" w:lineRule="auto"/>
              <w:jc w:val="both"/>
              <w:rPr>
                <w:rFonts w:ascii="Arial" w:eastAsia="Times New Roman" w:hAnsi="Arial" w:cs="Arial"/>
                <w:sz w:val="24"/>
                <w:szCs w:val="24"/>
                <w:lang w:eastAsia="es-ES"/>
              </w:rPr>
            </w:pPr>
            <w:bookmarkStart w:id="0" w:name="_GoBack"/>
            <w:bookmarkEnd w:id="0"/>
            <w:r w:rsidRPr="00926D6E">
              <w:rPr>
                <w:rFonts w:ascii="Arial" w:hAnsi="Arial" w:cs="Arial"/>
                <w:b/>
                <w:sz w:val="24"/>
                <w:szCs w:val="24"/>
                <w:lang w:val="es-UY"/>
              </w:rPr>
              <w:t>CONSTANCIA DE FUNDAMENTO DE VOTO DISCORDE DEL MINISTRO ING. MIGUEL AUMENTO: “</w:t>
            </w:r>
            <w:r w:rsidRPr="00926D6E">
              <w:rPr>
                <w:rFonts w:ascii="Arial" w:hAnsi="Arial" w:cs="Arial"/>
                <w:sz w:val="24"/>
                <w:szCs w:val="24"/>
              </w:rPr>
              <w:t>He votado en forma discorde la Resolución recaída en este expediente, en tanto no estoy de acuerdo con la observación formulada por la mayoría del Tribunal de Cuentas, en lo que respecta al Considerando 5), según se explicará seguidamente.</w:t>
            </w:r>
            <w:r w:rsidRPr="00926D6E">
              <w:rPr>
                <w:rFonts w:ascii="Arial" w:eastAsia="Times New Roman" w:hAnsi="Arial" w:cs="Arial"/>
                <w:sz w:val="24"/>
                <w:szCs w:val="24"/>
                <w:lang w:eastAsia="es-ES"/>
              </w:rPr>
              <w:t xml:space="preserve"> </w:t>
            </w:r>
          </w:p>
          <w:p w:rsidR="00926D6E" w:rsidRPr="00926D6E" w:rsidRDefault="00926D6E" w:rsidP="00926D6E">
            <w:pPr>
              <w:spacing w:after="0" w:line="360" w:lineRule="auto"/>
              <w:jc w:val="both"/>
              <w:rPr>
                <w:rFonts w:ascii="Arial" w:eastAsia="Times New Roman" w:hAnsi="Arial" w:cs="Arial"/>
                <w:sz w:val="24"/>
                <w:szCs w:val="24"/>
                <w:lang w:eastAsia="es-ES"/>
              </w:rPr>
            </w:pPr>
            <w:r w:rsidRPr="00926D6E">
              <w:rPr>
                <w:rFonts w:ascii="Arial" w:eastAsia="Times New Roman" w:hAnsi="Arial" w:cs="Arial"/>
                <w:sz w:val="24"/>
                <w:szCs w:val="24"/>
                <w:lang w:eastAsia="es-ES"/>
              </w:rPr>
              <w:t xml:space="preserve">Comparto con la mayoría del Tribunal que si bien la Administración ha determinado los principales factores y sus respectivas ponderaciones (peso relativo), no surge la asignación de los puntajes por cada factor. </w:t>
            </w:r>
          </w:p>
          <w:p w:rsidR="00926D6E" w:rsidRPr="00926D6E" w:rsidRDefault="00926D6E" w:rsidP="00926D6E">
            <w:pPr>
              <w:spacing w:after="0" w:line="360" w:lineRule="auto"/>
              <w:jc w:val="both"/>
              <w:rPr>
                <w:rFonts w:ascii="Arial" w:eastAsia="Times New Roman" w:hAnsi="Arial" w:cs="Arial"/>
                <w:sz w:val="24"/>
                <w:szCs w:val="24"/>
                <w:lang w:eastAsia="es-ES"/>
              </w:rPr>
            </w:pPr>
            <w:r w:rsidRPr="00926D6E">
              <w:rPr>
                <w:rFonts w:ascii="Arial" w:eastAsia="Times New Roman" w:hAnsi="Arial" w:cs="Arial"/>
                <w:sz w:val="24"/>
                <w:szCs w:val="24"/>
                <w:lang w:eastAsia="es-ES"/>
              </w:rPr>
              <w:t xml:space="preserve">Sin perjuicio de lo anterior, dicha situación (por sí misma) no afecta la adjudicación, dado la existencia en este caso de un único oferente. Por tanto, en consistencia con los principios detallados en el Artículo 149 del TOCAF, respecto a Flexibilidad (Lit. A), Razonabilidad (Lit. C) y Materialidad (Lit. F), entiendo que el incumplimiento al que hacía referencia, merece en todo caso un señalamiento a la Administración actuante, y no una observación al procedimiento.  Cabe señalar </w:t>
            </w:r>
            <w:r w:rsidRPr="00926D6E">
              <w:rPr>
                <w:rFonts w:ascii="Arial" w:eastAsia="Times New Roman" w:hAnsi="Arial" w:cs="Arial"/>
                <w:sz w:val="24"/>
                <w:szCs w:val="24"/>
                <w:lang w:eastAsia="es-ES"/>
              </w:rPr>
              <w:lastRenderedPageBreak/>
              <w:t xml:space="preserve">además que los principios precitados no sólo refieren a la actuación, sino también al contralor en materia de Contabilidad y Administración Financiera del Estado. </w:t>
            </w:r>
          </w:p>
          <w:p w:rsidR="00926D6E" w:rsidRPr="00926D6E" w:rsidRDefault="00926D6E" w:rsidP="00926D6E">
            <w:pPr>
              <w:spacing w:after="0" w:line="360" w:lineRule="auto"/>
              <w:jc w:val="both"/>
              <w:rPr>
                <w:rFonts w:ascii="Arial" w:hAnsi="Arial" w:cs="Arial"/>
                <w:sz w:val="24"/>
                <w:szCs w:val="24"/>
                <w:lang w:val="es-UY"/>
              </w:rPr>
            </w:pPr>
            <w:r w:rsidRPr="00926D6E">
              <w:rPr>
                <w:rFonts w:ascii="Arial" w:eastAsia="Times New Roman" w:hAnsi="Arial" w:cs="Arial"/>
                <w:sz w:val="24"/>
                <w:szCs w:val="24"/>
                <w:lang w:eastAsia="es-ES"/>
              </w:rPr>
              <w:t>Por lo expuesto, he votado en forma discorde la Resolución de este expediente. Dejo constancia que comparto la causal de observación respecto al Considerando 4).-</w:t>
            </w:r>
          </w:p>
          <w:p w:rsidR="00926D6E" w:rsidRPr="00926D6E" w:rsidRDefault="00926D6E" w:rsidP="00926D6E">
            <w:pPr>
              <w:spacing w:after="0" w:line="360" w:lineRule="auto"/>
              <w:rPr>
                <w:rFonts w:ascii="Arial" w:hAnsi="Arial" w:cs="Arial"/>
                <w:sz w:val="24"/>
                <w:szCs w:val="24"/>
              </w:rPr>
            </w:pPr>
          </w:p>
          <w:p w:rsidR="00926D6E" w:rsidRPr="00926D6E" w:rsidRDefault="00926D6E" w:rsidP="00DC7C71">
            <w:pPr>
              <w:jc w:val="both"/>
              <w:rPr>
                <w:rFonts w:ascii="Arial" w:hAnsi="Arial" w:cs="Arial"/>
                <w:sz w:val="24"/>
                <w:szCs w:val="24"/>
              </w:rPr>
            </w:pPr>
          </w:p>
          <w:p w:rsidR="00926D6E" w:rsidRPr="00926D6E" w:rsidRDefault="00926D6E" w:rsidP="00DC7C71">
            <w:pPr>
              <w:jc w:val="both"/>
              <w:rPr>
                <w:rFonts w:ascii="Arial" w:hAnsi="Arial" w:cs="Arial"/>
                <w:sz w:val="24"/>
                <w:szCs w:val="24"/>
              </w:rPr>
            </w:pPr>
          </w:p>
          <w:p w:rsidR="00926D6E" w:rsidRPr="00926D6E" w:rsidRDefault="00926D6E" w:rsidP="00DC7C71">
            <w:pPr>
              <w:jc w:val="both"/>
              <w:rPr>
                <w:rFonts w:ascii="Arial" w:hAnsi="Arial" w:cs="Arial"/>
                <w:sz w:val="24"/>
                <w:szCs w:val="24"/>
              </w:rPr>
            </w:pPr>
          </w:p>
          <w:p w:rsidR="00926D6E" w:rsidRPr="00926D6E" w:rsidRDefault="00926D6E" w:rsidP="00926D6E">
            <w:pPr>
              <w:spacing w:line="360" w:lineRule="auto"/>
              <w:jc w:val="both"/>
              <w:rPr>
                <w:rFonts w:ascii="Arial" w:hAnsi="Arial" w:cs="Arial"/>
                <w:sz w:val="24"/>
                <w:szCs w:val="24"/>
              </w:rPr>
            </w:pPr>
          </w:p>
          <w:p w:rsidR="00926D6E" w:rsidRPr="00926D6E" w:rsidRDefault="00926D6E" w:rsidP="00BF5137">
            <w:pPr>
              <w:spacing w:line="360" w:lineRule="auto"/>
              <w:jc w:val="both"/>
              <w:rPr>
                <w:rFonts w:ascii="Arial" w:hAnsi="Arial" w:cs="Arial"/>
                <w:sz w:val="24"/>
                <w:szCs w:val="24"/>
                <w:lang w:val="es-UY"/>
              </w:rPr>
            </w:pPr>
          </w:p>
          <w:p w:rsidR="00926D6E" w:rsidRPr="00926D6E" w:rsidRDefault="00926D6E" w:rsidP="00BF5137">
            <w:pPr>
              <w:spacing w:line="360" w:lineRule="auto"/>
              <w:jc w:val="both"/>
              <w:rPr>
                <w:rFonts w:ascii="Arial" w:hAnsi="Arial" w:cs="Arial"/>
                <w:sz w:val="24"/>
                <w:szCs w:val="24"/>
                <w:lang w:val="es-UY"/>
              </w:rPr>
            </w:pPr>
          </w:p>
          <w:p w:rsidR="00926D6E" w:rsidRPr="00926D6E" w:rsidRDefault="00926D6E" w:rsidP="00305A73">
            <w:pPr>
              <w:spacing w:line="360" w:lineRule="auto"/>
              <w:rPr>
                <w:rFonts w:ascii="Arial" w:hAnsi="Arial" w:cs="Arial"/>
                <w:sz w:val="24"/>
                <w:szCs w:val="24"/>
                <w:lang w:val="es-UY"/>
              </w:rPr>
            </w:pPr>
          </w:p>
          <w:p w:rsidR="00926D6E" w:rsidRPr="00926D6E" w:rsidRDefault="00926D6E" w:rsidP="00FB4277">
            <w:pPr>
              <w:spacing w:line="360" w:lineRule="auto"/>
              <w:rPr>
                <w:rFonts w:ascii="Arial" w:hAnsi="Arial" w:cs="Arial"/>
                <w:sz w:val="24"/>
                <w:szCs w:val="24"/>
                <w:lang w:val="es-UY"/>
              </w:rPr>
            </w:pPr>
          </w:p>
          <w:p w:rsidR="00926D6E" w:rsidRPr="00926D6E" w:rsidRDefault="00926D6E" w:rsidP="00FB4277">
            <w:pPr>
              <w:spacing w:line="360" w:lineRule="auto"/>
              <w:rPr>
                <w:rFonts w:ascii="Arial" w:hAnsi="Arial" w:cs="Arial"/>
                <w:sz w:val="24"/>
                <w:szCs w:val="24"/>
                <w:lang w:val="es-UY"/>
              </w:rPr>
            </w:pPr>
          </w:p>
          <w:p w:rsidR="00926D6E" w:rsidRPr="00926D6E" w:rsidRDefault="00926D6E" w:rsidP="00FB4277">
            <w:pPr>
              <w:spacing w:line="360" w:lineRule="auto"/>
              <w:rPr>
                <w:rFonts w:ascii="Arial" w:hAnsi="Arial" w:cs="Arial"/>
                <w:sz w:val="24"/>
                <w:szCs w:val="24"/>
                <w:lang w:val="es-UY"/>
              </w:rPr>
            </w:pPr>
            <w:r w:rsidRPr="00926D6E">
              <w:rPr>
                <w:rFonts w:ascii="Arial" w:hAnsi="Arial" w:cs="Arial"/>
                <w:sz w:val="24"/>
                <w:szCs w:val="24"/>
                <w:lang w:val="es-UY"/>
              </w:rPr>
              <w:t xml:space="preserve">        </w:t>
            </w:r>
          </w:p>
          <w:p w:rsidR="00926D6E" w:rsidRPr="00926D6E" w:rsidRDefault="00926D6E" w:rsidP="006A2B03">
            <w:pPr>
              <w:rPr>
                <w:rFonts w:ascii="Arial" w:hAnsi="Arial" w:cs="Arial"/>
                <w:sz w:val="24"/>
                <w:szCs w:val="24"/>
                <w:lang w:val="es-UY"/>
              </w:rPr>
            </w:pPr>
          </w:p>
          <w:p w:rsidR="00006065" w:rsidRPr="00926D6E" w:rsidRDefault="00006065" w:rsidP="009E0C2F">
            <w:pPr>
              <w:spacing w:after="0" w:line="360" w:lineRule="auto"/>
              <w:jc w:val="both"/>
              <w:rPr>
                <w:rFonts w:ascii="Arial" w:hAnsi="Arial" w:cs="Arial"/>
                <w:sz w:val="24"/>
                <w:szCs w:val="24"/>
                <w:lang w:eastAsia="es-ES"/>
              </w:rPr>
            </w:pPr>
          </w:p>
        </w:tc>
      </w:tr>
      <w:tr w:rsidR="00006065" w:rsidTr="00926D6E">
        <w:trPr>
          <w:trHeight w:val="225"/>
          <w:tblCellSpacing w:w="0" w:type="dxa"/>
        </w:trPr>
        <w:tc>
          <w:tcPr>
            <w:tcW w:w="8801" w:type="dxa"/>
            <w:gridSpan w:val="3"/>
            <w:tcBorders>
              <w:top w:val="nil"/>
              <w:left w:val="nil"/>
              <w:bottom w:val="nil"/>
              <w:right w:val="nil"/>
            </w:tcBorders>
            <w:shd w:val="clear" w:color="auto" w:fill="FFFFFF"/>
            <w:vAlign w:val="center"/>
          </w:tcPr>
          <w:p w:rsidR="00006065" w:rsidRPr="00926D6E" w:rsidRDefault="00006065">
            <w:pPr>
              <w:spacing w:after="0" w:line="225" w:lineRule="atLeast"/>
              <w:rPr>
                <w:rFonts w:ascii="Arial" w:hAnsi="Arial" w:cs="Arial"/>
                <w:sz w:val="24"/>
                <w:szCs w:val="24"/>
                <w:lang w:eastAsia="es-ES"/>
              </w:rPr>
            </w:pPr>
          </w:p>
        </w:tc>
      </w:tr>
      <w:tr w:rsidR="00006065" w:rsidTr="00926D6E">
        <w:trPr>
          <w:tblCellSpacing w:w="0" w:type="dxa"/>
        </w:trPr>
        <w:tc>
          <w:tcPr>
            <w:tcW w:w="3526" w:type="dxa"/>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c>
          <w:tcPr>
            <w:tcW w:w="3497" w:type="dxa"/>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c>
          <w:tcPr>
            <w:tcW w:w="1778" w:type="dxa"/>
            <w:tcBorders>
              <w:top w:val="nil"/>
              <w:left w:val="nil"/>
              <w:bottom w:val="nil"/>
              <w:right w:val="nil"/>
            </w:tcBorders>
            <w:shd w:val="clear" w:color="auto" w:fill="FFFFFF"/>
            <w:vAlign w:val="center"/>
          </w:tcPr>
          <w:p w:rsidR="00006065" w:rsidRPr="00926D6E" w:rsidRDefault="00006065">
            <w:pPr>
              <w:spacing w:before="100" w:beforeAutospacing="1" w:after="100" w:afterAutospacing="1" w:line="240" w:lineRule="auto"/>
              <w:jc w:val="center"/>
              <w:rPr>
                <w:rFonts w:ascii="Arial" w:hAnsi="Arial" w:cs="Arial"/>
                <w:sz w:val="24"/>
                <w:szCs w:val="24"/>
                <w:lang w:eastAsia="es-ES"/>
              </w:rPr>
            </w:pPr>
          </w:p>
        </w:tc>
      </w:tr>
      <w:tr w:rsidR="00006065" w:rsidTr="00926D6E">
        <w:trPr>
          <w:trHeight w:val="225"/>
          <w:tblCellSpacing w:w="0" w:type="dxa"/>
        </w:trPr>
        <w:tc>
          <w:tcPr>
            <w:tcW w:w="3526" w:type="dxa"/>
            <w:tcBorders>
              <w:top w:val="nil"/>
              <w:left w:val="nil"/>
              <w:bottom w:val="nil"/>
              <w:right w:val="nil"/>
            </w:tcBorders>
            <w:shd w:val="clear" w:color="auto" w:fill="FFFFFF"/>
            <w:vAlign w:val="center"/>
          </w:tcPr>
          <w:p w:rsidR="00006065" w:rsidRPr="00926D6E" w:rsidRDefault="00006065">
            <w:pPr>
              <w:spacing w:after="0" w:line="225" w:lineRule="atLeast"/>
              <w:rPr>
                <w:rFonts w:ascii="Arial" w:hAnsi="Arial" w:cs="Arial"/>
                <w:sz w:val="24"/>
                <w:szCs w:val="24"/>
                <w:lang w:eastAsia="es-ES"/>
              </w:rPr>
            </w:pPr>
          </w:p>
        </w:tc>
        <w:tc>
          <w:tcPr>
            <w:tcW w:w="3497" w:type="dxa"/>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c>
          <w:tcPr>
            <w:tcW w:w="1778" w:type="dxa"/>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r>
      <w:tr w:rsidR="00006065" w:rsidTr="00926D6E">
        <w:trPr>
          <w:tblCellSpacing w:w="0" w:type="dxa"/>
        </w:trPr>
        <w:tc>
          <w:tcPr>
            <w:tcW w:w="3526" w:type="dxa"/>
            <w:tcBorders>
              <w:top w:val="nil"/>
              <w:left w:val="nil"/>
              <w:bottom w:val="nil"/>
              <w:right w:val="nil"/>
            </w:tcBorders>
            <w:shd w:val="clear" w:color="auto" w:fill="FFFFFF"/>
          </w:tcPr>
          <w:p w:rsidR="00006065" w:rsidRPr="00926D6E" w:rsidRDefault="00006065">
            <w:pPr>
              <w:spacing w:after="0" w:line="240" w:lineRule="auto"/>
              <w:rPr>
                <w:rFonts w:ascii="Arial" w:hAnsi="Arial" w:cs="Arial"/>
                <w:sz w:val="24"/>
                <w:szCs w:val="24"/>
                <w:lang w:eastAsia="es-ES"/>
              </w:rPr>
            </w:pPr>
          </w:p>
        </w:tc>
        <w:tc>
          <w:tcPr>
            <w:tcW w:w="3497" w:type="dxa"/>
            <w:tcBorders>
              <w:top w:val="nil"/>
              <w:left w:val="nil"/>
              <w:bottom w:val="nil"/>
              <w:right w:val="nil"/>
            </w:tcBorders>
            <w:shd w:val="clear" w:color="auto" w:fill="FFFFFF"/>
          </w:tcPr>
          <w:p w:rsidR="00006065" w:rsidRPr="00926D6E" w:rsidRDefault="00006065">
            <w:pPr>
              <w:spacing w:after="0" w:line="240" w:lineRule="auto"/>
              <w:rPr>
                <w:rFonts w:ascii="Arial" w:hAnsi="Arial" w:cs="Arial"/>
                <w:sz w:val="24"/>
                <w:szCs w:val="24"/>
                <w:lang w:eastAsia="es-ES"/>
              </w:rPr>
            </w:pPr>
          </w:p>
        </w:tc>
        <w:tc>
          <w:tcPr>
            <w:tcW w:w="1778" w:type="dxa"/>
            <w:tcBorders>
              <w:top w:val="nil"/>
              <w:left w:val="nil"/>
              <w:bottom w:val="nil"/>
              <w:right w:val="nil"/>
            </w:tcBorders>
            <w:shd w:val="clear" w:color="auto" w:fill="FFFFFF"/>
          </w:tcPr>
          <w:p w:rsidR="00006065" w:rsidRPr="00926D6E" w:rsidRDefault="00006065">
            <w:pPr>
              <w:spacing w:after="0" w:line="240" w:lineRule="auto"/>
              <w:rPr>
                <w:rFonts w:ascii="Arial" w:hAnsi="Arial" w:cs="Arial"/>
                <w:sz w:val="24"/>
                <w:szCs w:val="24"/>
                <w:lang w:eastAsia="es-ES"/>
              </w:rPr>
            </w:pPr>
          </w:p>
        </w:tc>
      </w:tr>
      <w:tr w:rsidR="00006065" w:rsidTr="00926D6E">
        <w:trPr>
          <w:tblCellSpacing w:w="0" w:type="dxa"/>
        </w:trPr>
        <w:tc>
          <w:tcPr>
            <w:tcW w:w="3526" w:type="dxa"/>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c>
          <w:tcPr>
            <w:tcW w:w="3497" w:type="dxa"/>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c>
          <w:tcPr>
            <w:tcW w:w="1778" w:type="dxa"/>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r>
      <w:tr w:rsidR="00006065" w:rsidTr="00926D6E">
        <w:trPr>
          <w:tblCellSpacing w:w="0" w:type="dxa"/>
        </w:trPr>
        <w:tc>
          <w:tcPr>
            <w:tcW w:w="3526" w:type="dxa"/>
            <w:tcBorders>
              <w:top w:val="nil"/>
              <w:left w:val="nil"/>
              <w:bottom w:val="nil"/>
              <w:right w:val="nil"/>
            </w:tcBorders>
            <w:shd w:val="clear" w:color="auto" w:fill="FFFFFF"/>
          </w:tcPr>
          <w:p w:rsidR="00006065" w:rsidRPr="00926D6E" w:rsidRDefault="00006065">
            <w:pPr>
              <w:spacing w:after="0" w:line="240" w:lineRule="auto"/>
              <w:rPr>
                <w:rFonts w:ascii="Arial" w:hAnsi="Arial" w:cs="Arial"/>
                <w:sz w:val="24"/>
                <w:szCs w:val="24"/>
                <w:lang w:eastAsia="es-ES"/>
              </w:rPr>
            </w:pPr>
          </w:p>
        </w:tc>
        <w:tc>
          <w:tcPr>
            <w:tcW w:w="3497" w:type="dxa"/>
            <w:tcBorders>
              <w:top w:val="nil"/>
              <w:left w:val="nil"/>
              <w:bottom w:val="nil"/>
              <w:right w:val="nil"/>
            </w:tcBorders>
            <w:shd w:val="clear" w:color="auto" w:fill="FFFFFF"/>
          </w:tcPr>
          <w:p w:rsidR="00006065" w:rsidRPr="00926D6E" w:rsidRDefault="00006065">
            <w:pPr>
              <w:spacing w:after="0" w:line="240" w:lineRule="auto"/>
              <w:rPr>
                <w:rFonts w:ascii="Arial" w:hAnsi="Arial" w:cs="Arial"/>
                <w:sz w:val="24"/>
                <w:szCs w:val="24"/>
                <w:lang w:eastAsia="es-ES"/>
              </w:rPr>
            </w:pPr>
          </w:p>
        </w:tc>
        <w:tc>
          <w:tcPr>
            <w:tcW w:w="1778" w:type="dxa"/>
            <w:tcBorders>
              <w:top w:val="nil"/>
              <w:left w:val="nil"/>
              <w:bottom w:val="nil"/>
              <w:right w:val="nil"/>
            </w:tcBorders>
            <w:shd w:val="clear" w:color="auto" w:fill="FFFFFF"/>
          </w:tcPr>
          <w:p w:rsidR="00006065" w:rsidRPr="00926D6E" w:rsidRDefault="00006065">
            <w:pPr>
              <w:spacing w:before="100" w:beforeAutospacing="1" w:after="100" w:afterAutospacing="1" w:line="240" w:lineRule="auto"/>
              <w:jc w:val="center"/>
              <w:rPr>
                <w:rFonts w:ascii="Arial" w:hAnsi="Arial" w:cs="Arial"/>
                <w:sz w:val="24"/>
                <w:szCs w:val="24"/>
                <w:lang w:eastAsia="es-ES"/>
              </w:rPr>
            </w:pPr>
          </w:p>
        </w:tc>
      </w:tr>
      <w:tr w:rsidR="00006065" w:rsidTr="00926D6E">
        <w:trPr>
          <w:tblCellSpacing w:w="0" w:type="dxa"/>
        </w:trPr>
        <w:tc>
          <w:tcPr>
            <w:tcW w:w="8801" w:type="dxa"/>
            <w:gridSpan w:val="3"/>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r>
      <w:tr w:rsidR="00006065" w:rsidTr="00926D6E">
        <w:trPr>
          <w:tblCellSpacing w:w="0" w:type="dxa"/>
        </w:trPr>
        <w:tc>
          <w:tcPr>
            <w:tcW w:w="8801" w:type="dxa"/>
            <w:gridSpan w:val="3"/>
            <w:tcBorders>
              <w:top w:val="nil"/>
              <w:left w:val="nil"/>
              <w:bottom w:val="nil"/>
              <w:right w:val="nil"/>
            </w:tcBorders>
            <w:shd w:val="clear" w:color="auto" w:fill="FFFFFF"/>
          </w:tcPr>
          <w:p w:rsidR="00006065" w:rsidRPr="00926D6E" w:rsidRDefault="00006065">
            <w:pPr>
              <w:spacing w:after="0" w:line="240" w:lineRule="auto"/>
              <w:rPr>
                <w:rFonts w:ascii="Arial" w:hAnsi="Arial" w:cs="Arial"/>
                <w:sz w:val="24"/>
                <w:szCs w:val="24"/>
                <w:lang w:eastAsia="es-ES"/>
              </w:rPr>
            </w:pPr>
          </w:p>
        </w:tc>
      </w:tr>
      <w:tr w:rsidR="00006065" w:rsidTr="00926D6E">
        <w:trPr>
          <w:trHeight w:val="225"/>
          <w:tblCellSpacing w:w="0" w:type="dxa"/>
        </w:trPr>
        <w:tc>
          <w:tcPr>
            <w:tcW w:w="8801" w:type="dxa"/>
            <w:gridSpan w:val="3"/>
            <w:tcBorders>
              <w:top w:val="nil"/>
              <w:left w:val="nil"/>
              <w:bottom w:val="nil"/>
              <w:right w:val="nil"/>
            </w:tcBorders>
            <w:shd w:val="clear" w:color="auto" w:fill="FFFFFF"/>
            <w:vAlign w:val="center"/>
          </w:tcPr>
          <w:p w:rsidR="00006065" w:rsidRPr="00926D6E" w:rsidRDefault="00006065">
            <w:pPr>
              <w:spacing w:after="0" w:line="240" w:lineRule="auto"/>
              <w:rPr>
                <w:rFonts w:ascii="Arial" w:hAnsi="Arial" w:cs="Arial"/>
                <w:sz w:val="24"/>
                <w:szCs w:val="24"/>
                <w:lang w:eastAsia="es-ES"/>
              </w:rPr>
            </w:pPr>
          </w:p>
        </w:tc>
      </w:tr>
      <w:tr w:rsidR="00006065" w:rsidTr="00926D6E">
        <w:trPr>
          <w:tblCellSpacing w:w="0" w:type="dxa"/>
        </w:trPr>
        <w:tc>
          <w:tcPr>
            <w:tcW w:w="8801" w:type="dxa"/>
            <w:gridSpan w:val="3"/>
            <w:tcBorders>
              <w:top w:val="nil"/>
              <w:left w:val="nil"/>
              <w:bottom w:val="nil"/>
              <w:right w:val="nil"/>
            </w:tcBorders>
            <w:shd w:val="clear" w:color="auto" w:fill="FFFFFF"/>
          </w:tcPr>
          <w:p w:rsidR="00006065" w:rsidRPr="00926D6E" w:rsidRDefault="00006065">
            <w:pPr>
              <w:spacing w:after="0" w:line="240" w:lineRule="auto"/>
              <w:rPr>
                <w:rFonts w:ascii="Arial" w:hAnsi="Arial" w:cs="Arial"/>
                <w:sz w:val="24"/>
                <w:szCs w:val="24"/>
                <w:lang w:eastAsia="es-ES"/>
              </w:rPr>
            </w:pPr>
          </w:p>
        </w:tc>
      </w:tr>
      <w:tr w:rsidR="00006065" w:rsidTr="00926D6E">
        <w:trPr>
          <w:tblCellSpacing w:w="0" w:type="dxa"/>
        </w:trPr>
        <w:tc>
          <w:tcPr>
            <w:tcW w:w="8801" w:type="dxa"/>
            <w:gridSpan w:val="3"/>
            <w:tcBorders>
              <w:top w:val="nil"/>
              <w:left w:val="nil"/>
              <w:bottom w:val="nil"/>
              <w:right w:val="nil"/>
            </w:tcBorders>
            <w:shd w:val="clear" w:color="auto" w:fill="FFFFFF"/>
          </w:tcPr>
          <w:p w:rsidR="00006065" w:rsidRPr="00926D6E" w:rsidRDefault="00006065">
            <w:pPr>
              <w:spacing w:after="0" w:line="240" w:lineRule="auto"/>
              <w:rPr>
                <w:rFonts w:ascii="Arial" w:hAnsi="Arial" w:cs="Arial"/>
                <w:sz w:val="24"/>
                <w:szCs w:val="24"/>
                <w:lang w:eastAsia="es-ES"/>
              </w:rPr>
            </w:pPr>
          </w:p>
        </w:tc>
      </w:tr>
      <w:tr w:rsidR="00006065" w:rsidTr="00926D6E">
        <w:trPr>
          <w:trHeight w:val="225"/>
          <w:tblCellSpacing w:w="0" w:type="dxa"/>
        </w:trPr>
        <w:tc>
          <w:tcPr>
            <w:tcW w:w="8801" w:type="dxa"/>
            <w:gridSpan w:val="3"/>
            <w:tcBorders>
              <w:top w:val="nil"/>
              <w:left w:val="nil"/>
              <w:bottom w:val="nil"/>
              <w:right w:val="nil"/>
            </w:tcBorders>
            <w:shd w:val="clear" w:color="auto" w:fill="FFFFFF"/>
            <w:vAlign w:val="center"/>
          </w:tcPr>
          <w:p w:rsidR="00006065" w:rsidRPr="00926D6E" w:rsidRDefault="00006065">
            <w:pPr>
              <w:spacing w:after="0" w:line="225" w:lineRule="atLeast"/>
              <w:rPr>
                <w:rFonts w:ascii="Arial" w:hAnsi="Arial" w:cs="Arial"/>
                <w:sz w:val="24"/>
                <w:szCs w:val="24"/>
                <w:lang w:eastAsia="es-ES"/>
              </w:rPr>
            </w:pPr>
          </w:p>
        </w:tc>
      </w:tr>
    </w:tbl>
    <w:p w:rsidR="00006065" w:rsidRDefault="00006065">
      <w:pPr>
        <w:rPr>
          <w:rFonts w:ascii="Times New Roman" w:hAnsi="Times New Roman" w:cs="Times New Roman"/>
        </w:rPr>
      </w:pPr>
    </w:p>
    <w:sectPr w:rsidR="00006065" w:rsidSect="00926D6E">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920"/>
    <w:multiLevelType w:val="hybridMultilevel"/>
    <w:tmpl w:val="B4B880FC"/>
    <w:lvl w:ilvl="0" w:tplc="CBF04AA6">
      <w:start w:val="1"/>
      <w:numFmt w:val="decimal"/>
      <w:lvlText w:val="%1)"/>
      <w:lvlJc w:val="left"/>
      <w:pPr>
        <w:tabs>
          <w:tab w:val="num" w:pos="675"/>
        </w:tabs>
        <w:ind w:left="675" w:hanging="360"/>
      </w:pPr>
      <w:rPr>
        <w:rFonts w:ascii="Arial" w:hAnsi="Arial" w:cs="Arial" w:hint="default"/>
        <w:b/>
        <w:bCs/>
      </w:rPr>
    </w:lvl>
    <w:lvl w:ilvl="1" w:tplc="0C0A0019">
      <w:start w:val="1"/>
      <w:numFmt w:val="lowerLetter"/>
      <w:lvlText w:val="%2."/>
      <w:lvlJc w:val="left"/>
      <w:pPr>
        <w:tabs>
          <w:tab w:val="num" w:pos="1395"/>
        </w:tabs>
        <w:ind w:left="1395" w:hanging="360"/>
      </w:pPr>
      <w:rPr>
        <w:rFonts w:ascii="Times New Roman" w:hAnsi="Times New Roman" w:cs="Times New Roman"/>
      </w:rPr>
    </w:lvl>
    <w:lvl w:ilvl="2" w:tplc="0C0A001B">
      <w:start w:val="1"/>
      <w:numFmt w:val="lowerRoman"/>
      <w:lvlText w:val="%3."/>
      <w:lvlJc w:val="right"/>
      <w:pPr>
        <w:tabs>
          <w:tab w:val="num" w:pos="2115"/>
        </w:tabs>
        <w:ind w:left="2115" w:hanging="180"/>
      </w:pPr>
      <w:rPr>
        <w:rFonts w:ascii="Times New Roman" w:hAnsi="Times New Roman" w:cs="Times New Roman"/>
      </w:rPr>
    </w:lvl>
    <w:lvl w:ilvl="3" w:tplc="0C0A000F">
      <w:start w:val="1"/>
      <w:numFmt w:val="decimal"/>
      <w:lvlText w:val="%4."/>
      <w:lvlJc w:val="left"/>
      <w:pPr>
        <w:tabs>
          <w:tab w:val="num" w:pos="2835"/>
        </w:tabs>
        <w:ind w:left="2835" w:hanging="360"/>
      </w:pPr>
      <w:rPr>
        <w:rFonts w:ascii="Times New Roman" w:hAnsi="Times New Roman" w:cs="Times New Roman"/>
      </w:rPr>
    </w:lvl>
    <w:lvl w:ilvl="4" w:tplc="0C0A0019">
      <w:start w:val="1"/>
      <w:numFmt w:val="lowerLetter"/>
      <w:lvlText w:val="%5."/>
      <w:lvlJc w:val="left"/>
      <w:pPr>
        <w:tabs>
          <w:tab w:val="num" w:pos="3555"/>
        </w:tabs>
        <w:ind w:left="3555" w:hanging="360"/>
      </w:pPr>
      <w:rPr>
        <w:rFonts w:ascii="Times New Roman" w:hAnsi="Times New Roman" w:cs="Times New Roman"/>
      </w:rPr>
    </w:lvl>
    <w:lvl w:ilvl="5" w:tplc="0C0A001B">
      <w:start w:val="1"/>
      <w:numFmt w:val="lowerRoman"/>
      <w:lvlText w:val="%6."/>
      <w:lvlJc w:val="right"/>
      <w:pPr>
        <w:tabs>
          <w:tab w:val="num" w:pos="4275"/>
        </w:tabs>
        <w:ind w:left="4275" w:hanging="180"/>
      </w:pPr>
      <w:rPr>
        <w:rFonts w:ascii="Times New Roman" w:hAnsi="Times New Roman" w:cs="Times New Roman"/>
      </w:rPr>
    </w:lvl>
    <w:lvl w:ilvl="6" w:tplc="0C0A000F">
      <w:start w:val="1"/>
      <w:numFmt w:val="decimal"/>
      <w:lvlText w:val="%7."/>
      <w:lvlJc w:val="left"/>
      <w:pPr>
        <w:tabs>
          <w:tab w:val="num" w:pos="4995"/>
        </w:tabs>
        <w:ind w:left="4995" w:hanging="360"/>
      </w:pPr>
      <w:rPr>
        <w:rFonts w:ascii="Times New Roman" w:hAnsi="Times New Roman" w:cs="Times New Roman"/>
      </w:rPr>
    </w:lvl>
    <w:lvl w:ilvl="7" w:tplc="0C0A0019">
      <w:start w:val="1"/>
      <w:numFmt w:val="lowerLetter"/>
      <w:lvlText w:val="%8."/>
      <w:lvlJc w:val="left"/>
      <w:pPr>
        <w:tabs>
          <w:tab w:val="num" w:pos="5715"/>
        </w:tabs>
        <w:ind w:left="5715" w:hanging="360"/>
      </w:pPr>
      <w:rPr>
        <w:rFonts w:ascii="Times New Roman" w:hAnsi="Times New Roman" w:cs="Times New Roman"/>
      </w:rPr>
    </w:lvl>
    <w:lvl w:ilvl="8" w:tplc="0C0A001B">
      <w:start w:val="1"/>
      <w:numFmt w:val="lowerRoman"/>
      <w:lvlText w:val="%9."/>
      <w:lvlJc w:val="right"/>
      <w:pPr>
        <w:tabs>
          <w:tab w:val="num" w:pos="6435"/>
        </w:tabs>
        <w:ind w:left="6435"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65"/>
    <w:rsid w:val="00006065"/>
    <w:rsid w:val="002A5516"/>
    <w:rsid w:val="005420AA"/>
    <w:rsid w:val="00926D6E"/>
    <w:rsid w:val="009E0C2F"/>
    <w:rsid w:val="00CF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qFormat/>
    <w:rsid w:val="00926D6E"/>
    <w:pPr>
      <w:keepNext/>
      <w:spacing w:after="0" w:line="360" w:lineRule="auto"/>
      <w:jc w:val="both"/>
      <w:outlineLvl w:val="0"/>
    </w:pPr>
    <w:rPr>
      <w:rFonts w:ascii="Arial" w:eastAsia="Times New Roman" w:hAnsi="Arial" w:cs="Arial"/>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Ttulo1Car">
    <w:name w:val="Título 1 Car"/>
    <w:basedOn w:val="Fuentedeprrafopredeter"/>
    <w:link w:val="Ttulo1"/>
    <w:rsid w:val="00926D6E"/>
    <w:rPr>
      <w:rFonts w:ascii="Arial" w:eastAsia="Times New Roman" w:hAnsi="Arial" w:cs="Arial"/>
      <w:b/>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qFormat/>
    <w:rsid w:val="00926D6E"/>
    <w:pPr>
      <w:keepNext/>
      <w:spacing w:after="0" w:line="360" w:lineRule="auto"/>
      <w:jc w:val="both"/>
      <w:outlineLvl w:val="0"/>
    </w:pPr>
    <w:rPr>
      <w:rFonts w:ascii="Arial" w:eastAsia="Times New Roman" w:hAnsi="Arial" w:cs="Arial"/>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Ttulo1Car">
    <w:name w:val="Título 1 Car"/>
    <w:basedOn w:val="Fuentedeprrafopredeter"/>
    <w:link w:val="Ttulo1"/>
    <w:rsid w:val="00926D6E"/>
    <w:rPr>
      <w:rFonts w:ascii="Arial" w:eastAsia="Times New Roman" w:hAnsi="Arial" w:cs="Arial"/>
      <w:b/>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1337</Words>
  <Characters>6990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CARPETA Nº 2017-17-1-0000302</vt:lpstr>
    </vt:vector>
  </TitlesOfParts>
  <Company>Tribunal de Cuentas</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2017-17-1-0000302</dc:title>
  <dc:creator>Tribunal1</dc:creator>
  <cp:lastModifiedBy>Miriam Cristina Rivero</cp:lastModifiedBy>
  <cp:revision>2</cp:revision>
  <cp:lastPrinted>2017-03-06T16:39:00Z</cp:lastPrinted>
  <dcterms:created xsi:type="dcterms:W3CDTF">2017-03-06T16:39:00Z</dcterms:created>
  <dcterms:modified xsi:type="dcterms:W3CDTF">2017-03-06T16:39:00Z</dcterms:modified>
</cp:coreProperties>
</file>