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F8" w:rsidRPr="00786EEB" w:rsidRDefault="003A47F8" w:rsidP="003A47F8">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3F690D">
        <w:rPr>
          <w:rFonts w:ascii="Arial" w:hAnsi="Arial" w:cs="Arial"/>
          <w:b/>
          <w:sz w:val="28"/>
          <w:szCs w:val="28"/>
          <w:lang w:val="es-ES_tradnl"/>
        </w:rPr>
        <w:t>751</w:t>
      </w:r>
      <w:r>
        <w:rPr>
          <w:rFonts w:ascii="Arial" w:hAnsi="Arial" w:cs="Arial"/>
          <w:b/>
          <w:sz w:val="28"/>
          <w:szCs w:val="28"/>
          <w:lang w:val="es-ES_tradnl"/>
        </w:rPr>
        <w:t>/17</w:t>
      </w:r>
    </w:p>
    <w:p w:rsidR="003A47F8" w:rsidRDefault="003A47F8" w:rsidP="003A47F8">
      <w:pPr>
        <w:tabs>
          <w:tab w:val="center" w:pos="4253"/>
        </w:tabs>
        <w:suppressAutoHyphens/>
        <w:jc w:val="right"/>
        <w:rPr>
          <w:rFonts w:ascii="Arial" w:hAnsi="Arial" w:cs="Arial"/>
          <w:b/>
          <w:lang w:val="es-ES_tradnl"/>
        </w:rPr>
      </w:pPr>
    </w:p>
    <w:p w:rsidR="003A47F8" w:rsidRPr="003F690D" w:rsidRDefault="003A47F8" w:rsidP="003A47F8">
      <w:pPr>
        <w:tabs>
          <w:tab w:val="center" w:pos="4253"/>
        </w:tabs>
        <w:suppressAutoHyphens/>
        <w:spacing w:after="0" w:line="240" w:lineRule="auto"/>
        <w:jc w:val="center"/>
        <w:rPr>
          <w:rFonts w:ascii="Arial" w:hAnsi="Arial" w:cs="Arial"/>
          <w:b/>
          <w:sz w:val="24"/>
          <w:szCs w:val="24"/>
          <w:lang w:val="es-ES_tradnl"/>
        </w:rPr>
      </w:pPr>
      <w:r w:rsidRPr="003F690D">
        <w:rPr>
          <w:rFonts w:ascii="Arial" w:hAnsi="Arial" w:cs="Arial"/>
          <w:b/>
          <w:sz w:val="24"/>
          <w:szCs w:val="24"/>
          <w:lang w:val="es-ES_tradnl"/>
        </w:rPr>
        <w:t>RESOLUCION ADOPTADA POR EL</w:t>
      </w:r>
    </w:p>
    <w:p w:rsidR="003A47F8" w:rsidRPr="003F690D" w:rsidRDefault="003A47F8" w:rsidP="003A47F8">
      <w:pPr>
        <w:tabs>
          <w:tab w:val="left" w:pos="-720"/>
        </w:tabs>
        <w:suppressAutoHyphens/>
        <w:spacing w:after="0" w:line="240" w:lineRule="auto"/>
        <w:jc w:val="center"/>
        <w:rPr>
          <w:rFonts w:ascii="Arial" w:hAnsi="Arial" w:cs="Arial"/>
          <w:b/>
          <w:sz w:val="24"/>
          <w:szCs w:val="24"/>
          <w:lang w:val="es-ES_tradnl"/>
        </w:rPr>
      </w:pPr>
    </w:p>
    <w:p w:rsidR="003A47F8" w:rsidRPr="003F690D" w:rsidRDefault="003A47F8" w:rsidP="003A47F8">
      <w:pPr>
        <w:tabs>
          <w:tab w:val="center" w:pos="4253"/>
        </w:tabs>
        <w:suppressAutoHyphens/>
        <w:spacing w:after="0" w:line="240" w:lineRule="auto"/>
        <w:jc w:val="center"/>
        <w:rPr>
          <w:rFonts w:ascii="Arial" w:hAnsi="Arial" w:cs="Arial"/>
          <w:b/>
          <w:sz w:val="24"/>
          <w:szCs w:val="24"/>
          <w:lang w:val="es-ES_tradnl"/>
        </w:rPr>
      </w:pPr>
      <w:r w:rsidRPr="003F690D">
        <w:rPr>
          <w:rFonts w:ascii="Arial" w:hAnsi="Arial" w:cs="Arial"/>
          <w:b/>
          <w:sz w:val="24"/>
          <w:szCs w:val="24"/>
          <w:lang w:val="es-ES_tradnl"/>
        </w:rPr>
        <w:t>TRIBUNAL DE CUENTAS</w:t>
      </w:r>
    </w:p>
    <w:p w:rsidR="003A47F8" w:rsidRPr="003F690D" w:rsidRDefault="003A47F8" w:rsidP="003A47F8">
      <w:pPr>
        <w:tabs>
          <w:tab w:val="left" w:pos="-720"/>
        </w:tabs>
        <w:suppressAutoHyphens/>
        <w:spacing w:after="0" w:line="240" w:lineRule="auto"/>
        <w:jc w:val="center"/>
        <w:rPr>
          <w:rFonts w:ascii="Arial" w:hAnsi="Arial" w:cs="Arial"/>
          <w:b/>
          <w:sz w:val="24"/>
          <w:szCs w:val="24"/>
          <w:lang w:val="es-ES_tradnl"/>
        </w:rPr>
      </w:pPr>
    </w:p>
    <w:p w:rsidR="003A47F8" w:rsidRPr="003F690D" w:rsidRDefault="003A47F8" w:rsidP="003A47F8">
      <w:pPr>
        <w:tabs>
          <w:tab w:val="center" w:pos="4253"/>
        </w:tabs>
        <w:suppressAutoHyphens/>
        <w:spacing w:after="0" w:line="240" w:lineRule="auto"/>
        <w:jc w:val="center"/>
        <w:rPr>
          <w:rFonts w:ascii="Arial" w:hAnsi="Arial" w:cs="Arial"/>
          <w:b/>
          <w:sz w:val="24"/>
          <w:szCs w:val="24"/>
          <w:lang w:val="es-ES_tradnl"/>
        </w:rPr>
      </w:pPr>
      <w:r w:rsidRPr="003F690D">
        <w:rPr>
          <w:rFonts w:ascii="Arial" w:hAnsi="Arial" w:cs="Arial"/>
          <w:b/>
          <w:sz w:val="24"/>
          <w:szCs w:val="24"/>
          <w:lang w:val="es-ES_tradnl"/>
        </w:rPr>
        <w:t xml:space="preserve">EN SESION DE FECHA 2 DE MARZO </w:t>
      </w:r>
      <w:r w:rsidRPr="003F690D">
        <w:rPr>
          <w:rFonts w:ascii="Helvetica" w:hAnsi="Helvetica"/>
          <w:b/>
          <w:sz w:val="24"/>
          <w:szCs w:val="24"/>
          <w:lang w:val="es-ES_tradnl"/>
        </w:rPr>
        <w:t>DE 2017</w:t>
      </w:r>
    </w:p>
    <w:p w:rsidR="003A47F8" w:rsidRPr="003F690D" w:rsidRDefault="003A47F8" w:rsidP="003A47F8">
      <w:pPr>
        <w:tabs>
          <w:tab w:val="center" w:pos="4253"/>
        </w:tabs>
        <w:suppressAutoHyphens/>
        <w:spacing w:after="0" w:line="240" w:lineRule="auto"/>
        <w:jc w:val="center"/>
        <w:rPr>
          <w:rFonts w:ascii="Arial" w:hAnsi="Arial" w:cs="Arial"/>
          <w:b/>
          <w:sz w:val="24"/>
          <w:szCs w:val="24"/>
          <w:lang w:val="es-ES_tradnl"/>
        </w:rPr>
      </w:pPr>
    </w:p>
    <w:p w:rsidR="003A47F8" w:rsidRPr="003F690D" w:rsidRDefault="003A47F8" w:rsidP="003A47F8">
      <w:pPr>
        <w:tabs>
          <w:tab w:val="center" w:pos="4253"/>
        </w:tabs>
        <w:suppressAutoHyphens/>
        <w:spacing w:after="0" w:line="240" w:lineRule="auto"/>
        <w:jc w:val="center"/>
        <w:rPr>
          <w:rFonts w:ascii="Arial" w:hAnsi="Arial" w:cs="Arial"/>
          <w:b/>
          <w:sz w:val="24"/>
          <w:szCs w:val="24"/>
          <w:lang w:val="es-AR"/>
        </w:rPr>
      </w:pPr>
      <w:r w:rsidRPr="003F690D">
        <w:rPr>
          <w:rFonts w:ascii="Arial" w:hAnsi="Arial" w:cs="Arial"/>
          <w:b/>
          <w:sz w:val="24"/>
          <w:szCs w:val="24"/>
          <w:lang w:val="es-AR"/>
        </w:rPr>
        <w:t>(E. E. Nº 2016-17-1-0009015, Ents. 7024/16, 648/17 y 957/17)</w:t>
      </w:r>
    </w:p>
    <w:p w:rsidR="003A47F8" w:rsidRPr="003F690D" w:rsidRDefault="003A47F8" w:rsidP="003A47F8">
      <w:pPr>
        <w:tabs>
          <w:tab w:val="center" w:pos="4253"/>
        </w:tabs>
        <w:suppressAutoHyphens/>
        <w:spacing w:after="0" w:line="240" w:lineRule="auto"/>
        <w:jc w:val="center"/>
        <w:rPr>
          <w:rFonts w:ascii="Arial" w:hAnsi="Arial" w:cs="Arial"/>
          <w:b/>
          <w:sz w:val="24"/>
          <w:szCs w:val="24"/>
          <w:lang w:val="es-AR"/>
        </w:rPr>
      </w:pPr>
    </w:p>
    <w:p w:rsidR="003A47F8" w:rsidRPr="003A47F8" w:rsidRDefault="003A47F8" w:rsidP="003A47F8">
      <w:pPr>
        <w:tabs>
          <w:tab w:val="center" w:pos="4253"/>
        </w:tabs>
        <w:suppressAutoHyphens/>
        <w:spacing w:after="0" w:line="240" w:lineRule="auto"/>
        <w:jc w:val="center"/>
        <w:rPr>
          <w:rFonts w:ascii="Arial" w:hAnsi="Arial" w:cs="Arial"/>
          <w:b/>
          <w:lang w:val="es-AR"/>
        </w:rPr>
      </w:pPr>
    </w:p>
    <w:p w:rsidR="008E3901" w:rsidRDefault="003A47F8" w:rsidP="008E3901">
      <w:pPr>
        <w:spacing w:after="0" w:line="360" w:lineRule="auto"/>
        <w:ind w:firstLine="851"/>
        <w:jc w:val="both"/>
        <w:rPr>
          <w:rFonts w:ascii="Arial" w:hAnsi="Arial" w:cs="Arial"/>
          <w:sz w:val="24"/>
          <w:szCs w:val="24"/>
          <w:lang w:val="es-ES"/>
        </w:rPr>
      </w:pPr>
      <w:r w:rsidRPr="003A47F8">
        <w:rPr>
          <w:rFonts w:ascii="Arial" w:hAnsi="Arial" w:cs="Arial"/>
          <w:b/>
          <w:bCs/>
          <w:sz w:val="24"/>
          <w:szCs w:val="24"/>
          <w:lang w:val="es-ES"/>
        </w:rPr>
        <w:t>VISTO:</w:t>
      </w:r>
      <w:r w:rsidRPr="003A47F8">
        <w:rPr>
          <w:rFonts w:ascii="Arial" w:hAnsi="Arial" w:cs="Arial"/>
          <w:sz w:val="24"/>
          <w:szCs w:val="24"/>
          <w:lang w:val="es-ES"/>
        </w:rPr>
        <w:t xml:space="preserve"> las actuaciones remitidas por la Administración de las Obras Sanitarias del Estado, relacionadas con </w:t>
      </w:r>
      <w:r w:rsidR="008E3901">
        <w:rPr>
          <w:rFonts w:ascii="Arial" w:hAnsi="Arial" w:cs="Arial"/>
          <w:sz w:val="24"/>
          <w:szCs w:val="24"/>
          <w:lang w:val="es-ES"/>
        </w:rPr>
        <w:t xml:space="preserve">la Licitación Publica Nº 16463 para </w:t>
      </w:r>
      <w:r w:rsidRPr="003A47F8">
        <w:rPr>
          <w:rFonts w:ascii="Arial" w:hAnsi="Arial" w:cs="Arial"/>
          <w:sz w:val="24"/>
          <w:szCs w:val="24"/>
          <w:lang w:val="es-ES"/>
        </w:rPr>
        <w:t>Contratación del Servicio de Operación y mantenimiento de las Plantas de tratamiento de agua residuales de la ciudad de Punta del Este (PTAR El Jagüel) y de Piriápolis (PTAR Piriápolis) y de los pozos de bombeo principales del Siste</w:t>
      </w:r>
      <w:r w:rsidR="008E3901">
        <w:rPr>
          <w:rFonts w:ascii="Arial" w:hAnsi="Arial" w:cs="Arial"/>
          <w:sz w:val="24"/>
          <w:szCs w:val="24"/>
          <w:lang w:val="es-ES"/>
        </w:rPr>
        <w:t>ma de Maldonado-Punta del Este;</w:t>
      </w:r>
    </w:p>
    <w:p w:rsidR="008E3901" w:rsidRDefault="003A47F8" w:rsidP="008E3901">
      <w:pPr>
        <w:spacing w:after="0" w:line="360" w:lineRule="auto"/>
        <w:ind w:firstLine="851"/>
        <w:jc w:val="both"/>
        <w:rPr>
          <w:rFonts w:ascii="Arial" w:hAnsi="Arial" w:cs="Arial"/>
          <w:sz w:val="24"/>
          <w:szCs w:val="24"/>
        </w:rPr>
      </w:pPr>
      <w:r>
        <w:rPr>
          <w:rFonts w:ascii="Arial" w:hAnsi="Arial" w:cs="Arial"/>
          <w:b/>
          <w:bCs/>
          <w:sz w:val="24"/>
          <w:szCs w:val="24"/>
          <w:lang w:val="es-ES"/>
        </w:rPr>
        <w:t>RESULTANDO: 1)</w:t>
      </w:r>
      <w:r>
        <w:rPr>
          <w:rFonts w:ascii="Arial" w:hAnsi="Arial" w:cs="Arial"/>
          <w:sz w:val="24"/>
          <w:szCs w:val="24"/>
          <w:lang w:val="es-ES"/>
        </w:rPr>
        <w:t xml:space="preserve"> que cumplidos los trámites legales con fecha 8.6.16 se </w:t>
      </w:r>
      <w:r>
        <w:rPr>
          <w:rFonts w:ascii="Arial" w:hAnsi="Arial" w:cs="Arial"/>
          <w:sz w:val="24"/>
          <w:szCs w:val="24"/>
        </w:rPr>
        <w:t xml:space="preserve">presentaron las </w:t>
      </w:r>
      <w:r w:rsidR="008E3901">
        <w:rPr>
          <w:rFonts w:ascii="Arial" w:hAnsi="Arial" w:cs="Arial"/>
          <w:sz w:val="24"/>
          <w:szCs w:val="24"/>
        </w:rPr>
        <w:t>siguientes firmas: Ingener S.A., Aqualia I</w:t>
      </w:r>
      <w:r>
        <w:rPr>
          <w:rFonts w:ascii="Arial" w:hAnsi="Arial" w:cs="Arial"/>
          <w:sz w:val="24"/>
          <w:szCs w:val="24"/>
        </w:rPr>
        <w:t>nfraestructuras S.A., Espina Obras Hidráulicas S.A. y  Ciem S.A.;</w:t>
      </w:r>
    </w:p>
    <w:p w:rsidR="008E3901" w:rsidRDefault="003A47F8" w:rsidP="008E3901">
      <w:pPr>
        <w:spacing w:after="0" w:line="360" w:lineRule="auto"/>
        <w:ind w:firstLine="2694"/>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w:t>
      </w:r>
      <w:r w:rsidR="008E3901">
        <w:rPr>
          <w:rFonts w:ascii="Arial" w:hAnsi="Arial" w:cs="Arial"/>
          <w:sz w:val="24"/>
          <w:szCs w:val="24"/>
        </w:rPr>
        <w:t xml:space="preserve">que se estudiaron las ofertas, </w:t>
      </w:r>
      <w:r>
        <w:rPr>
          <w:rFonts w:ascii="Arial" w:hAnsi="Arial" w:cs="Arial"/>
          <w:sz w:val="24"/>
          <w:szCs w:val="24"/>
        </w:rPr>
        <w:t>analizándose los requisitos formales, legales, y efectuándose la comparación económica y  técnica,  y en cuanto a este último punto la Comisión Asesora  consideró  la necesidad de ampliar  la información suministrada por las empresas  oferentes respecto a lo solicitado en el Capítulo III numeral 19 “Experiencia de la Empresa”, a todos los oferentes,  información  que fue presentada en tiempo y forma;</w:t>
      </w:r>
    </w:p>
    <w:p w:rsidR="008E3901" w:rsidRDefault="003A47F8" w:rsidP="008E3901">
      <w:pPr>
        <w:spacing w:after="0" w:line="360" w:lineRule="auto"/>
        <w:ind w:firstLine="2694"/>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la Comisión Asesora concluyó luego del estudio que las ofertas técnicamente admisibles  calificadas a efectos de la comparación son: Ing</w:t>
      </w:r>
      <w:r w:rsidR="008E3901">
        <w:rPr>
          <w:rFonts w:ascii="Arial" w:hAnsi="Arial" w:cs="Arial"/>
          <w:sz w:val="24"/>
          <w:szCs w:val="24"/>
        </w:rPr>
        <w:t>ener S.A., Espina S.A. y Ciemsa</w:t>
      </w:r>
      <w:r>
        <w:rPr>
          <w:rFonts w:ascii="Arial" w:hAnsi="Arial" w:cs="Arial"/>
          <w:sz w:val="24"/>
          <w:szCs w:val="24"/>
        </w:rPr>
        <w:t>;</w:t>
      </w:r>
    </w:p>
    <w:p w:rsidR="003A47F8" w:rsidRDefault="003A47F8" w:rsidP="008E3901">
      <w:pPr>
        <w:spacing w:after="0" w:line="360" w:lineRule="auto"/>
        <w:ind w:firstLine="2694"/>
        <w:jc w:val="both"/>
        <w:rPr>
          <w:rFonts w:ascii="Arial" w:hAnsi="Arial" w:cs="Arial"/>
          <w:sz w:val="24"/>
          <w:szCs w:val="24"/>
        </w:rPr>
      </w:pPr>
      <w:r>
        <w:rPr>
          <w:rFonts w:ascii="Arial" w:hAnsi="Arial" w:cs="Arial"/>
          <w:b/>
          <w:bCs/>
          <w:sz w:val="24"/>
          <w:szCs w:val="24"/>
        </w:rPr>
        <w:lastRenderedPageBreak/>
        <w:t>4)</w:t>
      </w:r>
      <w:r>
        <w:rPr>
          <w:rFonts w:ascii="Arial" w:hAnsi="Arial" w:cs="Arial"/>
          <w:sz w:val="24"/>
          <w:szCs w:val="24"/>
        </w:rPr>
        <w:t xml:space="preserve"> que por Acta</w:t>
      </w:r>
      <w:r w:rsidR="008E3901">
        <w:rPr>
          <w:rFonts w:ascii="Arial" w:hAnsi="Arial" w:cs="Arial"/>
          <w:sz w:val="24"/>
          <w:szCs w:val="24"/>
        </w:rPr>
        <w:t xml:space="preserve"> </w:t>
      </w:r>
      <w:r>
        <w:rPr>
          <w:rFonts w:ascii="Arial" w:hAnsi="Arial" w:cs="Arial"/>
          <w:sz w:val="24"/>
          <w:szCs w:val="24"/>
        </w:rPr>
        <w:t>de fecha 29.7.16,</w:t>
      </w:r>
      <w:r w:rsidR="008E3901">
        <w:rPr>
          <w:rFonts w:ascii="Arial" w:hAnsi="Arial" w:cs="Arial"/>
          <w:sz w:val="24"/>
          <w:szCs w:val="24"/>
        </w:rPr>
        <w:t xml:space="preserve"> </w:t>
      </w:r>
      <w:r>
        <w:rPr>
          <w:rFonts w:ascii="Arial" w:hAnsi="Arial" w:cs="Arial"/>
          <w:sz w:val="24"/>
          <w:szCs w:val="24"/>
        </w:rPr>
        <w:t>la Comisión Asesora  deja constancia  de la puntuación final  obtenida en  la instanc</w:t>
      </w:r>
      <w:r w:rsidR="008E3901">
        <w:rPr>
          <w:rFonts w:ascii="Arial" w:hAnsi="Arial" w:cs="Arial"/>
          <w:sz w:val="24"/>
          <w:szCs w:val="24"/>
        </w:rPr>
        <w:t>ia de calificación técnico econó</w:t>
      </w:r>
      <w:r>
        <w:rPr>
          <w:rFonts w:ascii="Arial" w:hAnsi="Arial" w:cs="Arial"/>
          <w:sz w:val="24"/>
          <w:szCs w:val="24"/>
        </w:rPr>
        <w:t xml:space="preserve">mica, según   el   siguiente detalle: </w:t>
      </w:r>
    </w:p>
    <w:p w:rsidR="003A47F8" w:rsidRDefault="003A47F8" w:rsidP="003A47F8">
      <w:pPr>
        <w:spacing w:line="360" w:lineRule="auto"/>
        <w:jc w:val="both"/>
        <w:rPr>
          <w:rFonts w:ascii="Arial" w:hAnsi="Arial"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80"/>
        <w:gridCol w:w="2029"/>
        <w:gridCol w:w="1745"/>
      </w:tblGrid>
      <w:tr w:rsidR="003A47F8" w:rsidTr="008E3901">
        <w:tc>
          <w:tcPr>
            <w:tcW w:w="2126" w:type="dxa"/>
            <w:tcBorders>
              <w:top w:val="single" w:sz="4" w:space="0" w:color="auto"/>
              <w:left w:val="single" w:sz="4" w:space="0" w:color="auto"/>
              <w:bottom w:val="single" w:sz="4" w:space="0" w:color="auto"/>
              <w:right w:val="single" w:sz="4" w:space="0" w:color="auto"/>
            </w:tcBorders>
          </w:tcPr>
          <w:p w:rsidR="003A47F8" w:rsidRDefault="003A47F8">
            <w:pPr>
              <w:spacing w:after="0" w:line="360" w:lineRule="auto"/>
              <w:jc w:val="both"/>
              <w:rPr>
                <w:rFonts w:ascii="Arial" w:hAnsi="Arial" w:cs="Arial"/>
                <w:sz w:val="24"/>
                <w:szCs w:val="24"/>
              </w:rPr>
            </w:pPr>
          </w:p>
        </w:tc>
        <w:tc>
          <w:tcPr>
            <w:tcW w:w="2180"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rPr>
            </w:pPr>
            <w:r>
              <w:rPr>
                <w:rFonts w:ascii="Arial" w:hAnsi="Arial" w:cs="Arial"/>
                <w:sz w:val="24"/>
                <w:szCs w:val="24"/>
              </w:rPr>
              <w:t>Calif. Técnica:</w:t>
            </w:r>
          </w:p>
        </w:tc>
        <w:tc>
          <w:tcPr>
            <w:tcW w:w="2029"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rPr>
            </w:pPr>
            <w:r>
              <w:rPr>
                <w:rFonts w:ascii="Arial" w:hAnsi="Arial" w:cs="Arial"/>
                <w:sz w:val="24"/>
                <w:szCs w:val="24"/>
              </w:rPr>
              <w:t>Calif. económica</w:t>
            </w:r>
          </w:p>
        </w:tc>
        <w:tc>
          <w:tcPr>
            <w:tcW w:w="1745"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rPr>
            </w:pPr>
            <w:r>
              <w:rPr>
                <w:rFonts w:ascii="Arial" w:hAnsi="Arial" w:cs="Arial"/>
                <w:sz w:val="24"/>
                <w:szCs w:val="24"/>
              </w:rPr>
              <w:t>Puntaje Total</w:t>
            </w:r>
          </w:p>
        </w:tc>
      </w:tr>
      <w:tr w:rsidR="003A47F8" w:rsidTr="008E3901">
        <w:tc>
          <w:tcPr>
            <w:tcW w:w="2126"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rPr>
            </w:pPr>
            <w:r>
              <w:rPr>
                <w:rFonts w:ascii="Arial" w:hAnsi="Arial" w:cs="Arial"/>
                <w:sz w:val="24"/>
                <w:szCs w:val="24"/>
              </w:rPr>
              <w:t>ESPINA S</w:t>
            </w:r>
            <w:r w:rsidR="008E3901">
              <w:rPr>
                <w:rFonts w:ascii="Arial" w:hAnsi="Arial" w:cs="Arial"/>
                <w:sz w:val="24"/>
                <w:szCs w:val="24"/>
              </w:rPr>
              <w:t>.</w:t>
            </w:r>
            <w:r>
              <w:rPr>
                <w:rFonts w:ascii="Arial" w:hAnsi="Arial" w:cs="Arial"/>
                <w:sz w:val="24"/>
                <w:szCs w:val="24"/>
              </w:rPr>
              <w:t>A</w:t>
            </w:r>
            <w:r w:rsidR="008E3901">
              <w:rPr>
                <w:rFonts w:ascii="Arial" w:hAnsi="Arial" w:cs="Arial"/>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rPr>
            </w:pPr>
            <w:r>
              <w:rPr>
                <w:rFonts w:ascii="Arial" w:hAnsi="Arial" w:cs="Arial"/>
                <w:sz w:val="24"/>
                <w:szCs w:val="24"/>
              </w:rPr>
              <w:t>100</w:t>
            </w:r>
          </w:p>
        </w:tc>
        <w:tc>
          <w:tcPr>
            <w:tcW w:w="2029" w:type="dxa"/>
            <w:tcBorders>
              <w:top w:val="single" w:sz="4" w:space="0" w:color="auto"/>
              <w:left w:val="single" w:sz="4" w:space="0" w:color="auto"/>
              <w:bottom w:val="single" w:sz="4" w:space="0" w:color="auto"/>
              <w:right w:val="single" w:sz="4" w:space="0" w:color="auto"/>
            </w:tcBorders>
            <w:hideMark/>
          </w:tcPr>
          <w:p w:rsidR="003A47F8" w:rsidRDefault="008E3901">
            <w:pPr>
              <w:spacing w:after="0" w:line="360" w:lineRule="auto"/>
              <w:jc w:val="both"/>
              <w:rPr>
                <w:rFonts w:ascii="Arial" w:hAnsi="Arial" w:cs="Arial"/>
                <w:sz w:val="24"/>
                <w:szCs w:val="24"/>
              </w:rPr>
            </w:pPr>
            <w:r>
              <w:rPr>
                <w:rFonts w:ascii="Arial" w:hAnsi="Arial" w:cs="Arial"/>
                <w:sz w:val="24"/>
                <w:szCs w:val="24"/>
              </w:rPr>
              <w:t xml:space="preserve">  </w:t>
            </w:r>
            <w:r w:rsidR="003A47F8">
              <w:rPr>
                <w:rFonts w:ascii="Arial" w:hAnsi="Arial" w:cs="Arial"/>
                <w:sz w:val="24"/>
                <w:szCs w:val="24"/>
              </w:rPr>
              <w:t>48</w:t>
            </w:r>
          </w:p>
        </w:tc>
        <w:tc>
          <w:tcPr>
            <w:tcW w:w="1745"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rPr>
            </w:pPr>
            <w:r>
              <w:rPr>
                <w:rFonts w:ascii="Arial" w:hAnsi="Arial" w:cs="Arial"/>
                <w:sz w:val="24"/>
                <w:szCs w:val="24"/>
              </w:rPr>
              <w:t>79</w:t>
            </w:r>
          </w:p>
        </w:tc>
      </w:tr>
      <w:tr w:rsidR="003A47F8" w:rsidTr="008E3901">
        <w:tc>
          <w:tcPr>
            <w:tcW w:w="2126"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rPr>
            </w:pPr>
            <w:r>
              <w:rPr>
                <w:rFonts w:ascii="Arial" w:hAnsi="Arial" w:cs="Arial"/>
                <w:sz w:val="24"/>
                <w:szCs w:val="24"/>
              </w:rPr>
              <w:t>CIEMSA</w:t>
            </w:r>
          </w:p>
        </w:tc>
        <w:tc>
          <w:tcPr>
            <w:tcW w:w="2180" w:type="dxa"/>
            <w:tcBorders>
              <w:top w:val="single" w:sz="4" w:space="0" w:color="auto"/>
              <w:left w:val="single" w:sz="4" w:space="0" w:color="auto"/>
              <w:bottom w:val="single" w:sz="4" w:space="0" w:color="auto"/>
              <w:right w:val="single" w:sz="4" w:space="0" w:color="auto"/>
            </w:tcBorders>
            <w:hideMark/>
          </w:tcPr>
          <w:p w:rsidR="003A47F8" w:rsidRDefault="008E3901">
            <w:pPr>
              <w:spacing w:after="0" w:line="360" w:lineRule="auto"/>
              <w:jc w:val="both"/>
              <w:rPr>
                <w:rFonts w:ascii="Arial" w:hAnsi="Arial" w:cs="Arial"/>
                <w:sz w:val="24"/>
                <w:szCs w:val="24"/>
              </w:rPr>
            </w:pPr>
            <w:r>
              <w:rPr>
                <w:rFonts w:ascii="Arial" w:hAnsi="Arial" w:cs="Arial"/>
                <w:sz w:val="24"/>
                <w:szCs w:val="24"/>
              </w:rPr>
              <w:t xml:space="preserve">  </w:t>
            </w:r>
            <w:r w:rsidR="003A47F8">
              <w:rPr>
                <w:rFonts w:ascii="Arial" w:hAnsi="Arial" w:cs="Arial"/>
                <w:sz w:val="24"/>
                <w:szCs w:val="24"/>
              </w:rPr>
              <w:t>89</w:t>
            </w:r>
          </w:p>
        </w:tc>
        <w:tc>
          <w:tcPr>
            <w:tcW w:w="2029" w:type="dxa"/>
            <w:tcBorders>
              <w:top w:val="single" w:sz="4" w:space="0" w:color="auto"/>
              <w:left w:val="single" w:sz="4" w:space="0" w:color="auto"/>
              <w:bottom w:val="single" w:sz="4" w:space="0" w:color="auto"/>
              <w:right w:val="single" w:sz="4" w:space="0" w:color="auto"/>
            </w:tcBorders>
            <w:hideMark/>
          </w:tcPr>
          <w:p w:rsidR="003A47F8" w:rsidRDefault="008E3901">
            <w:pPr>
              <w:spacing w:after="0" w:line="360" w:lineRule="auto"/>
              <w:jc w:val="both"/>
              <w:rPr>
                <w:rFonts w:ascii="Arial" w:hAnsi="Arial" w:cs="Arial"/>
                <w:sz w:val="24"/>
                <w:szCs w:val="24"/>
              </w:rPr>
            </w:pPr>
            <w:r>
              <w:rPr>
                <w:rFonts w:ascii="Arial" w:hAnsi="Arial" w:cs="Arial"/>
                <w:sz w:val="24"/>
                <w:szCs w:val="24"/>
              </w:rPr>
              <w:t xml:space="preserve">  </w:t>
            </w:r>
            <w:r w:rsidR="003A47F8">
              <w:rPr>
                <w:rFonts w:ascii="Arial" w:hAnsi="Arial" w:cs="Arial"/>
                <w:sz w:val="24"/>
                <w:szCs w:val="24"/>
              </w:rPr>
              <w:t>16</w:t>
            </w:r>
          </w:p>
        </w:tc>
        <w:tc>
          <w:tcPr>
            <w:tcW w:w="1745"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rPr>
            </w:pPr>
            <w:r>
              <w:rPr>
                <w:rFonts w:ascii="Arial" w:hAnsi="Arial" w:cs="Arial"/>
                <w:sz w:val="24"/>
                <w:szCs w:val="24"/>
              </w:rPr>
              <w:t>60</w:t>
            </w:r>
          </w:p>
        </w:tc>
      </w:tr>
      <w:tr w:rsidR="003A47F8" w:rsidTr="008E3901">
        <w:tc>
          <w:tcPr>
            <w:tcW w:w="2126"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highlight w:val="lightGray"/>
              </w:rPr>
            </w:pPr>
            <w:r>
              <w:rPr>
                <w:rFonts w:ascii="Arial" w:hAnsi="Arial" w:cs="Arial"/>
                <w:sz w:val="24"/>
                <w:szCs w:val="24"/>
                <w:highlight w:val="lightGray"/>
              </w:rPr>
              <w:t>INGENER S</w:t>
            </w:r>
            <w:r w:rsidR="008E3901">
              <w:rPr>
                <w:rFonts w:ascii="Arial" w:hAnsi="Arial" w:cs="Arial"/>
                <w:sz w:val="24"/>
                <w:szCs w:val="24"/>
                <w:highlight w:val="lightGray"/>
              </w:rPr>
              <w:t>.</w:t>
            </w:r>
            <w:r>
              <w:rPr>
                <w:rFonts w:ascii="Arial" w:hAnsi="Arial" w:cs="Arial"/>
                <w:sz w:val="24"/>
                <w:szCs w:val="24"/>
                <w:highlight w:val="lightGray"/>
              </w:rPr>
              <w:t>A</w:t>
            </w:r>
            <w:r w:rsidR="008E3901">
              <w:rPr>
                <w:rFonts w:ascii="Arial" w:hAnsi="Arial" w:cs="Arial"/>
                <w:sz w:val="24"/>
                <w:szCs w:val="24"/>
                <w:highlight w:val="lightGray"/>
              </w:rPr>
              <w:t>.</w:t>
            </w:r>
          </w:p>
        </w:tc>
        <w:tc>
          <w:tcPr>
            <w:tcW w:w="2180" w:type="dxa"/>
            <w:tcBorders>
              <w:top w:val="single" w:sz="4" w:space="0" w:color="auto"/>
              <w:left w:val="single" w:sz="4" w:space="0" w:color="auto"/>
              <w:bottom w:val="single" w:sz="4" w:space="0" w:color="auto"/>
              <w:right w:val="single" w:sz="4" w:space="0" w:color="auto"/>
            </w:tcBorders>
            <w:hideMark/>
          </w:tcPr>
          <w:p w:rsidR="003A47F8" w:rsidRDefault="008E3901">
            <w:pPr>
              <w:spacing w:after="0" w:line="360" w:lineRule="auto"/>
              <w:jc w:val="both"/>
              <w:rPr>
                <w:rFonts w:ascii="Arial" w:hAnsi="Arial" w:cs="Arial"/>
                <w:sz w:val="24"/>
                <w:szCs w:val="24"/>
                <w:highlight w:val="lightGray"/>
              </w:rPr>
            </w:pPr>
            <w:r>
              <w:rPr>
                <w:rFonts w:ascii="Arial" w:hAnsi="Arial" w:cs="Arial"/>
                <w:sz w:val="24"/>
                <w:szCs w:val="24"/>
                <w:highlight w:val="lightGray"/>
              </w:rPr>
              <w:t xml:space="preserve">  </w:t>
            </w:r>
            <w:r w:rsidR="003A47F8">
              <w:rPr>
                <w:rFonts w:ascii="Arial" w:hAnsi="Arial" w:cs="Arial"/>
                <w:sz w:val="24"/>
                <w:szCs w:val="24"/>
                <w:highlight w:val="lightGray"/>
              </w:rPr>
              <w:t>90</w:t>
            </w:r>
          </w:p>
        </w:tc>
        <w:tc>
          <w:tcPr>
            <w:tcW w:w="2029"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highlight w:val="lightGray"/>
              </w:rPr>
            </w:pPr>
            <w:r>
              <w:rPr>
                <w:rFonts w:ascii="Arial" w:hAnsi="Arial" w:cs="Arial"/>
                <w:sz w:val="24"/>
                <w:szCs w:val="24"/>
                <w:highlight w:val="lightGray"/>
              </w:rPr>
              <w:t>100</w:t>
            </w:r>
          </w:p>
        </w:tc>
        <w:tc>
          <w:tcPr>
            <w:tcW w:w="1745" w:type="dxa"/>
            <w:tcBorders>
              <w:top w:val="single" w:sz="4" w:space="0" w:color="auto"/>
              <w:left w:val="single" w:sz="4" w:space="0" w:color="auto"/>
              <w:bottom w:val="single" w:sz="4" w:space="0" w:color="auto"/>
              <w:right w:val="single" w:sz="4" w:space="0" w:color="auto"/>
            </w:tcBorders>
            <w:hideMark/>
          </w:tcPr>
          <w:p w:rsidR="003A47F8" w:rsidRDefault="003A47F8">
            <w:pPr>
              <w:spacing w:after="0" w:line="360" w:lineRule="auto"/>
              <w:jc w:val="both"/>
              <w:rPr>
                <w:rFonts w:ascii="Arial" w:hAnsi="Arial" w:cs="Arial"/>
                <w:sz w:val="24"/>
                <w:szCs w:val="24"/>
                <w:highlight w:val="lightGray"/>
              </w:rPr>
            </w:pPr>
            <w:r>
              <w:rPr>
                <w:rFonts w:ascii="Arial" w:hAnsi="Arial" w:cs="Arial"/>
                <w:sz w:val="24"/>
                <w:szCs w:val="24"/>
                <w:highlight w:val="lightGray"/>
              </w:rPr>
              <w:t>94</w:t>
            </w:r>
          </w:p>
        </w:tc>
      </w:tr>
    </w:tbl>
    <w:p w:rsidR="008E3901" w:rsidRDefault="008E3901" w:rsidP="003A47F8">
      <w:pPr>
        <w:spacing w:line="360" w:lineRule="auto"/>
        <w:jc w:val="both"/>
        <w:rPr>
          <w:rFonts w:ascii="Arial" w:hAnsi="Arial" w:cs="Arial"/>
          <w:sz w:val="24"/>
          <w:szCs w:val="24"/>
        </w:rPr>
      </w:pPr>
    </w:p>
    <w:p w:rsidR="003A47F8" w:rsidRDefault="003A47F8" w:rsidP="008E3901">
      <w:pPr>
        <w:spacing w:after="0" w:line="360" w:lineRule="auto"/>
        <w:jc w:val="both"/>
        <w:rPr>
          <w:rFonts w:ascii="Arial" w:hAnsi="Arial" w:cs="Arial"/>
          <w:sz w:val="24"/>
          <w:szCs w:val="24"/>
        </w:rPr>
      </w:pPr>
      <w:r>
        <w:rPr>
          <w:rFonts w:ascii="Arial" w:hAnsi="Arial" w:cs="Arial"/>
          <w:sz w:val="24"/>
          <w:szCs w:val="24"/>
        </w:rPr>
        <w:t>Por lo tanto se sugiere la adjudicación a la firma Ingener S</w:t>
      </w:r>
      <w:r w:rsidR="008E3901">
        <w:rPr>
          <w:rFonts w:ascii="Arial" w:hAnsi="Arial" w:cs="Arial"/>
          <w:sz w:val="24"/>
          <w:szCs w:val="24"/>
        </w:rPr>
        <w:t>.A., por un monto total de $ 77:</w:t>
      </w:r>
      <w:r>
        <w:rPr>
          <w:rFonts w:ascii="Arial" w:hAnsi="Arial" w:cs="Arial"/>
          <w:sz w:val="24"/>
          <w:szCs w:val="24"/>
        </w:rPr>
        <w:t>381.281, que inc</w:t>
      </w:r>
      <w:r w:rsidR="008E3901">
        <w:rPr>
          <w:rFonts w:ascii="Arial" w:hAnsi="Arial" w:cs="Arial"/>
          <w:sz w:val="24"/>
          <w:szCs w:val="24"/>
        </w:rPr>
        <w:t>luye IVA y ajustes paramétricos.</w:t>
      </w:r>
    </w:p>
    <w:p w:rsidR="008E3901" w:rsidRDefault="003A47F8" w:rsidP="008E3901">
      <w:pPr>
        <w:spacing w:after="0" w:line="360" w:lineRule="auto"/>
        <w:jc w:val="both"/>
        <w:rPr>
          <w:rFonts w:ascii="Arial" w:hAnsi="Arial" w:cs="Arial"/>
          <w:sz w:val="24"/>
          <w:szCs w:val="24"/>
        </w:rPr>
      </w:pPr>
      <w:r>
        <w:rPr>
          <w:rFonts w:ascii="Arial" w:hAnsi="Arial" w:cs="Arial"/>
          <w:sz w:val="24"/>
          <w:szCs w:val="24"/>
        </w:rPr>
        <w:t>La firma Aqualia Infraestructura S</w:t>
      </w:r>
      <w:r w:rsidR="008E3901">
        <w:rPr>
          <w:rFonts w:ascii="Arial" w:hAnsi="Arial" w:cs="Arial"/>
          <w:sz w:val="24"/>
          <w:szCs w:val="24"/>
        </w:rPr>
        <w:t>.</w:t>
      </w:r>
      <w:r>
        <w:rPr>
          <w:rFonts w:ascii="Arial" w:hAnsi="Arial" w:cs="Arial"/>
          <w:sz w:val="24"/>
          <w:szCs w:val="24"/>
        </w:rPr>
        <w:t>A</w:t>
      </w:r>
      <w:r w:rsidR="008E3901">
        <w:rPr>
          <w:rFonts w:ascii="Arial" w:hAnsi="Arial" w:cs="Arial"/>
          <w:sz w:val="24"/>
          <w:szCs w:val="24"/>
        </w:rPr>
        <w:t>.</w:t>
      </w:r>
      <w:r>
        <w:rPr>
          <w:rFonts w:ascii="Arial" w:hAnsi="Arial" w:cs="Arial"/>
          <w:sz w:val="24"/>
          <w:szCs w:val="24"/>
        </w:rPr>
        <w:t xml:space="preserve">, fue descartada por tener observaciones formales y técnicas, por cuanto: </w:t>
      </w:r>
      <w:r w:rsidRPr="008E3901">
        <w:rPr>
          <w:rFonts w:ascii="Arial" w:hAnsi="Arial" w:cs="Arial"/>
          <w:b/>
          <w:sz w:val="24"/>
          <w:szCs w:val="24"/>
        </w:rPr>
        <w:t>a)</w:t>
      </w:r>
      <w:r>
        <w:rPr>
          <w:rFonts w:ascii="Arial" w:hAnsi="Arial" w:cs="Arial"/>
          <w:sz w:val="24"/>
          <w:szCs w:val="24"/>
        </w:rPr>
        <w:t xml:space="preserve"> no cumplió con la experiencia requerida en el numeral 19 del Cap. II del Pliego, al no declarar al menos un contrato por concepto de operación y mantenimiento de PTARS superior a 2 años, con caudales de tratamiento de 250m</w:t>
      </w:r>
      <w:r w:rsidRPr="008E3901">
        <w:rPr>
          <w:rFonts w:ascii="Arial" w:hAnsi="Arial" w:cs="Arial"/>
          <w:sz w:val="24"/>
          <w:szCs w:val="24"/>
          <w:vertAlign w:val="superscript"/>
        </w:rPr>
        <w:t>3</w:t>
      </w:r>
      <w:r>
        <w:rPr>
          <w:rFonts w:ascii="Arial" w:hAnsi="Arial" w:cs="Arial"/>
          <w:sz w:val="24"/>
          <w:szCs w:val="24"/>
        </w:rPr>
        <w:t>/h o superiores, sistema de desinfección en base a radiación ultravioleta y sistema mecanizado de deshidratación de lodos, ya que los contratos declarados pertenecen a la firma FCC AQUALIA S</w:t>
      </w:r>
      <w:r w:rsidR="008E3901">
        <w:rPr>
          <w:rFonts w:ascii="Arial" w:hAnsi="Arial" w:cs="Arial"/>
          <w:sz w:val="24"/>
          <w:szCs w:val="24"/>
        </w:rPr>
        <w:t>.</w:t>
      </w:r>
      <w:r>
        <w:rPr>
          <w:rFonts w:ascii="Arial" w:hAnsi="Arial" w:cs="Arial"/>
          <w:sz w:val="24"/>
          <w:szCs w:val="24"/>
        </w:rPr>
        <w:t xml:space="preserve">A.; </w:t>
      </w:r>
      <w:r w:rsidRPr="008E3901">
        <w:rPr>
          <w:rFonts w:ascii="Arial" w:hAnsi="Arial" w:cs="Arial"/>
          <w:b/>
          <w:sz w:val="24"/>
          <w:szCs w:val="24"/>
        </w:rPr>
        <w:t>b)</w:t>
      </w:r>
      <w:r>
        <w:rPr>
          <w:rFonts w:ascii="Arial" w:hAnsi="Arial" w:cs="Arial"/>
          <w:sz w:val="24"/>
          <w:szCs w:val="24"/>
        </w:rPr>
        <w:t xml:space="preserve">en relación al personal técnico superior, el postulante presentado para el cargo de Jefe de Tratamiento no surge que se encuentre registrado en DINAMA; </w:t>
      </w:r>
      <w:r w:rsidRPr="008E3901">
        <w:rPr>
          <w:rFonts w:ascii="Arial" w:hAnsi="Arial" w:cs="Arial"/>
          <w:b/>
          <w:sz w:val="24"/>
          <w:szCs w:val="24"/>
        </w:rPr>
        <w:t>c)</w:t>
      </w:r>
      <w:r>
        <w:rPr>
          <w:rFonts w:ascii="Arial" w:hAnsi="Arial" w:cs="Arial"/>
          <w:sz w:val="24"/>
          <w:szCs w:val="24"/>
        </w:rPr>
        <w:t xml:space="preserve"> no declaró en la oferta un número mínimo en la plantilla estable del personal obrero para la ate</w:t>
      </w:r>
      <w:r w:rsidR="008E3901">
        <w:rPr>
          <w:rFonts w:ascii="Arial" w:hAnsi="Arial" w:cs="Arial"/>
          <w:sz w:val="24"/>
          <w:szCs w:val="24"/>
        </w:rPr>
        <w:t>nción del servicio, de acuerdo con lo requerido en el P</w:t>
      </w:r>
      <w:r>
        <w:rPr>
          <w:rFonts w:ascii="Arial" w:hAnsi="Arial" w:cs="Arial"/>
          <w:sz w:val="24"/>
          <w:szCs w:val="24"/>
        </w:rPr>
        <w:t>liego;</w:t>
      </w:r>
    </w:p>
    <w:p w:rsidR="008E3901" w:rsidRDefault="003A47F8" w:rsidP="008E3901">
      <w:pPr>
        <w:spacing w:after="0" w:line="360" w:lineRule="auto"/>
        <w:ind w:firstLine="2694"/>
        <w:jc w:val="both"/>
        <w:rPr>
          <w:rFonts w:ascii="Arial" w:hAnsi="Arial" w:cs="Arial"/>
          <w:sz w:val="24"/>
          <w:szCs w:val="24"/>
        </w:rPr>
      </w:pPr>
      <w:r w:rsidRPr="008E3901">
        <w:rPr>
          <w:rFonts w:ascii="Arial" w:hAnsi="Arial" w:cs="Arial"/>
          <w:b/>
          <w:sz w:val="24"/>
          <w:szCs w:val="24"/>
        </w:rPr>
        <w:t>5</w:t>
      </w:r>
      <w:r>
        <w:rPr>
          <w:rFonts w:ascii="Arial" w:hAnsi="Arial" w:cs="Arial"/>
          <w:b/>
          <w:bCs/>
          <w:sz w:val="24"/>
          <w:szCs w:val="24"/>
        </w:rPr>
        <w:t>)</w:t>
      </w:r>
      <w:r w:rsidR="008E3901">
        <w:rPr>
          <w:rFonts w:ascii="Arial" w:hAnsi="Arial" w:cs="Arial"/>
          <w:sz w:val="24"/>
          <w:szCs w:val="24"/>
        </w:rPr>
        <w:t xml:space="preserve"> </w:t>
      </w:r>
      <w:r>
        <w:rPr>
          <w:rFonts w:ascii="Arial" w:hAnsi="Arial" w:cs="Arial"/>
          <w:sz w:val="24"/>
          <w:szCs w:val="24"/>
        </w:rPr>
        <w:t>que el Directorio de la Unidad de Gestión Desconcentrada de Maldonado, por Resolución Nº 27/16 de fecha 9.8.16, disp</w:t>
      </w:r>
      <w:r w:rsidR="008E3901">
        <w:rPr>
          <w:rFonts w:ascii="Arial" w:hAnsi="Arial" w:cs="Arial"/>
          <w:sz w:val="24"/>
          <w:szCs w:val="24"/>
        </w:rPr>
        <w:t>one la adjudicación de acuerdo con lo</w:t>
      </w:r>
      <w:r>
        <w:rPr>
          <w:rFonts w:ascii="Arial" w:hAnsi="Arial" w:cs="Arial"/>
          <w:sz w:val="24"/>
          <w:szCs w:val="24"/>
        </w:rPr>
        <w:t xml:space="preserve"> sugerido por la Comisión Asesora, y autorizar el crédito por un total de $ 77:381.281 impuestos y ajustes incluidos, para atender la erogación dispuesta;</w:t>
      </w:r>
    </w:p>
    <w:p w:rsidR="00352284" w:rsidRDefault="003A47F8" w:rsidP="00352284">
      <w:pPr>
        <w:spacing w:after="0" w:line="360" w:lineRule="auto"/>
        <w:ind w:firstLine="2694"/>
        <w:jc w:val="both"/>
        <w:rPr>
          <w:rFonts w:ascii="Arial" w:hAnsi="Arial" w:cs="Arial"/>
          <w:sz w:val="24"/>
          <w:szCs w:val="24"/>
        </w:rPr>
      </w:pPr>
      <w:r w:rsidRPr="00352284">
        <w:rPr>
          <w:rFonts w:ascii="Arial" w:hAnsi="Arial" w:cs="Arial"/>
          <w:b/>
          <w:sz w:val="24"/>
          <w:szCs w:val="24"/>
        </w:rPr>
        <w:lastRenderedPageBreak/>
        <w:t>6</w:t>
      </w:r>
      <w:r>
        <w:rPr>
          <w:rFonts w:ascii="Arial" w:hAnsi="Arial" w:cs="Arial"/>
          <w:b/>
          <w:bCs/>
          <w:sz w:val="24"/>
          <w:szCs w:val="24"/>
        </w:rPr>
        <w:t>)</w:t>
      </w:r>
      <w:r>
        <w:rPr>
          <w:rFonts w:ascii="Arial" w:hAnsi="Arial" w:cs="Arial"/>
          <w:sz w:val="24"/>
          <w:szCs w:val="24"/>
        </w:rPr>
        <w:t xml:space="preserve"> que se notificó a los oferentes de la  mencionada Resolución con fecha  19.8.16;</w:t>
      </w:r>
    </w:p>
    <w:p w:rsidR="00352284" w:rsidRDefault="003A47F8" w:rsidP="00352284">
      <w:pPr>
        <w:spacing w:after="0" w:line="360" w:lineRule="auto"/>
        <w:ind w:firstLine="2694"/>
        <w:jc w:val="both"/>
        <w:rPr>
          <w:rFonts w:ascii="Arial" w:hAnsi="Arial" w:cs="Arial"/>
          <w:sz w:val="24"/>
          <w:szCs w:val="24"/>
        </w:rPr>
      </w:pPr>
      <w:r w:rsidRPr="00352284">
        <w:rPr>
          <w:rFonts w:ascii="Arial" w:hAnsi="Arial" w:cs="Arial"/>
          <w:b/>
          <w:sz w:val="24"/>
          <w:szCs w:val="24"/>
        </w:rPr>
        <w:t>7</w:t>
      </w:r>
      <w:r>
        <w:rPr>
          <w:rFonts w:ascii="Arial" w:hAnsi="Arial" w:cs="Arial"/>
          <w:b/>
          <w:bCs/>
          <w:sz w:val="24"/>
          <w:szCs w:val="24"/>
        </w:rPr>
        <w:t>)</w:t>
      </w:r>
      <w:r>
        <w:rPr>
          <w:rFonts w:ascii="Arial" w:hAnsi="Arial" w:cs="Arial"/>
          <w:sz w:val="24"/>
          <w:szCs w:val="24"/>
        </w:rPr>
        <w:t xml:space="preserve"> que dicha Resolución fue  impugnada por la firma Ciemsa, habiendo interpuesto recurso de revocación, jerárquico y anulación en subsidio; aduciendo irregularidades en el procedimiento licitatorio tales como: </w:t>
      </w:r>
      <w:r w:rsidRPr="00352284">
        <w:rPr>
          <w:rFonts w:ascii="Arial" w:hAnsi="Arial" w:cs="Arial"/>
          <w:b/>
          <w:sz w:val="24"/>
          <w:szCs w:val="24"/>
        </w:rPr>
        <w:t>a)</w:t>
      </w:r>
      <w:r>
        <w:rPr>
          <w:rFonts w:ascii="Arial" w:hAnsi="Arial" w:cs="Arial"/>
          <w:sz w:val="24"/>
          <w:szCs w:val="24"/>
        </w:rPr>
        <w:t xml:space="preserve"> aparta</w:t>
      </w:r>
      <w:r w:rsidR="00352284">
        <w:rPr>
          <w:rFonts w:ascii="Arial" w:hAnsi="Arial" w:cs="Arial"/>
          <w:sz w:val="24"/>
          <w:szCs w:val="24"/>
        </w:rPr>
        <w:t>miento de lo preceptuado en el A</w:t>
      </w:r>
      <w:r>
        <w:rPr>
          <w:rFonts w:ascii="Arial" w:hAnsi="Arial" w:cs="Arial"/>
          <w:sz w:val="24"/>
          <w:szCs w:val="24"/>
        </w:rPr>
        <w:t>rt</w:t>
      </w:r>
      <w:r w:rsidR="00352284">
        <w:rPr>
          <w:rFonts w:ascii="Arial" w:hAnsi="Arial" w:cs="Arial"/>
          <w:sz w:val="24"/>
          <w:szCs w:val="24"/>
        </w:rPr>
        <w:t>ículo</w:t>
      </w:r>
      <w:r>
        <w:rPr>
          <w:rFonts w:ascii="Arial" w:hAnsi="Arial" w:cs="Arial"/>
          <w:sz w:val="24"/>
          <w:szCs w:val="24"/>
        </w:rPr>
        <w:t xml:space="preserve"> 16 de Pliego  General  para los contratos y suministros no personales,  que prevé la notificación a todos los oferentes del acto de adjudicación; </w:t>
      </w:r>
      <w:r w:rsidRPr="00352284">
        <w:rPr>
          <w:rFonts w:ascii="Arial" w:hAnsi="Arial" w:cs="Arial"/>
          <w:b/>
          <w:sz w:val="24"/>
          <w:szCs w:val="24"/>
        </w:rPr>
        <w:t>b)</w:t>
      </w:r>
      <w:r>
        <w:rPr>
          <w:rFonts w:ascii="Arial" w:hAnsi="Arial" w:cs="Arial"/>
          <w:sz w:val="24"/>
          <w:szCs w:val="24"/>
        </w:rPr>
        <w:t xml:space="preserve"> omisión de cumplir con el manifiesto de las resultancias del i</w:t>
      </w:r>
      <w:r w:rsidR="00352284">
        <w:rPr>
          <w:rFonts w:ascii="Arial" w:hAnsi="Arial" w:cs="Arial"/>
          <w:sz w:val="24"/>
          <w:szCs w:val="24"/>
        </w:rPr>
        <w:t>nforme de la Comisión Asesora (A</w:t>
      </w:r>
      <w:r>
        <w:rPr>
          <w:rFonts w:ascii="Arial" w:hAnsi="Arial" w:cs="Arial"/>
          <w:sz w:val="24"/>
          <w:szCs w:val="24"/>
        </w:rPr>
        <w:t>rt</w:t>
      </w:r>
      <w:r w:rsidR="00352284">
        <w:rPr>
          <w:rFonts w:ascii="Arial" w:hAnsi="Arial" w:cs="Arial"/>
          <w:sz w:val="24"/>
          <w:szCs w:val="24"/>
        </w:rPr>
        <w:t>ículo</w:t>
      </w:r>
      <w:r>
        <w:rPr>
          <w:rFonts w:ascii="Arial" w:hAnsi="Arial" w:cs="Arial"/>
          <w:sz w:val="24"/>
          <w:szCs w:val="24"/>
        </w:rPr>
        <w:t xml:space="preserve"> 67 TOCAF) previo a la adjudicación y con posterioridad al pronunciamiento de la Comisión Asesora donde  debían  ponerse de manifiesto las actuaciones, extremo que fue omitido, y  </w:t>
      </w:r>
      <w:r w:rsidRPr="00352284">
        <w:rPr>
          <w:rFonts w:ascii="Arial" w:hAnsi="Arial" w:cs="Arial"/>
          <w:b/>
          <w:sz w:val="24"/>
          <w:szCs w:val="24"/>
        </w:rPr>
        <w:t>c)</w:t>
      </w:r>
      <w:r>
        <w:rPr>
          <w:rFonts w:ascii="Arial" w:hAnsi="Arial" w:cs="Arial"/>
          <w:sz w:val="24"/>
          <w:szCs w:val="24"/>
        </w:rPr>
        <w:t xml:space="preserve"> apartamientos  al Pliego de la empresa adjudicataria  al no considerar el total de los costos  necesarios para la ejecución del contrato, al no presentar las cartas de acreditación de los supervisores generales ni justificado que las carreras cursadas en UTU hayan tenido una duración de 4 años ni agregar la acreditación de los estudios académicos y experiencia laboral del Jefe de tratamiento;</w:t>
      </w:r>
    </w:p>
    <w:p w:rsidR="00352284" w:rsidRDefault="003A47F8" w:rsidP="00352284">
      <w:pPr>
        <w:spacing w:after="0" w:line="360" w:lineRule="auto"/>
        <w:ind w:firstLine="2694"/>
        <w:jc w:val="both"/>
        <w:rPr>
          <w:rFonts w:ascii="Arial" w:hAnsi="Arial" w:cs="Arial"/>
          <w:sz w:val="24"/>
          <w:szCs w:val="24"/>
        </w:rPr>
      </w:pPr>
      <w:r w:rsidRPr="00352284">
        <w:rPr>
          <w:rFonts w:ascii="Arial" w:hAnsi="Arial" w:cs="Arial"/>
          <w:b/>
          <w:sz w:val="24"/>
          <w:szCs w:val="24"/>
        </w:rPr>
        <w:t>8</w:t>
      </w:r>
      <w:r>
        <w:rPr>
          <w:rFonts w:ascii="Arial" w:hAnsi="Arial" w:cs="Arial"/>
          <w:b/>
          <w:bCs/>
          <w:sz w:val="24"/>
          <w:szCs w:val="24"/>
        </w:rPr>
        <w:t>)</w:t>
      </w:r>
      <w:r>
        <w:rPr>
          <w:rFonts w:ascii="Arial" w:hAnsi="Arial" w:cs="Arial"/>
          <w:sz w:val="24"/>
          <w:szCs w:val="24"/>
        </w:rPr>
        <w:t xml:space="preserve"> que por Resolución Nº 1450/16 de fecha 15.10.16 el Directorio,  dispone levantar el efecto suspensivo de la vía recursiva interpuesta por Ciemsa contra la Resolución  de adjudicación  del Directorio de la Unidad de Gestión Desconcentrada de Mald</w:t>
      </w:r>
      <w:r w:rsidR="00352284">
        <w:rPr>
          <w:rFonts w:ascii="Arial" w:hAnsi="Arial" w:cs="Arial"/>
          <w:sz w:val="24"/>
          <w:szCs w:val="24"/>
        </w:rPr>
        <w:t>onado Nº 27/16 de fecha 9.8.16;</w:t>
      </w:r>
    </w:p>
    <w:p w:rsidR="00352284" w:rsidRDefault="00352284" w:rsidP="00352284">
      <w:pPr>
        <w:spacing w:after="0" w:line="360" w:lineRule="auto"/>
        <w:ind w:firstLine="2694"/>
        <w:jc w:val="both"/>
        <w:rPr>
          <w:rFonts w:ascii="Arial" w:hAnsi="Arial" w:cs="Arial"/>
          <w:sz w:val="24"/>
          <w:szCs w:val="24"/>
        </w:rPr>
      </w:pPr>
      <w:r w:rsidRPr="00352284">
        <w:rPr>
          <w:rFonts w:ascii="Arial" w:hAnsi="Arial" w:cs="Arial"/>
          <w:b/>
          <w:sz w:val="24"/>
          <w:szCs w:val="24"/>
        </w:rPr>
        <w:t>9)</w:t>
      </w:r>
      <w:r w:rsidR="003A47F8">
        <w:rPr>
          <w:rFonts w:ascii="Arial" w:hAnsi="Arial" w:cs="Arial"/>
          <w:sz w:val="24"/>
          <w:szCs w:val="24"/>
        </w:rPr>
        <w:t xml:space="preserve"> que por Resolución Nº R/D UGD 44/16  de fecha 6.12.16, el Ordenador dispone no hacer lugar  y franquear el recurso jerárquico</w:t>
      </w:r>
      <w:r>
        <w:rPr>
          <w:rFonts w:ascii="Arial" w:hAnsi="Arial" w:cs="Arial"/>
          <w:sz w:val="24"/>
          <w:szCs w:val="24"/>
        </w:rPr>
        <w:t xml:space="preserve"> interpuesto ante el Directorio</w:t>
      </w:r>
      <w:r w:rsidR="003A47F8">
        <w:rPr>
          <w:rFonts w:ascii="Arial" w:hAnsi="Arial" w:cs="Arial"/>
          <w:sz w:val="24"/>
          <w:szCs w:val="24"/>
        </w:rPr>
        <w:t xml:space="preserve">, expresando que el </w:t>
      </w:r>
      <w:r>
        <w:rPr>
          <w:rFonts w:ascii="Arial" w:hAnsi="Arial" w:cs="Arial"/>
          <w:sz w:val="24"/>
          <w:szCs w:val="24"/>
        </w:rPr>
        <w:t xml:space="preserve">dictamen de la Comisión Asesora </w:t>
      </w:r>
      <w:r w:rsidR="003A47F8">
        <w:rPr>
          <w:rFonts w:ascii="Arial" w:hAnsi="Arial" w:cs="Arial"/>
          <w:sz w:val="24"/>
          <w:szCs w:val="24"/>
        </w:rPr>
        <w:t>concluyó que no existió irregularidad en el proceder de la Administración, atento a que notificó vía mail la adjudicación a todos los oferentes, el procedimiento licitatorio no supera el cuádruple del monto máximo previsto en el</w:t>
      </w:r>
      <w:r>
        <w:rPr>
          <w:rFonts w:ascii="Arial" w:hAnsi="Arial" w:cs="Arial"/>
          <w:sz w:val="24"/>
          <w:szCs w:val="24"/>
        </w:rPr>
        <w:t xml:space="preserve"> Artículo</w:t>
      </w:r>
      <w:r w:rsidR="003A47F8">
        <w:rPr>
          <w:rFonts w:ascii="Arial" w:hAnsi="Arial" w:cs="Arial"/>
          <w:sz w:val="24"/>
          <w:szCs w:val="24"/>
        </w:rPr>
        <w:t xml:space="preserve"> 67 del TOCAF , por lo cual no corresponde dar vista a los oferentes, en las instancias de rechazo de ofertas y porque no surgen acreditados los apartamientos señalados por la agraviada, que el Sr. William</w:t>
      </w:r>
      <w:r>
        <w:rPr>
          <w:rFonts w:ascii="Arial" w:hAnsi="Arial" w:cs="Arial"/>
          <w:sz w:val="24"/>
          <w:szCs w:val="24"/>
        </w:rPr>
        <w:t xml:space="preserve"> cumple con lo requerido en el P</w:t>
      </w:r>
      <w:r w:rsidR="003A47F8">
        <w:rPr>
          <w:rFonts w:ascii="Arial" w:hAnsi="Arial" w:cs="Arial"/>
          <w:sz w:val="24"/>
          <w:szCs w:val="24"/>
        </w:rPr>
        <w:t xml:space="preserve">liego por cuanto presenta un documento expedido por la empresa que acredita haber desarrollado trabajos de supervisor con similares características a las exigidas para el cargo por un lapso superior a 5 años en la operación y mantenimiento de </w:t>
      </w:r>
      <w:r>
        <w:rPr>
          <w:rFonts w:ascii="Arial" w:hAnsi="Arial" w:cs="Arial"/>
          <w:sz w:val="24"/>
          <w:szCs w:val="24"/>
        </w:rPr>
        <w:t>la Planta de tratamiento de la C</w:t>
      </w:r>
      <w:r w:rsidR="003A47F8">
        <w:rPr>
          <w:rFonts w:ascii="Arial" w:hAnsi="Arial" w:cs="Arial"/>
          <w:sz w:val="24"/>
          <w:szCs w:val="24"/>
        </w:rPr>
        <w:t>iudad de Durazno entre el 2005 y 2011, y re</w:t>
      </w:r>
      <w:r>
        <w:rPr>
          <w:rFonts w:ascii="Arial" w:hAnsi="Arial" w:cs="Arial"/>
          <w:sz w:val="24"/>
          <w:szCs w:val="24"/>
        </w:rPr>
        <w:t>specto a  D. Murdoc se agrega tí</w:t>
      </w:r>
      <w:r w:rsidR="003A47F8">
        <w:rPr>
          <w:rFonts w:ascii="Arial" w:hAnsi="Arial" w:cs="Arial"/>
          <w:sz w:val="24"/>
          <w:szCs w:val="24"/>
        </w:rPr>
        <w:t>tulo de ingeniero químico correspondiente, resultando irrelevante otro tipo de acreditación;</w:t>
      </w:r>
    </w:p>
    <w:p w:rsidR="003A47F8" w:rsidRDefault="003A47F8" w:rsidP="00352284">
      <w:pPr>
        <w:spacing w:after="0" w:line="360" w:lineRule="auto"/>
        <w:ind w:firstLine="2694"/>
        <w:jc w:val="both"/>
        <w:rPr>
          <w:rFonts w:ascii="Arial" w:hAnsi="Arial" w:cs="Arial"/>
          <w:sz w:val="24"/>
          <w:szCs w:val="24"/>
        </w:rPr>
      </w:pPr>
      <w:r>
        <w:rPr>
          <w:rFonts w:ascii="Arial" w:hAnsi="Arial" w:cs="Arial"/>
          <w:b/>
          <w:bCs/>
          <w:sz w:val="24"/>
          <w:szCs w:val="24"/>
        </w:rPr>
        <w:t>10)</w:t>
      </w:r>
      <w:r>
        <w:rPr>
          <w:rFonts w:ascii="Arial" w:hAnsi="Arial" w:cs="Arial"/>
          <w:sz w:val="24"/>
          <w:szCs w:val="24"/>
        </w:rPr>
        <w:t xml:space="preserve"> que franqueado el recurso jerárquico el Directorio,  por Resolución </w:t>
      </w:r>
      <w:r w:rsidR="00352284">
        <w:rPr>
          <w:rFonts w:ascii="Arial" w:hAnsi="Arial" w:cs="Arial"/>
          <w:sz w:val="24"/>
          <w:szCs w:val="24"/>
        </w:rPr>
        <w:t>Nº R/D 1741/16 de fecha 7.12.16</w:t>
      </w:r>
      <w:r>
        <w:rPr>
          <w:rFonts w:ascii="Arial" w:hAnsi="Arial" w:cs="Arial"/>
          <w:sz w:val="24"/>
          <w:szCs w:val="24"/>
        </w:rPr>
        <w:t xml:space="preserve">, se dispone no hacer lugar al recurso jerárquico interpuesto por Ciemsa y franquear el recurso de anulación ante el Poder Ejecutivo, manifestando que la División Asesoría Letrada, en opinión compartida por la Gerencia Jurídica Notarial, concluyó que: </w:t>
      </w:r>
      <w:r w:rsidRPr="00352284">
        <w:rPr>
          <w:rFonts w:ascii="Arial" w:hAnsi="Arial" w:cs="Arial"/>
          <w:b/>
          <w:sz w:val="24"/>
          <w:szCs w:val="24"/>
        </w:rPr>
        <w:t>a)</w:t>
      </w:r>
      <w:r>
        <w:rPr>
          <w:rFonts w:ascii="Arial" w:hAnsi="Arial" w:cs="Arial"/>
          <w:sz w:val="24"/>
          <w:szCs w:val="24"/>
        </w:rPr>
        <w:t xml:space="preserve">  la actuación de  la Administración resultó  ajustada a derecho, en tanto, la recurrente fue oportunamente  notificada de la adjudicación  resistida, </w:t>
      </w:r>
      <w:r w:rsidRPr="00352284">
        <w:rPr>
          <w:rFonts w:ascii="Arial" w:hAnsi="Arial" w:cs="Arial"/>
          <w:b/>
          <w:sz w:val="24"/>
          <w:szCs w:val="24"/>
        </w:rPr>
        <w:t>b)</w:t>
      </w:r>
      <w:r>
        <w:rPr>
          <w:rFonts w:ascii="Arial" w:hAnsi="Arial" w:cs="Arial"/>
          <w:sz w:val="24"/>
          <w:szCs w:val="24"/>
        </w:rPr>
        <w:t xml:space="preserve">  no  asiste razón a la recurrente en lo que hace a la alegada ausencia de manifiesto de las resultancias del informe de la Comis</w:t>
      </w:r>
      <w:r w:rsidR="00352284">
        <w:rPr>
          <w:rFonts w:ascii="Arial" w:hAnsi="Arial" w:cs="Arial"/>
          <w:sz w:val="24"/>
          <w:szCs w:val="24"/>
        </w:rPr>
        <w:t>ión Asesora, (A</w:t>
      </w:r>
      <w:r>
        <w:rPr>
          <w:rFonts w:ascii="Arial" w:hAnsi="Arial" w:cs="Arial"/>
          <w:sz w:val="24"/>
          <w:szCs w:val="24"/>
        </w:rPr>
        <w:t>rt</w:t>
      </w:r>
      <w:r w:rsidR="00352284">
        <w:rPr>
          <w:rFonts w:ascii="Arial" w:hAnsi="Arial" w:cs="Arial"/>
          <w:sz w:val="24"/>
          <w:szCs w:val="24"/>
        </w:rPr>
        <w:t>ículo</w:t>
      </w:r>
      <w:r>
        <w:rPr>
          <w:rFonts w:ascii="Arial" w:hAnsi="Arial" w:cs="Arial"/>
          <w:sz w:val="24"/>
          <w:szCs w:val="24"/>
        </w:rPr>
        <w:t xml:space="preserve"> 67 del TOCAF)  ya que los mismos están previstos para los casos en que el monto adjudicado supere,  el cuádruple máximo previsto para la licitación abreviada, y en el presente caso el valor no superaba dicho monto; </w:t>
      </w:r>
    </w:p>
    <w:p w:rsidR="00352284" w:rsidRDefault="003A47F8" w:rsidP="00352284">
      <w:pPr>
        <w:spacing w:after="0" w:line="360" w:lineRule="auto"/>
        <w:ind w:firstLine="851"/>
        <w:jc w:val="both"/>
        <w:rPr>
          <w:rFonts w:ascii="Arial" w:hAnsi="Arial" w:cs="Arial"/>
          <w:sz w:val="24"/>
          <w:szCs w:val="24"/>
        </w:rPr>
      </w:pPr>
      <w:r>
        <w:rPr>
          <w:rFonts w:ascii="Arial" w:hAnsi="Arial" w:cs="Arial"/>
          <w:b/>
          <w:bCs/>
          <w:sz w:val="24"/>
          <w:szCs w:val="24"/>
        </w:rPr>
        <w:t>CONSIDERANDO: 1)</w:t>
      </w:r>
      <w:r>
        <w:rPr>
          <w:rFonts w:ascii="Arial" w:hAnsi="Arial" w:cs="Arial"/>
          <w:sz w:val="24"/>
          <w:szCs w:val="24"/>
        </w:rPr>
        <w:t xml:space="preserve"> que el levantamiento del efecto suspensivo, dispuesto por Resolución 1450/16 de 19.10.2016 habilita a este Tribunal a expedirse;</w:t>
      </w:r>
    </w:p>
    <w:p w:rsidR="00352284" w:rsidRDefault="003A47F8" w:rsidP="00352284">
      <w:pPr>
        <w:spacing w:after="0" w:line="360" w:lineRule="auto"/>
        <w:ind w:firstLine="3119"/>
        <w:jc w:val="both"/>
        <w:rPr>
          <w:rFonts w:ascii="Arial" w:hAnsi="Arial" w:cs="Arial"/>
          <w:sz w:val="24"/>
          <w:szCs w:val="24"/>
        </w:rPr>
      </w:pPr>
      <w:r>
        <w:rPr>
          <w:rFonts w:ascii="Arial" w:hAnsi="Arial" w:cs="Arial"/>
          <w:b/>
          <w:bCs/>
          <w:sz w:val="24"/>
          <w:szCs w:val="24"/>
        </w:rPr>
        <w:t>2)</w:t>
      </w:r>
      <w:r w:rsidR="00352284">
        <w:rPr>
          <w:rFonts w:ascii="Arial" w:hAnsi="Arial" w:cs="Arial"/>
          <w:sz w:val="24"/>
          <w:szCs w:val="24"/>
        </w:rPr>
        <w:t xml:space="preserve"> que la vista prevista por  el A</w:t>
      </w:r>
      <w:r>
        <w:rPr>
          <w:rFonts w:ascii="Arial" w:hAnsi="Arial" w:cs="Arial"/>
          <w:sz w:val="24"/>
          <w:szCs w:val="24"/>
        </w:rPr>
        <w:t>rtículo  67 del TOCAF, dispone se confiera cuando el procedimiento competitivo de contratación supere el cuádruple del monto máximo para la licitación  abreviada y en el presente caso no  se supera dicho monto,  por lo cual  la Administración no está obligada a dar vista del dictamen de la Comisión Asesora;</w:t>
      </w:r>
    </w:p>
    <w:p w:rsidR="003A47F8" w:rsidRDefault="003A47F8" w:rsidP="00352284">
      <w:pPr>
        <w:spacing w:after="0" w:line="360" w:lineRule="auto"/>
        <w:ind w:firstLine="3119"/>
        <w:jc w:val="both"/>
        <w:rPr>
          <w:rFonts w:ascii="Arial" w:hAnsi="Arial" w:cs="Arial"/>
          <w:sz w:val="24"/>
          <w:szCs w:val="24"/>
        </w:rPr>
      </w:pPr>
      <w:r w:rsidRPr="00352284">
        <w:rPr>
          <w:rFonts w:ascii="Arial" w:hAnsi="Arial" w:cs="Arial"/>
          <w:b/>
          <w:sz w:val="24"/>
          <w:szCs w:val="24"/>
        </w:rPr>
        <w:t>3)</w:t>
      </w:r>
      <w:r>
        <w:rPr>
          <w:rFonts w:ascii="Arial" w:hAnsi="Arial" w:cs="Arial"/>
          <w:sz w:val="24"/>
          <w:szCs w:val="24"/>
        </w:rPr>
        <w:t xml:space="preserve"> que respecto a los cuestionamientos efectuados a los té</w:t>
      </w:r>
      <w:r w:rsidR="00352284">
        <w:rPr>
          <w:rFonts w:ascii="Arial" w:hAnsi="Arial" w:cs="Arial"/>
          <w:sz w:val="24"/>
          <w:szCs w:val="24"/>
        </w:rPr>
        <w:t>cnicos de la empresa que resultó</w:t>
      </w:r>
      <w:r>
        <w:rPr>
          <w:rFonts w:ascii="Arial" w:hAnsi="Arial" w:cs="Arial"/>
          <w:sz w:val="24"/>
          <w:szCs w:val="24"/>
        </w:rPr>
        <w:t xml:space="preserve"> adjudicataria, respecto a la acreditación de los estudios efectuados, fue analizado y justificado por la Administración actuante;</w:t>
      </w:r>
    </w:p>
    <w:p w:rsidR="003A47F8" w:rsidRDefault="003A47F8" w:rsidP="00352284">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expuesto precedent</w:t>
      </w:r>
      <w:r w:rsidR="00352284">
        <w:rPr>
          <w:rFonts w:ascii="Arial" w:hAnsi="Arial" w:cs="Arial"/>
          <w:sz w:val="24"/>
          <w:szCs w:val="24"/>
        </w:rPr>
        <w:t>emente y a lo dispuesto por el A</w:t>
      </w:r>
      <w:r>
        <w:rPr>
          <w:rFonts w:ascii="Arial" w:hAnsi="Arial" w:cs="Arial"/>
          <w:sz w:val="24"/>
          <w:szCs w:val="24"/>
        </w:rPr>
        <w:t>rt</w:t>
      </w:r>
      <w:r w:rsidR="00352284">
        <w:rPr>
          <w:rFonts w:ascii="Arial" w:hAnsi="Arial" w:cs="Arial"/>
          <w:sz w:val="24"/>
          <w:szCs w:val="24"/>
        </w:rPr>
        <w:t>ículo 211 L</w:t>
      </w:r>
      <w:r>
        <w:rPr>
          <w:rFonts w:ascii="Arial" w:hAnsi="Arial" w:cs="Arial"/>
          <w:sz w:val="24"/>
          <w:szCs w:val="24"/>
        </w:rPr>
        <w:t>it</w:t>
      </w:r>
      <w:r w:rsidR="00352284">
        <w:rPr>
          <w:rFonts w:ascii="Arial" w:hAnsi="Arial" w:cs="Arial"/>
          <w:sz w:val="24"/>
          <w:szCs w:val="24"/>
        </w:rPr>
        <w:t>eral</w:t>
      </w:r>
      <w:r>
        <w:rPr>
          <w:rFonts w:ascii="Arial" w:hAnsi="Arial" w:cs="Arial"/>
          <w:sz w:val="24"/>
          <w:szCs w:val="24"/>
        </w:rPr>
        <w:t xml:space="preserve"> B) de la Constitución de la Republica;</w:t>
      </w:r>
    </w:p>
    <w:p w:rsidR="003A47F8" w:rsidRDefault="003A47F8" w:rsidP="00352284">
      <w:pPr>
        <w:spacing w:after="0" w:line="360" w:lineRule="auto"/>
        <w:jc w:val="center"/>
        <w:rPr>
          <w:rFonts w:ascii="Arial" w:hAnsi="Arial" w:cs="Arial"/>
          <w:b/>
          <w:bCs/>
          <w:sz w:val="24"/>
          <w:szCs w:val="24"/>
        </w:rPr>
      </w:pPr>
      <w:r>
        <w:rPr>
          <w:rFonts w:ascii="Arial" w:hAnsi="Arial" w:cs="Arial"/>
          <w:b/>
          <w:bCs/>
          <w:sz w:val="24"/>
          <w:szCs w:val="24"/>
        </w:rPr>
        <w:t>EL TRIBUNAL ACUERDA</w:t>
      </w:r>
    </w:p>
    <w:p w:rsidR="003A47F8" w:rsidRDefault="00352284" w:rsidP="003F690D">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Cometer al Contador</w:t>
      </w:r>
      <w:r w:rsidR="003A47F8">
        <w:rPr>
          <w:rFonts w:ascii="Arial" w:hAnsi="Arial" w:cs="Arial"/>
          <w:sz w:val="24"/>
          <w:szCs w:val="24"/>
        </w:rPr>
        <w:t xml:space="preserve"> Delegado la interven</w:t>
      </w:r>
      <w:r w:rsidR="003F690D">
        <w:rPr>
          <w:rFonts w:ascii="Arial" w:hAnsi="Arial" w:cs="Arial"/>
          <w:sz w:val="24"/>
          <w:szCs w:val="24"/>
        </w:rPr>
        <w:t xml:space="preserve">ción del gasto de  $ 77:381.281 </w:t>
      </w:r>
      <w:r w:rsidR="003A47F8">
        <w:rPr>
          <w:rFonts w:ascii="Arial" w:hAnsi="Arial" w:cs="Arial"/>
          <w:sz w:val="24"/>
          <w:szCs w:val="24"/>
        </w:rPr>
        <w:t>incluidos IVA y ajustes paramétrico</w:t>
      </w:r>
      <w:r w:rsidR="003F690D">
        <w:rPr>
          <w:rFonts w:ascii="Arial" w:hAnsi="Arial" w:cs="Arial"/>
          <w:sz w:val="24"/>
          <w:szCs w:val="24"/>
        </w:rPr>
        <w:t>s</w:t>
      </w:r>
      <w:r w:rsidR="003A47F8">
        <w:rPr>
          <w:rFonts w:ascii="Arial" w:hAnsi="Arial" w:cs="Arial"/>
          <w:sz w:val="24"/>
          <w:szCs w:val="24"/>
        </w:rPr>
        <w:t>, previo control de</w:t>
      </w:r>
      <w:r w:rsidR="003F690D">
        <w:rPr>
          <w:rFonts w:ascii="Arial" w:hAnsi="Arial" w:cs="Arial"/>
          <w:sz w:val="24"/>
          <w:szCs w:val="24"/>
        </w:rPr>
        <w:t xml:space="preserve"> la imputación en el G</w:t>
      </w:r>
      <w:r w:rsidR="003A47F8">
        <w:rPr>
          <w:rFonts w:ascii="Arial" w:hAnsi="Arial" w:cs="Arial"/>
          <w:sz w:val="24"/>
          <w:szCs w:val="24"/>
        </w:rPr>
        <w:t xml:space="preserve">rupo adecuado con disponibilidad suficiente; </w:t>
      </w:r>
    </w:p>
    <w:p w:rsidR="003A47F8" w:rsidRDefault="003A47F8" w:rsidP="003F690D">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 xml:space="preserve"> Téngase presente que una vez sustanciada la totalidad de  los recursos, vuelvan las actuaciones a efectos de su contralor; </w:t>
      </w:r>
    </w:p>
    <w:p w:rsidR="003A47F8" w:rsidRDefault="003A47F8" w:rsidP="003F690D">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Comuníquese al C</w:t>
      </w:r>
      <w:r w:rsidR="003F690D">
        <w:rPr>
          <w:rFonts w:ascii="Arial" w:hAnsi="Arial" w:cs="Arial"/>
          <w:sz w:val="24"/>
          <w:szCs w:val="24"/>
        </w:rPr>
        <w:t>ontado</w:t>
      </w:r>
      <w:r>
        <w:rPr>
          <w:rFonts w:ascii="Arial" w:hAnsi="Arial" w:cs="Arial"/>
          <w:sz w:val="24"/>
          <w:szCs w:val="24"/>
        </w:rPr>
        <w:t xml:space="preserve">r Delegado; y </w:t>
      </w:r>
    </w:p>
    <w:p w:rsidR="003F690D" w:rsidRPr="003F690D" w:rsidRDefault="003A47F8" w:rsidP="003F690D">
      <w:pPr>
        <w:pStyle w:val="Prrafodelista"/>
        <w:numPr>
          <w:ilvl w:val="0"/>
          <w:numId w:val="1"/>
        </w:numPr>
        <w:spacing w:after="0" w:line="360" w:lineRule="auto"/>
        <w:ind w:left="284" w:hanging="284"/>
        <w:jc w:val="both"/>
      </w:pPr>
      <w:r>
        <w:rPr>
          <w:rFonts w:ascii="Arial" w:hAnsi="Arial" w:cs="Arial"/>
          <w:sz w:val="24"/>
          <w:szCs w:val="24"/>
        </w:rPr>
        <w:t>Devolver las actuaciones.</w:t>
      </w:r>
    </w:p>
    <w:p w:rsidR="003F690D" w:rsidRDefault="003F690D" w:rsidP="003F690D">
      <w:pPr>
        <w:spacing w:after="0" w:line="360" w:lineRule="auto"/>
        <w:jc w:val="both"/>
      </w:pPr>
    </w:p>
    <w:p w:rsidR="003F690D" w:rsidRDefault="003F690D" w:rsidP="003F690D">
      <w:pPr>
        <w:spacing w:after="0" w:line="360" w:lineRule="auto"/>
        <w:jc w:val="both"/>
      </w:pPr>
    </w:p>
    <w:p w:rsidR="003F690D" w:rsidRDefault="003F690D" w:rsidP="003F690D">
      <w:pPr>
        <w:spacing w:after="0" w:line="360" w:lineRule="auto"/>
        <w:jc w:val="both"/>
      </w:pPr>
    </w:p>
    <w:p w:rsidR="00F86359" w:rsidRPr="003F690D" w:rsidRDefault="003F690D" w:rsidP="003F690D">
      <w:pPr>
        <w:spacing w:after="0" w:line="360" w:lineRule="auto"/>
        <w:ind w:hanging="567"/>
        <w:jc w:val="both"/>
        <w:rPr>
          <w:rFonts w:ascii="Arial" w:hAnsi="Arial" w:cs="Arial"/>
          <w:sz w:val="24"/>
          <w:szCs w:val="24"/>
        </w:rPr>
      </w:pPr>
      <w:r w:rsidRPr="003F690D">
        <w:rPr>
          <w:rFonts w:ascii="Arial" w:hAnsi="Arial" w:cs="Arial"/>
          <w:sz w:val="24"/>
          <w:szCs w:val="24"/>
        </w:rPr>
        <w:t xml:space="preserve">dc </w:t>
      </w:r>
    </w:p>
    <w:sectPr w:rsidR="00F86359" w:rsidRPr="003F690D" w:rsidSect="00675736">
      <w:footerReference w:type="default" r:id="rId9"/>
      <w:pgSz w:w="11906" w:h="16838" w:code="9"/>
      <w:pgMar w:top="3119" w:right="1701" w:bottom="1701"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0D" w:rsidRDefault="003F690D" w:rsidP="003F690D">
      <w:pPr>
        <w:spacing w:after="0" w:line="240" w:lineRule="auto"/>
      </w:pPr>
      <w:r>
        <w:separator/>
      </w:r>
    </w:p>
  </w:endnote>
  <w:endnote w:type="continuationSeparator" w:id="0">
    <w:p w:rsidR="003F690D" w:rsidRDefault="003F690D" w:rsidP="003F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03649"/>
      <w:docPartObj>
        <w:docPartGallery w:val="Page Numbers (Bottom of Page)"/>
        <w:docPartUnique/>
      </w:docPartObj>
    </w:sdtPr>
    <w:sdtEndPr/>
    <w:sdtContent>
      <w:p w:rsidR="003F690D" w:rsidRDefault="003F690D">
        <w:pPr>
          <w:pStyle w:val="Piedepgina"/>
          <w:jc w:val="center"/>
        </w:pPr>
        <w:r>
          <w:fldChar w:fldCharType="begin"/>
        </w:r>
        <w:r>
          <w:instrText>PAGE   \* MERGEFORMAT</w:instrText>
        </w:r>
        <w:r>
          <w:fldChar w:fldCharType="separate"/>
        </w:r>
        <w:r w:rsidR="00675736" w:rsidRPr="00675736">
          <w:rPr>
            <w:noProof/>
            <w:lang w:val="es-ES"/>
          </w:rPr>
          <w:t>1</w:t>
        </w:r>
        <w:r>
          <w:fldChar w:fldCharType="end"/>
        </w:r>
      </w:p>
    </w:sdtContent>
  </w:sdt>
  <w:p w:rsidR="003F690D" w:rsidRDefault="003F69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0D" w:rsidRDefault="003F690D" w:rsidP="003F690D">
      <w:pPr>
        <w:spacing w:after="0" w:line="240" w:lineRule="auto"/>
      </w:pPr>
      <w:r>
        <w:separator/>
      </w:r>
    </w:p>
  </w:footnote>
  <w:footnote w:type="continuationSeparator" w:id="0">
    <w:p w:rsidR="003F690D" w:rsidRDefault="003F690D" w:rsidP="003F6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A49CD"/>
    <w:multiLevelType w:val="hybridMultilevel"/>
    <w:tmpl w:val="1584CC42"/>
    <w:lvl w:ilvl="0" w:tplc="9DE4B066">
      <w:start w:val="1"/>
      <w:numFmt w:val="decimal"/>
      <w:lvlText w:val="%1)"/>
      <w:lvlJc w:val="left"/>
      <w:pPr>
        <w:ind w:left="720" w:hanging="360"/>
      </w:pPr>
      <w:rPr>
        <w:rFonts w:ascii="Arial" w:eastAsiaTheme="minorEastAsia" w:hAnsi="Arial" w:cs="Arial"/>
        <w:b/>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abstractNum w:abstractNumId="1">
    <w:nsid w:val="20BC0F22"/>
    <w:multiLevelType w:val="hybridMultilevel"/>
    <w:tmpl w:val="7824898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F8"/>
    <w:rsid w:val="00330727"/>
    <w:rsid w:val="00352284"/>
    <w:rsid w:val="003A47F8"/>
    <w:rsid w:val="003F690D"/>
    <w:rsid w:val="00675736"/>
    <w:rsid w:val="008E3901"/>
    <w:rsid w:val="009D365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7F8"/>
    <w:pPr>
      <w:spacing w:after="200" w:line="276" w:lineRule="auto"/>
    </w:pPr>
    <w:rPr>
      <w:rFonts w:ascii="Calibri" w:eastAsiaTheme="minorEastAsia" w:hAnsi="Calibri" w:cs="Calibri"/>
      <w:sz w:val="22"/>
      <w:szCs w:val="22"/>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A47F8"/>
    <w:pPr>
      <w:ind w:left="720"/>
    </w:pPr>
  </w:style>
  <w:style w:type="paragraph" w:styleId="Encabezado">
    <w:name w:val="header"/>
    <w:basedOn w:val="Normal"/>
    <w:link w:val="EncabezadoCar"/>
    <w:uiPriority w:val="99"/>
    <w:unhideWhenUsed/>
    <w:rsid w:val="003F69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690D"/>
    <w:rPr>
      <w:rFonts w:ascii="Calibri" w:eastAsiaTheme="minorEastAsia" w:hAnsi="Calibri" w:cs="Calibri"/>
      <w:sz w:val="22"/>
      <w:szCs w:val="22"/>
      <w:lang w:val="es-UY" w:eastAsia="en-US"/>
    </w:rPr>
  </w:style>
  <w:style w:type="paragraph" w:styleId="Piedepgina">
    <w:name w:val="footer"/>
    <w:basedOn w:val="Normal"/>
    <w:link w:val="PiedepginaCar"/>
    <w:uiPriority w:val="99"/>
    <w:unhideWhenUsed/>
    <w:rsid w:val="003F69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690D"/>
    <w:rPr>
      <w:rFonts w:ascii="Calibri" w:eastAsiaTheme="minorEastAsia" w:hAnsi="Calibri" w:cs="Calibri"/>
      <w:sz w:val="22"/>
      <w:szCs w:val="22"/>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7F8"/>
    <w:pPr>
      <w:spacing w:after="200" w:line="276" w:lineRule="auto"/>
    </w:pPr>
    <w:rPr>
      <w:rFonts w:ascii="Calibri" w:eastAsiaTheme="minorEastAsia" w:hAnsi="Calibri" w:cs="Calibri"/>
      <w:sz w:val="22"/>
      <w:szCs w:val="22"/>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A47F8"/>
    <w:pPr>
      <w:ind w:left="720"/>
    </w:pPr>
  </w:style>
  <w:style w:type="paragraph" w:styleId="Encabezado">
    <w:name w:val="header"/>
    <w:basedOn w:val="Normal"/>
    <w:link w:val="EncabezadoCar"/>
    <w:uiPriority w:val="99"/>
    <w:unhideWhenUsed/>
    <w:rsid w:val="003F69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690D"/>
    <w:rPr>
      <w:rFonts w:ascii="Calibri" w:eastAsiaTheme="minorEastAsia" w:hAnsi="Calibri" w:cs="Calibri"/>
      <w:sz w:val="22"/>
      <w:szCs w:val="22"/>
      <w:lang w:val="es-UY" w:eastAsia="en-US"/>
    </w:rPr>
  </w:style>
  <w:style w:type="paragraph" w:styleId="Piedepgina">
    <w:name w:val="footer"/>
    <w:basedOn w:val="Normal"/>
    <w:link w:val="PiedepginaCar"/>
    <w:uiPriority w:val="99"/>
    <w:unhideWhenUsed/>
    <w:rsid w:val="003F69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690D"/>
    <w:rPr>
      <w:rFonts w:ascii="Calibri" w:eastAsiaTheme="minorEastAsia" w:hAnsi="Calibri" w:cs="Calibri"/>
      <w:sz w:val="22"/>
      <w:szCs w:val="22"/>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8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D275-0563-43F2-956C-B592A157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1210</Words>
  <Characters>6482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2017-03-09T16:16:00Z</cp:lastPrinted>
  <dcterms:created xsi:type="dcterms:W3CDTF">2017-03-02T19:16:00Z</dcterms:created>
  <dcterms:modified xsi:type="dcterms:W3CDTF">2017-03-09T16:16:00Z</dcterms:modified>
</cp:coreProperties>
</file>