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B7" w:rsidRPr="00786EEB" w:rsidRDefault="00A86FB7"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4D1A1F">
        <w:rPr>
          <w:rFonts w:ascii="Arial" w:hAnsi="Arial" w:cs="Arial"/>
          <w:b/>
          <w:sz w:val="28"/>
          <w:szCs w:val="28"/>
          <w:lang w:val="es-ES_tradnl"/>
        </w:rPr>
        <w:t>786</w:t>
      </w:r>
      <w:r>
        <w:rPr>
          <w:rFonts w:ascii="Arial" w:hAnsi="Arial" w:cs="Arial"/>
          <w:b/>
          <w:sz w:val="28"/>
          <w:szCs w:val="28"/>
          <w:lang w:val="es-ES_tradnl"/>
        </w:rPr>
        <w:t>/17</w:t>
      </w:r>
    </w:p>
    <w:p w:rsidR="00A86FB7" w:rsidRDefault="00A86FB7" w:rsidP="00786EEB">
      <w:pPr>
        <w:tabs>
          <w:tab w:val="center" w:pos="4253"/>
        </w:tabs>
        <w:suppressAutoHyphens/>
        <w:jc w:val="right"/>
        <w:rPr>
          <w:rFonts w:ascii="Arial" w:hAnsi="Arial" w:cs="Arial"/>
          <w:b/>
          <w:lang w:val="es-ES_tradnl"/>
        </w:rPr>
      </w:pPr>
    </w:p>
    <w:p w:rsidR="00A86FB7" w:rsidRPr="00762B34" w:rsidRDefault="00A86FB7">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A86FB7" w:rsidRPr="00762B34" w:rsidRDefault="00A86FB7">
      <w:pPr>
        <w:tabs>
          <w:tab w:val="left" w:pos="-720"/>
        </w:tabs>
        <w:suppressAutoHyphens/>
        <w:jc w:val="center"/>
        <w:rPr>
          <w:rFonts w:ascii="Arial" w:hAnsi="Arial" w:cs="Arial"/>
          <w:b/>
          <w:lang w:val="es-ES_tradnl"/>
        </w:rPr>
      </w:pPr>
    </w:p>
    <w:p w:rsidR="00A86FB7" w:rsidRPr="00762B34" w:rsidRDefault="00A86FB7">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A86FB7" w:rsidRPr="00762B34" w:rsidRDefault="00A86FB7">
      <w:pPr>
        <w:tabs>
          <w:tab w:val="left" w:pos="-720"/>
        </w:tabs>
        <w:suppressAutoHyphens/>
        <w:jc w:val="center"/>
        <w:rPr>
          <w:rFonts w:ascii="Arial" w:hAnsi="Arial" w:cs="Arial"/>
          <w:b/>
          <w:lang w:val="es-ES_tradnl"/>
        </w:rPr>
      </w:pPr>
    </w:p>
    <w:p w:rsidR="00A86FB7" w:rsidRPr="00762B34" w:rsidRDefault="00A86FB7">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 DE MARZO </w:t>
      </w:r>
      <w:r>
        <w:rPr>
          <w:rFonts w:ascii="Helvetica" w:hAnsi="Helvetica"/>
          <w:b/>
          <w:lang w:val="es-ES_tradnl"/>
        </w:rPr>
        <w:t>DE 2017</w:t>
      </w:r>
    </w:p>
    <w:p w:rsidR="00A86FB7" w:rsidRPr="00762B34" w:rsidRDefault="00A86FB7">
      <w:pPr>
        <w:tabs>
          <w:tab w:val="center" w:pos="4253"/>
        </w:tabs>
        <w:suppressAutoHyphens/>
        <w:jc w:val="center"/>
        <w:rPr>
          <w:rFonts w:ascii="Arial" w:hAnsi="Arial" w:cs="Arial"/>
          <w:b/>
          <w:lang w:val="es-ES_tradnl"/>
        </w:rPr>
      </w:pPr>
    </w:p>
    <w:p w:rsidR="00A86FB7" w:rsidRPr="0033534A" w:rsidRDefault="00A86FB7">
      <w:pPr>
        <w:tabs>
          <w:tab w:val="center" w:pos="4253"/>
        </w:tabs>
        <w:suppressAutoHyphens/>
        <w:jc w:val="center"/>
        <w:rPr>
          <w:rFonts w:ascii="Arial" w:hAnsi="Arial" w:cs="Arial"/>
          <w:b/>
          <w:lang w:val="es-AR"/>
        </w:rPr>
      </w:pPr>
      <w:r w:rsidRPr="0033534A">
        <w:rPr>
          <w:rFonts w:ascii="Arial" w:hAnsi="Arial" w:cs="Arial"/>
          <w:b/>
          <w:lang w:val="es-AR"/>
        </w:rPr>
        <w:t xml:space="preserve">(E. E. Nº </w:t>
      </w:r>
      <w:r w:rsidR="004D1A1F">
        <w:rPr>
          <w:rFonts w:ascii="Arial" w:hAnsi="Arial" w:cs="Arial"/>
          <w:b/>
          <w:lang w:val="es-AR"/>
        </w:rPr>
        <w:t>2014-17-1-0003583</w:t>
      </w:r>
      <w:r w:rsidRPr="0033534A">
        <w:rPr>
          <w:rFonts w:ascii="Arial" w:hAnsi="Arial" w:cs="Arial"/>
          <w:b/>
          <w:lang w:val="es-AR"/>
        </w:rPr>
        <w:t xml:space="preserve">, </w:t>
      </w:r>
      <w:proofErr w:type="spellStart"/>
      <w:r w:rsidRPr="0033534A">
        <w:rPr>
          <w:rFonts w:ascii="Arial" w:hAnsi="Arial" w:cs="Arial"/>
          <w:b/>
          <w:lang w:val="es-AR"/>
        </w:rPr>
        <w:t>Ent</w:t>
      </w:r>
      <w:proofErr w:type="spellEnd"/>
      <w:r w:rsidRPr="0033534A">
        <w:rPr>
          <w:rFonts w:ascii="Arial" w:hAnsi="Arial" w:cs="Arial"/>
          <w:b/>
          <w:lang w:val="es-AR"/>
        </w:rPr>
        <w:t xml:space="preserve">. N° </w:t>
      </w:r>
      <w:r w:rsidR="004D1A1F">
        <w:rPr>
          <w:rFonts w:ascii="Arial" w:hAnsi="Arial" w:cs="Arial"/>
          <w:b/>
          <w:lang w:val="es-AR"/>
        </w:rPr>
        <w:t>261</w:t>
      </w:r>
      <w:r w:rsidRPr="0033534A">
        <w:rPr>
          <w:rFonts w:ascii="Arial" w:hAnsi="Arial" w:cs="Arial"/>
          <w:b/>
          <w:lang w:val="es-AR"/>
        </w:rPr>
        <w:t>/17)</w:t>
      </w:r>
    </w:p>
    <w:p w:rsidR="00A86FB7" w:rsidRPr="0033534A" w:rsidRDefault="00A86FB7">
      <w:pPr>
        <w:tabs>
          <w:tab w:val="center" w:pos="4253"/>
        </w:tabs>
        <w:suppressAutoHyphens/>
        <w:jc w:val="center"/>
        <w:rPr>
          <w:rFonts w:ascii="Helvetica" w:hAnsi="Helvetica"/>
          <w:b/>
          <w:lang w:val="es-AR"/>
        </w:rPr>
      </w:pPr>
    </w:p>
    <w:p w:rsidR="00A86FB7" w:rsidRPr="0033534A" w:rsidRDefault="00A86FB7" w:rsidP="00762B34">
      <w:pPr>
        <w:tabs>
          <w:tab w:val="center" w:pos="4253"/>
        </w:tabs>
        <w:suppressAutoHyphens/>
        <w:jc w:val="right"/>
        <w:rPr>
          <w:rFonts w:ascii="Arial" w:hAnsi="Arial"/>
          <w:spacing w:val="-3"/>
          <w:lang w:val="es-AR"/>
        </w:rPr>
      </w:pPr>
    </w:p>
    <w:p w:rsidR="0033534A" w:rsidRDefault="00AC3C8E" w:rsidP="0033534A">
      <w:pPr>
        <w:pStyle w:val="Textoindependiente"/>
        <w:ind w:firstLine="851"/>
      </w:pPr>
      <w:r>
        <w:rPr>
          <w:b/>
          <w:bCs/>
        </w:rPr>
        <w:t xml:space="preserve">VISTO: </w:t>
      </w:r>
      <w:r>
        <w:t>las nuevas actuaciones remitidas por la Administración Nacional de Puertos, relacionadas con la cesión de uso del local contiguo a las oficinas de la Unidad Salto (Ex. Balanza);</w:t>
      </w:r>
    </w:p>
    <w:p w:rsidR="0033534A" w:rsidRDefault="00AC3C8E" w:rsidP="0033534A">
      <w:pPr>
        <w:pStyle w:val="Textoindependiente"/>
        <w:ind w:firstLine="851"/>
      </w:pPr>
      <w:r>
        <w:rPr>
          <w:b/>
          <w:bCs/>
        </w:rPr>
        <w:t xml:space="preserve">RESULTANDO: 1) </w:t>
      </w:r>
      <w:r>
        <w:t>que el Directorio, por Resolución 67/3</w:t>
      </w:r>
      <w:r w:rsidR="0033534A">
        <w:t>.719 de fecha 06.03.14, otorgó -</w:t>
      </w:r>
      <w:r>
        <w:t>supeditado a la intervención del Tribunal de Cuentas y al</w:t>
      </w:r>
      <w:r w:rsidR="0033534A">
        <w:t xml:space="preserve"> amparo de lo dispuesto por el Artículo 33 L</w:t>
      </w:r>
      <w:r>
        <w:t>iteral B) del TOCAF- en cesión de uso, el local contiguo a las oficinas de la unidad Salto a la Asociación Civil de Pescadores del SUNTMA, con el objeto de la venta de comidas elaboradas con base en la pesca de río, por un precio mensual de $</w:t>
      </w:r>
      <w:r w:rsidR="0033534A">
        <w:t xml:space="preserve"> </w:t>
      </w:r>
      <w:r>
        <w:t>2.000, por el plazo de un año. En dicha Resolución se estableció que el cesionario debería garantizar el cumplimiento del contrato mediante la constitución de una garantía d</w:t>
      </w:r>
      <w:r w:rsidR="0033534A">
        <w:t>e $ 6.000 o el equivalente al 5</w:t>
      </w:r>
      <w:r>
        <w:t>% del total de la adjudicación, el que resulte mayor y que debería cumplir con el objeto establecido en el proyecto evaluado y aprobado por el Ministerio de Desarrollo S</w:t>
      </w:r>
      <w:r w:rsidR="0033534A">
        <w:t>ocial</w:t>
      </w:r>
      <w:r>
        <w:t>;</w:t>
      </w:r>
    </w:p>
    <w:p w:rsidR="0033534A" w:rsidRDefault="00AC3C8E" w:rsidP="0033534A">
      <w:pPr>
        <w:pStyle w:val="Textoindependiente"/>
        <w:ind w:firstLine="2694"/>
      </w:pPr>
      <w:r>
        <w:rPr>
          <w:b/>
          <w:bCs/>
        </w:rPr>
        <w:t>2)</w:t>
      </w:r>
      <w:r w:rsidR="0033534A">
        <w:t xml:space="preserve"> que este Tribunal, en S</w:t>
      </w:r>
      <w:r>
        <w:t>esión de fecha 16.07.14, cometió al Contador Delegado el control de la efectiva versión de lo recaudado en el rubro adecuado;</w:t>
      </w:r>
    </w:p>
    <w:p w:rsidR="0033534A" w:rsidRDefault="00AC3C8E" w:rsidP="0033534A">
      <w:pPr>
        <w:pStyle w:val="Textoindependiente"/>
        <w:ind w:firstLine="2694"/>
      </w:pPr>
      <w:r>
        <w:rPr>
          <w:b/>
          <w:bCs/>
        </w:rPr>
        <w:t xml:space="preserve">3) </w:t>
      </w:r>
      <w:r>
        <w:t xml:space="preserve">que la referida Asociación comunicó a la Administración que las actividades que se pretendían desarrollar son con fines de lucro, lo que no se ajusta a su forma  actual de asociación civil, por lo que prestó su conformidad para ceder los derechos a favor de Adriana Zoraida </w:t>
      </w:r>
      <w:r>
        <w:lastRenderedPageBreak/>
        <w:t>Sánchez Martínez, manteniéndose incambiadas las condiciones de canon, plazo, garantía y objeto. Por su parte, la Señora Sánchez, presentó nota manifestando su conformidad con la cesión y declarando ser titular de una empresa unipersonal;</w:t>
      </w:r>
    </w:p>
    <w:p w:rsidR="0033534A" w:rsidRDefault="00AC3C8E" w:rsidP="0033534A">
      <w:pPr>
        <w:pStyle w:val="Textoindependiente"/>
        <w:ind w:firstLine="2694"/>
      </w:pPr>
      <w:r>
        <w:rPr>
          <w:b/>
          <w:bCs/>
        </w:rPr>
        <w:t xml:space="preserve">4) </w:t>
      </w:r>
      <w:r>
        <w:t>que el Directorio, por Resolución Nº 426</w:t>
      </w:r>
      <w:r w:rsidR="0033534A">
        <w:t>/3.789 del 19.08.15, revocó el N</w:t>
      </w:r>
      <w:r>
        <w:t>umeral 1</w:t>
      </w:r>
      <w:r w:rsidR="0033534A">
        <w:t>)</w:t>
      </w:r>
      <w:r>
        <w:t xml:space="preserve"> de la Resolución </w:t>
      </w:r>
      <w:proofErr w:type="spellStart"/>
      <w:r>
        <w:t>R.Dir</w:t>
      </w:r>
      <w:proofErr w:type="spellEnd"/>
      <w:r>
        <w:t xml:space="preserve"> 37/3.719, disponiendo otorgar, supeditado a la intervención de la Contaduría Delegada, en cesión de uso el local referido a la señora Adriana Zoraida Sánchez Martínez en las mismas condiciones de plazo, monto, objeto y garantías;</w:t>
      </w:r>
    </w:p>
    <w:p w:rsidR="0033534A" w:rsidRDefault="00AC3C8E" w:rsidP="0033534A">
      <w:pPr>
        <w:pStyle w:val="Textoindependiente"/>
        <w:ind w:firstLine="2694"/>
      </w:pPr>
      <w:r>
        <w:rPr>
          <w:b/>
          <w:bCs/>
        </w:rPr>
        <w:t xml:space="preserve">5) </w:t>
      </w:r>
      <w:r>
        <w:t>que el Contador Delegado, con fecha 28.05.15,  informó que la Resolución de Directorio que se revoca es la Nº 67/3.719 (por error se mencion</w:t>
      </w:r>
      <w:r w:rsidR="0033534A">
        <w:t>ó la 37/3.719);</w:t>
      </w:r>
    </w:p>
    <w:p w:rsidR="0033534A" w:rsidRDefault="00AC3C8E" w:rsidP="0033534A">
      <w:pPr>
        <w:pStyle w:val="Textoindependiente"/>
        <w:ind w:firstLine="2694"/>
      </w:pPr>
      <w:r>
        <w:rPr>
          <w:b/>
          <w:bCs/>
        </w:rPr>
        <w:t>6)</w:t>
      </w:r>
      <w:r>
        <w:t xml:space="preserve"> que este Tribunal, en Sesión de fecha 28.10.15, acordó cometer al Contador Delegado el control de la efectiva versión de lo recaudado en el rubro adecuado, una vez acredita</w:t>
      </w:r>
      <w:r w:rsidR="0033534A">
        <w:t>do que la cesionaria se ajuste con</w:t>
      </w:r>
      <w:r>
        <w:t xml:space="preserve"> lo dispuesto por los </w:t>
      </w:r>
      <w:r w:rsidR="0033534A">
        <w:t>A</w:t>
      </w:r>
      <w:r>
        <w:t>rtículo</w:t>
      </w:r>
      <w:r w:rsidR="0033534A">
        <w:t>s</w:t>
      </w:r>
      <w:r>
        <w:t xml:space="preserve"> 46 y 75 del TOCAF, lo que implica verificar su capacidad para contratar con el Estado y que reúna las mismas seguridades en el cumplimiento del contrato que la anterior adjudicataria;</w:t>
      </w:r>
    </w:p>
    <w:p w:rsidR="0033534A" w:rsidRDefault="00AC3C8E" w:rsidP="0033534A">
      <w:pPr>
        <w:pStyle w:val="Textoindependiente"/>
        <w:ind w:firstLine="2694"/>
      </w:pPr>
      <w:r>
        <w:rPr>
          <w:b/>
          <w:bCs/>
        </w:rPr>
        <w:t xml:space="preserve">7) </w:t>
      </w:r>
      <w:r>
        <w:t xml:space="preserve">que el Área Comercialización y Finanzas requirió a  Adriana Zoraida Sánchez Martínez, que informara los siguientes datos: RUT, domicilio, código postal, teléfono y correo electrónico, a los efectos </w:t>
      </w:r>
      <w:r w:rsidR="0033534A">
        <w:t>de ser incluida en el Registro Ú</w:t>
      </w:r>
      <w:r>
        <w:t>nico de Clientes, además de una declaración jurada con relación a su capacidad de cont</w:t>
      </w:r>
      <w:r w:rsidR="0033534A">
        <w:t>ratar con el Estado de acuerdo con lo dispuesto en el A</w:t>
      </w:r>
      <w:r>
        <w:t>rtículo 46 del TOCAF. Ante ello, la adjudicataria cumplió aportando la información exigida;</w:t>
      </w:r>
    </w:p>
    <w:p w:rsidR="0033534A" w:rsidRDefault="00AC3C8E" w:rsidP="0033534A">
      <w:pPr>
        <w:pStyle w:val="Textoindependiente"/>
        <w:ind w:firstLine="2694"/>
      </w:pPr>
      <w:r>
        <w:rPr>
          <w:b/>
          <w:bCs/>
        </w:rPr>
        <w:t xml:space="preserve">8) </w:t>
      </w:r>
      <w:r>
        <w:t xml:space="preserve">que la División Notarial, con fecha 04.03.16 informó que de la Declaración Jurada suscripta por Adriana Sánchez surge que la </w:t>
      </w:r>
      <w:proofErr w:type="spellStart"/>
      <w:r>
        <w:t>co</w:t>
      </w:r>
      <w:proofErr w:type="spellEnd"/>
      <w:r>
        <w:t xml:space="preserve"> contratante no se trata de una empresa unipersonal, sino que posee otra forma jurídica, que se presume se trata de una sociedad de hecho formada por </w:t>
      </w:r>
      <w:r>
        <w:lastRenderedPageBreak/>
        <w:t>Adr</w:t>
      </w:r>
      <w:r w:rsidR="0033534A">
        <w:t>iana Zoraida, Sá</w:t>
      </w:r>
      <w:r>
        <w:t xml:space="preserve">nchez Martínez y María Felicia Torres </w:t>
      </w:r>
      <w:proofErr w:type="spellStart"/>
      <w:r>
        <w:t>Lemes</w:t>
      </w:r>
      <w:proofErr w:type="spellEnd"/>
      <w:r>
        <w:t xml:space="preserve"> y otras personas cuyos nombres y demás datos no están indicados y atento a ello, correspondería rectificar la última Resolución de Directorio sobre esta contratación, a efectos de corregir el error pade</w:t>
      </w:r>
      <w:r w:rsidR="0033534A">
        <w:t>cido en cuanto al número de la R</w:t>
      </w:r>
      <w:r>
        <w:t>esolución revocada y para identificar correctamente a la cesionaria. Por otra parte, expresó que sería aconsejable dar vista de las actuaciones a Adriana Zoraida Sánchez Martínez, para que presente un certificado notarial que acredite con respecto a la empresa lo siguiente: Inscripción en DGI y BPS, domicilio fiscal, particular y constituido, socios integrantes de la misma, naturaleza jurídica de la empresa y giro declarado ante DGI;</w:t>
      </w:r>
    </w:p>
    <w:p w:rsidR="0033534A" w:rsidRDefault="00AC3C8E" w:rsidP="0033534A">
      <w:pPr>
        <w:pStyle w:val="Textoindependiente"/>
        <w:ind w:firstLine="2694"/>
      </w:pPr>
      <w:r>
        <w:rPr>
          <w:b/>
          <w:bCs/>
        </w:rPr>
        <w:t>9)</w:t>
      </w:r>
      <w:r>
        <w:t xml:space="preserve"> que se dio vista de las actuaciones a Adriana Zoraida Sánchez Martínez, ante lo cual no se presentó documento alguno, por lo que la División Notarial con fecha 13.04.16, expresó que no era posible proceder a la firma del contrato dada la carencia de información acerca de la adjudicataria;</w:t>
      </w:r>
    </w:p>
    <w:p w:rsidR="0033534A" w:rsidRDefault="00AC3C8E" w:rsidP="0033534A">
      <w:pPr>
        <w:pStyle w:val="Textoindependiente"/>
        <w:ind w:firstLine="2694"/>
      </w:pPr>
      <w:r>
        <w:rPr>
          <w:b/>
          <w:bCs/>
        </w:rPr>
        <w:t xml:space="preserve">10) </w:t>
      </w:r>
      <w:r>
        <w:t>que el Departamento Jurídico Notarial, con fecha 14.04.16, realizó un llamado de atención a las autoridades del Organismo en razón de haber entregado el local a Adriana Zoraida Sánchez, sin la existencia de contrato escrito que vincule a la cesionaria con la ANP y sin haber controlado el cumplimiento de las exigencias establecidas en el TOCAF;</w:t>
      </w:r>
    </w:p>
    <w:p w:rsidR="0033534A" w:rsidRDefault="00AC3C8E" w:rsidP="0033534A">
      <w:pPr>
        <w:pStyle w:val="Textoindependiente"/>
        <w:ind w:firstLine="2694"/>
      </w:pPr>
      <w:r>
        <w:rPr>
          <w:b/>
          <w:bCs/>
        </w:rPr>
        <w:t xml:space="preserve">11) </w:t>
      </w:r>
      <w:r>
        <w:t>que con fecha 12.08.16,</w:t>
      </w:r>
      <w:r>
        <w:rPr>
          <w:b/>
          <w:bCs/>
        </w:rPr>
        <w:t xml:space="preserve"> </w:t>
      </w:r>
      <w:r>
        <w:t>se agregó certificado notarial del que surge la existencia de una sociedad de hecho inscripta con el RUT N° 1603316470015 y en el BPS con el número 6663039, cuyos titulares son Adriana Zoraida Sánchez Martínez, María Torres y Carla de los Santos, que gira en el rubro comercio al por menor de venta de pescado y mariscos;</w:t>
      </w:r>
    </w:p>
    <w:p w:rsidR="0033534A" w:rsidRDefault="00AC3C8E" w:rsidP="0033534A">
      <w:pPr>
        <w:pStyle w:val="Textoindependiente"/>
        <w:ind w:firstLine="2694"/>
      </w:pPr>
      <w:r>
        <w:rPr>
          <w:b/>
          <w:bCs/>
        </w:rPr>
        <w:t xml:space="preserve">12) </w:t>
      </w:r>
      <w:r w:rsidR="0033534A">
        <w:t>que según consta en A</w:t>
      </w:r>
      <w:r>
        <w:t>cta del 23.02.16, en dicha fecha se hizo entrega del local a la sociedad de hecho referida, actuando Adriana Zoraida Sánchez Martínez en representación de la misma;</w:t>
      </w:r>
    </w:p>
    <w:p w:rsidR="0033534A" w:rsidRDefault="00AC3C8E" w:rsidP="0033534A">
      <w:pPr>
        <w:pStyle w:val="Textoindependiente"/>
        <w:ind w:firstLine="2694"/>
      </w:pPr>
      <w:r>
        <w:rPr>
          <w:b/>
          <w:bCs/>
        </w:rPr>
        <w:lastRenderedPageBreak/>
        <w:t xml:space="preserve">13) </w:t>
      </w:r>
      <w:r>
        <w:t xml:space="preserve">que el Directorio, por Resolución </w:t>
      </w:r>
      <w:proofErr w:type="spellStart"/>
      <w:r>
        <w:t>R.Dir</w:t>
      </w:r>
      <w:proofErr w:type="spellEnd"/>
      <w:r>
        <w:t xml:space="preserve"> 869/ 3.855 del 27.12.16, rectificó la Reso</w:t>
      </w:r>
      <w:r w:rsidR="0033534A">
        <w:t>lución 426/3.789, revocando el N</w:t>
      </w:r>
      <w:r>
        <w:t xml:space="preserve">umeral 1 de la R. </w:t>
      </w:r>
      <w:proofErr w:type="spellStart"/>
      <w:r>
        <w:t>Dir</w:t>
      </w:r>
      <w:proofErr w:type="spellEnd"/>
      <w:r>
        <w:t xml:space="preserve"> 67/3719 y disponiendo otorgar, supeditado a la intervención de la Contaduría Delegada, en cesión de uso el local a la sociedad de hecho integrada por Adriana Zoraida Sánchez Martínez, María Torres y Carla de los Santos, bajo las mismas condiciones de plazo, monto, objeto y garantías que las establecidas en la Resolución Nº 67/3719;</w:t>
      </w:r>
    </w:p>
    <w:p w:rsidR="00AC3C8E" w:rsidRDefault="00AC3C8E" w:rsidP="0033534A">
      <w:pPr>
        <w:pStyle w:val="Textoindependiente"/>
        <w:ind w:firstLine="2694"/>
      </w:pPr>
      <w:r>
        <w:rPr>
          <w:b/>
          <w:bCs/>
        </w:rPr>
        <w:t xml:space="preserve">14) </w:t>
      </w:r>
      <w:r>
        <w:t xml:space="preserve">que el Contador Delegado, con fecha </w:t>
      </w:r>
      <w:r w:rsidR="0033534A">
        <w:t>30.12.16, expresó que conforme con</w:t>
      </w:r>
      <w:r>
        <w:t xml:space="preserve"> lo preceptuado en la Resolución del Tribunal del 11.05.2005 con la redacción dada por la Resolución del 28.03.07 que refiere a concesiones por uso de bienes del dominio público, es el propio Tribunal el que tiene competencia para expedirse sobre la contratación. No obstante lo cual, destacó que: </w:t>
      </w:r>
      <w:r w:rsidRPr="0033534A">
        <w:rPr>
          <w:b/>
        </w:rPr>
        <w:t>a)</w:t>
      </w:r>
      <w:r>
        <w:t xml:space="preserve"> se modificó el beneficiario de la cesión de uso, pasando a ser una sociedad de hecho que no figura inscripta en RUPE, </w:t>
      </w:r>
      <w:r w:rsidRPr="0033534A">
        <w:rPr>
          <w:b/>
        </w:rPr>
        <w:t>b)</w:t>
      </w:r>
      <w:r>
        <w:t xml:space="preserve"> el contrato se encuentra pendiente de suscripción, </w:t>
      </w:r>
      <w:r w:rsidRPr="0033534A">
        <w:rPr>
          <w:b/>
        </w:rPr>
        <w:t>c)</w:t>
      </w:r>
      <w:r>
        <w:t xml:space="preserve"> que no se constituyó la garantía de cumplimento de contrato y </w:t>
      </w:r>
      <w:r w:rsidRPr="0033534A">
        <w:rPr>
          <w:b/>
        </w:rPr>
        <w:t>d)</w:t>
      </w:r>
      <w:r>
        <w:t xml:space="preserve"> no consta f</w:t>
      </w:r>
      <w:r w:rsidR="0033534A">
        <w:t>actura alguna en el Sistema de C</w:t>
      </w:r>
      <w:r>
        <w:t xml:space="preserve">rédito del Organismo por lo que se desconoce la situación con respecto al pago del canon y a los consumos de energía, agua y comunicaciones; </w:t>
      </w:r>
    </w:p>
    <w:p w:rsidR="0033534A" w:rsidRDefault="00AC3C8E" w:rsidP="0033534A">
      <w:pPr>
        <w:pStyle w:val="Textoindependiente"/>
        <w:ind w:firstLine="851"/>
      </w:pPr>
      <w:r>
        <w:rPr>
          <w:b/>
          <w:bCs/>
        </w:rPr>
        <w:t xml:space="preserve">CONSIDERANDO: 1) </w:t>
      </w:r>
      <w:r>
        <w:t>que sin perjuicio de que formalmente se haya rectificado una Resolución del año 2014 sobre la cual este Tribunal ya se expidió oportunamente, en tanto inicialmente se adjudicó a la Asociación Civil de Pescadores del SUNTMA, luego a una empresa unipersonal cuya titular era Adriana Zoraida Sánchez Martínez y finalmente por Resolución de fecha 27.12.16 a la sociedad de hecho integrada por Adriana Zoraida Sánchez Martínez, María Torres y Carla de los Santos, se entiende que por dicho acto administrativo se dispuso una nueva contratación que amerita un nuevo pronunciamiento;</w:t>
      </w:r>
    </w:p>
    <w:p w:rsidR="00DB0C92" w:rsidRDefault="00AC3C8E" w:rsidP="00DB0C92">
      <w:pPr>
        <w:pStyle w:val="Textoindependiente"/>
        <w:ind w:firstLine="3119"/>
      </w:pPr>
      <w:r>
        <w:rPr>
          <w:b/>
          <w:bCs/>
        </w:rPr>
        <w:t>2)</w:t>
      </w:r>
      <w:r>
        <w:t xml:space="preserve"> que en la medida que se dispuso la cesión del local el 27.12.16 y la cesionaria se encontraba en poder del mismo desde el </w:t>
      </w:r>
      <w:r>
        <w:lastRenderedPageBreak/>
        <w:t>23.02.16, la Resolución que dispuso la cesión tiene carácter retroactivo, extremo que vulnera el principio de seguridad jurídica;</w:t>
      </w:r>
    </w:p>
    <w:p w:rsidR="00DB0C92" w:rsidRDefault="00AC3C8E" w:rsidP="00DB0C92">
      <w:pPr>
        <w:pStyle w:val="Textoindependiente"/>
        <w:ind w:firstLine="3119"/>
      </w:pPr>
      <w:r>
        <w:rPr>
          <w:b/>
          <w:bCs/>
        </w:rPr>
        <w:t>3)</w:t>
      </w:r>
      <w:r>
        <w:t xml:space="preserve"> que asimismo, la referida Resolución se dictó en forma previa a la intervención de este Tribunal, con </w:t>
      </w:r>
      <w:r w:rsidR="00DB0C92">
        <w:t>lo cual no se dio cumplimiento con lo preceptuado por el A</w:t>
      </w:r>
      <w:r>
        <w:t>rtículo 1º de la  Resolución de fecha 11.05.05, con la redacción dada por la Resolución del 28.03.07; (Resultandos 12 y 13);</w:t>
      </w:r>
    </w:p>
    <w:p w:rsidR="00DB0C92" w:rsidRDefault="00AC3C8E" w:rsidP="00DB0C92">
      <w:pPr>
        <w:pStyle w:val="Textoindependiente"/>
        <w:ind w:firstLine="3119"/>
      </w:pPr>
      <w:r>
        <w:rPr>
          <w:b/>
          <w:bCs/>
        </w:rPr>
        <w:t xml:space="preserve">4) </w:t>
      </w:r>
      <w:r>
        <w:t>que por otra parte, la Administración hizo entrega del local sin analizar previamente si la cesionaria se encontraba inscripta en el Registro Ú</w:t>
      </w:r>
      <w:r w:rsidR="00DB0C92">
        <w:t>nico de Proveedores del Estado;</w:t>
      </w:r>
    </w:p>
    <w:p w:rsidR="00DB0C92" w:rsidRDefault="00AC3C8E" w:rsidP="00DB0C92">
      <w:pPr>
        <w:pStyle w:val="Textoindependiente"/>
        <w:ind w:firstLine="3119"/>
      </w:pPr>
      <w:r>
        <w:rPr>
          <w:b/>
          <w:bCs/>
        </w:rPr>
        <w:t>5)</w:t>
      </w:r>
      <w:r>
        <w:t xml:space="preserve"> que asimismo, consultado en forma electrónica el mencionado registro, no surge la inscripción de la sociedad de hecho que resultó cesionaria en ninguno de los estados permitidos por el sistema, contravin</w:t>
      </w:r>
      <w:r w:rsidR="00DB0C92">
        <w:t>iéndose lo preceptuado por los Artículos 46 I</w:t>
      </w:r>
      <w:r>
        <w:t>ncisos 2</w:t>
      </w:r>
      <w:r w:rsidR="00DB0C92">
        <w:t>)</w:t>
      </w:r>
      <w:r>
        <w:t xml:space="preserve"> y 3</w:t>
      </w:r>
      <w:r w:rsidR="00DB0C92">
        <w:t>) y 76 I</w:t>
      </w:r>
      <w:r>
        <w:t>nciso 2</w:t>
      </w:r>
      <w:r w:rsidR="00DB0C92">
        <w:t>)</w:t>
      </w:r>
      <w:r>
        <w:t xml:space="preserve"> del TOCAF al respecto;</w:t>
      </w:r>
    </w:p>
    <w:p w:rsidR="00DB0C92" w:rsidRDefault="00AC3C8E" w:rsidP="00DB0C92">
      <w:pPr>
        <w:pStyle w:val="Textoindependiente"/>
        <w:ind w:firstLine="3119"/>
      </w:pPr>
      <w:r>
        <w:rPr>
          <w:b/>
          <w:bCs/>
        </w:rPr>
        <w:t xml:space="preserve">6) </w:t>
      </w:r>
      <w:r>
        <w:t xml:space="preserve">que </w:t>
      </w:r>
      <w:r>
        <w:rPr>
          <w:spacing w:val="-3"/>
          <w:lang w:val="es-ES_tradnl"/>
        </w:rPr>
        <w:t xml:space="preserve">la Resolución que dispuso la cesión estableció la obligatoriedad de la constitución de la garantía de fiel cumplimiento de </w:t>
      </w:r>
      <w:r w:rsidR="00DB0C92">
        <w:rPr>
          <w:spacing w:val="-3"/>
          <w:lang w:val="es-ES_tradnl"/>
        </w:rPr>
        <w:t xml:space="preserve"> </w:t>
      </w:r>
      <w:r>
        <w:rPr>
          <w:spacing w:val="-3"/>
          <w:lang w:val="es-ES_tradnl"/>
        </w:rPr>
        <w:t>contrato</w:t>
      </w:r>
      <w:r w:rsidR="00DB0C92">
        <w:rPr>
          <w:spacing w:val="-3"/>
          <w:lang w:val="es-ES_tradnl"/>
        </w:rPr>
        <w:t xml:space="preserve"> </w:t>
      </w:r>
      <w:r>
        <w:rPr>
          <w:spacing w:val="-3"/>
          <w:lang w:val="es-ES_tradnl"/>
        </w:rPr>
        <w:t xml:space="preserve"> y del desarrollo del </w:t>
      </w:r>
      <w:r>
        <w:t xml:space="preserve">objeto </w:t>
      </w:r>
      <w:r w:rsidR="00DB0C92">
        <w:t xml:space="preserve"> </w:t>
      </w:r>
      <w:r>
        <w:t xml:space="preserve">establecido en el </w:t>
      </w:r>
      <w:r w:rsidR="00DB0C92">
        <w:t xml:space="preserve"> </w:t>
      </w:r>
      <w:r>
        <w:t xml:space="preserve">proyecto evaluado y aprobado </w:t>
      </w:r>
      <w:r w:rsidR="00DB0C92">
        <w:t xml:space="preserve"> </w:t>
      </w:r>
      <w:r>
        <w:t xml:space="preserve">por el </w:t>
      </w:r>
      <w:r w:rsidR="00DB0C92">
        <w:t xml:space="preserve"> </w:t>
      </w:r>
      <w:r>
        <w:t xml:space="preserve">Ministerio </w:t>
      </w:r>
      <w:r w:rsidR="00DB0C92">
        <w:t xml:space="preserve"> </w:t>
      </w:r>
      <w:r>
        <w:t>de Desarrollo Social, por</w:t>
      </w:r>
      <w:r w:rsidR="00DB0C92">
        <w:t xml:space="preserve"> </w:t>
      </w:r>
      <w:r>
        <w:t xml:space="preserve"> lo que la </w:t>
      </w:r>
      <w:r w:rsidR="00DB0C92">
        <w:t xml:space="preserve"> </w:t>
      </w:r>
      <w:r>
        <w:t xml:space="preserve">Administración deberá </w:t>
      </w:r>
      <w:r w:rsidR="00DB0C92">
        <w:t xml:space="preserve"> </w:t>
      </w:r>
      <w:r>
        <w:t xml:space="preserve">controlar </w:t>
      </w:r>
      <w:r w:rsidR="00DB0C92">
        <w:t xml:space="preserve"> </w:t>
      </w:r>
      <w:r>
        <w:t xml:space="preserve">que </w:t>
      </w:r>
      <w:r w:rsidR="00DB0C92">
        <w:t xml:space="preserve"> </w:t>
      </w:r>
      <w:r>
        <w:t>la cesionaria cumpla con dichas exigencias; (Resultando 1);</w:t>
      </w:r>
    </w:p>
    <w:p w:rsidR="00AC3C8E" w:rsidRDefault="00AC3C8E" w:rsidP="00DB0C92">
      <w:pPr>
        <w:pStyle w:val="Textoindependiente"/>
        <w:ind w:firstLine="3119"/>
      </w:pPr>
      <w:r>
        <w:rPr>
          <w:b/>
          <w:bCs/>
          <w:spacing w:val="-3"/>
          <w:lang w:val="es-ES_tradnl"/>
        </w:rPr>
        <w:t xml:space="preserve">7) </w:t>
      </w:r>
      <w:r>
        <w:rPr>
          <w:spacing w:val="-3"/>
          <w:lang w:val="es-ES_tradnl"/>
        </w:rPr>
        <w:t>que tal como señaló el Contador Delegado (Resultando 14),</w:t>
      </w:r>
      <w:r>
        <w:rPr>
          <w:b/>
          <w:bCs/>
          <w:spacing w:val="-3"/>
          <w:lang w:val="es-ES_tradnl"/>
        </w:rPr>
        <w:t xml:space="preserve"> </w:t>
      </w:r>
      <w:r w:rsidR="00DB0C92">
        <w:t>surge del A</w:t>
      </w:r>
      <w:r>
        <w:t>rtículo 1º de la Resolución referida en el Considerando primero, que la competencia para expedirse en materia de aprobación, modificación o rescisión de concesiones contractuales de obras, de servicios, o de uso de bienes del dominio público o del dominio privado del Estado, o mixtas, corresponde a este Tribunal. Esta norma no fue tenida en cuenta por el Direct</w:t>
      </w:r>
      <w:r w:rsidR="00DB0C92">
        <w:t>orio en la especie, ya que dictaron</w:t>
      </w:r>
      <w:r>
        <w:t xml:space="preserve"> tres acto</w:t>
      </w:r>
      <w:r w:rsidR="00DB0C92">
        <w:t>s</w:t>
      </w:r>
      <w:r>
        <w:t xml:space="preserve"> </w:t>
      </w:r>
      <w:r>
        <w:lastRenderedPageBreak/>
        <w:t>administrativos disponiendo la cesión del local (bie</w:t>
      </w:r>
      <w:r w:rsidR="00DB0C92">
        <w:t xml:space="preserve">n de dominio público), ad </w:t>
      </w:r>
      <w:proofErr w:type="spellStart"/>
      <w:r w:rsidR="00DB0C92">
        <w:t>refere</w:t>
      </w:r>
      <w:r>
        <w:t>ndum</w:t>
      </w:r>
      <w:proofErr w:type="spellEnd"/>
      <w:r>
        <w:t xml:space="preserve"> de la intervención del Contador Delegado;</w:t>
      </w:r>
    </w:p>
    <w:p w:rsidR="00AC3C8E" w:rsidRDefault="00AC3C8E" w:rsidP="00DB0C92">
      <w:pPr>
        <w:spacing w:line="360" w:lineRule="auto"/>
        <w:ind w:firstLine="851"/>
        <w:jc w:val="both"/>
        <w:rPr>
          <w:rFonts w:ascii="Arial" w:hAnsi="Arial" w:cs="Arial"/>
        </w:rPr>
      </w:pPr>
      <w:r>
        <w:rPr>
          <w:rFonts w:ascii="Arial" w:hAnsi="Arial" w:cs="Arial"/>
          <w:b/>
          <w:bCs/>
        </w:rPr>
        <w:t xml:space="preserve">ATENTO: </w:t>
      </w:r>
      <w:r>
        <w:rPr>
          <w:rFonts w:ascii="Arial" w:hAnsi="Arial" w:cs="Arial"/>
        </w:rPr>
        <w:t>a lo expue</w:t>
      </w:r>
      <w:r w:rsidR="00DB0C92">
        <w:rPr>
          <w:rFonts w:ascii="Arial" w:hAnsi="Arial" w:cs="Arial"/>
        </w:rPr>
        <w:t>sto y a lo dispuesto por el Artículo 211 L</w:t>
      </w:r>
      <w:r>
        <w:rPr>
          <w:rFonts w:ascii="Arial" w:hAnsi="Arial" w:cs="Arial"/>
        </w:rPr>
        <w:t>iteral E) de la Constitución</w:t>
      </w:r>
      <w:r w:rsidR="00DB0C92">
        <w:rPr>
          <w:rFonts w:ascii="Arial" w:hAnsi="Arial" w:cs="Arial"/>
        </w:rPr>
        <w:t xml:space="preserve"> de la República</w:t>
      </w:r>
      <w:r>
        <w:rPr>
          <w:rFonts w:ascii="Arial" w:hAnsi="Arial" w:cs="Arial"/>
        </w:rPr>
        <w:t>;</w:t>
      </w:r>
    </w:p>
    <w:p w:rsidR="00AC3C8E" w:rsidRDefault="00AC3C8E" w:rsidP="004D1A1F">
      <w:pPr>
        <w:pStyle w:val="Ttulo1"/>
        <w:spacing w:line="360" w:lineRule="auto"/>
      </w:pPr>
      <w:r>
        <w:t>EL TRIBUNAL ACUERDA</w:t>
      </w:r>
    </w:p>
    <w:p w:rsidR="00AC3C8E" w:rsidRDefault="00AC3C8E" w:rsidP="004D1A1F">
      <w:pPr>
        <w:pStyle w:val="Textoindependiente"/>
        <w:numPr>
          <w:ilvl w:val="0"/>
          <w:numId w:val="8"/>
        </w:numPr>
        <w:tabs>
          <w:tab w:val="clear" w:pos="1068"/>
          <w:tab w:val="num" w:pos="284"/>
        </w:tabs>
        <w:ind w:hanging="1068"/>
      </w:pPr>
      <w:r>
        <w:t>Observar el procedimiento por lo expresado en los Considerandos 2), 3) y 4);</w:t>
      </w:r>
    </w:p>
    <w:p w:rsidR="00AC3C8E" w:rsidRDefault="00AC3C8E" w:rsidP="004D1A1F">
      <w:pPr>
        <w:pStyle w:val="Textoindependiente"/>
        <w:numPr>
          <w:ilvl w:val="0"/>
          <w:numId w:val="8"/>
        </w:numPr>
        <w:tabs>
          <w:tab w:val="clear" w:pos="1068"/>
        </w:tabs>
        <w:ind w:left="284" w:hanging="284"/>
      </w:pPr>
      <w:r>
        <w:t>Téngase presente lo expresado en los Considerandos 1), 6) y 7)</w:t>
      </w:r>
    </w:p>
    <w:p w:rsidR="00AC3C8E" w:rsidRDefault="00AC3C8E" w:rsidP="004D1A1F">
      <w:pPr>
        <w:spacing w:line="360" w:lineRule="auto"/>
        <w:ind w:left="284" w:hanging="284"/>
        <w:jc w:val="both"/>
        <w:rPr>
          <w:rFonts w:ascii="Arial" w:hAnsi="Arial" w:cs="Arial"/>
        </w:rPr>
      </w:pPr>
      <w:r>
        <w:rPr>
          <w:rFonts w:ascii="Arial" w:hAnsi="Arial" w:cs="Arial"/>
          <w:b/>
          <w:bCs/>
        </w:rPr>
        <w:t>3)</w:t>
      </w:r>
      <w:r>
        <w:rPr>
          <w:rFonts w:ascii="Arial" w:hAnsi="Arial" w:cs="Arial"/>
        </w:rPr>
        <w:t xml:space="preserve">  Devolver las actuaciones.</w:t>
      </w:r>
    </w:p>
    <w:p w:rsidR="00AC3C8E" w:rsidRDefault="00AC3C8E">
      <w:pPr>
        <w:pStyle w:val="Textoindependiente"/>
      </w:pPr>
    </w:p>
    <w:p w:rsidR="004D1A1F" w:rsidRDefault="004D1A1F">
      <w:pPr>
        <w:pStyle w:val="Textoindependiente"/>
      </w:pPr>
    </w:p>
    <w:p w:rsidR="004D1A1F" w:rsidRDefault="004D1A1F">
      <w:pPr>
        <w:pStyle w:val="Textoindependiente"/>
      </w:pPr>
      <w:bookmarkStart w:id="0" w:name="_GoBack"/>
      <w:bookmarkEnd w:id="0"/>
    </w:p>
    <w:p w:rsidR="004D1A1F" w:rsidRDefault="004D1A1F">
      <w:pPr>
        <w:pStyle w:val="Textoindependiente"/>
      </w:pPr>
    </w:p>
    <w:p w:rsidR="004D1A1F" w:rsidRDefault="004D1A1F">
      <w:pPr>
        <w:pStyle w:val="Textoindependiente"/>
      </w:pPr>
    </w:p>
    <w:p w:rsidR="004D1A1F" w:rsidRDefault="004D1A1F" w:rsidP="004D1A1F">
      <w:pPr>
        <w:pStyle w:val="Textoindependiente"/>
        <w:ind w:hanging="284"/>
      </w:pPr>
      <w:proofErr w:type="gramStart"/>
      <w:r>
        <w:t>dc</w:t>
      </w:r>
      <w:proofErr w:type="gramEnd"/>
    </w:p>
    <w:p w:rsidR="00AC3C8E" w:rsidRDefault="00AC3C8E">
      <w:pPr>
        <w:pStyle w:val="Textoindependiente"/>
        <w:ind w:left="720"/>
      </w:pPr>
    </w:p>
    <w:p w:rsidR="00AC3C8E" w:rsidRDefault="00AC3C8E">
      <w:pPr>
        <w:pStyle w:val="Textoindependiente"/>
        <w:rPr>
          <w:b/>
          <w:bCs/>
        </w:rPr>
      </w:pPr>
    </w:p>
    <w:p w:rsidR="00AC3C8E" w:rsidRDefault="00AC3C8E">
      <w:pPr>
        <w:pStyle w:val="Textoindependiente"/>
        <w:rPr>
          <w:b/>
          <w:bCs/>
        </w:rPr>
      </w:pPr>
    </w:p>
    <w:p w:rsidR="00AC3C8E" w:rsidRDefault="00AC3C8E">
      <w:pPr>
        <w:pStyle w:val="Textoindependiente"/>
        <w:rPr>
          <w:b/>
          <w:bCs/>
        </w:rPr>
      </w:pPr>
    </w:p>
    <w:p w:rsidR="00AC3C8E" w:rsidRDefault="00AC3C8E">
      <w:pPr>
        <w:pStyle w:val="Textoindependiente"/>
      </w:pPr>
    </w:p>
    <w:p w:rsidR="00AC3C8E" w:rsidRDefault="00AC3C8E">
      <w:pPr>
        <w:pStyle w:val="Textoindependiente"/>
      </w:pPr>
    </w:p>
    <w:p w:rsidR="00AC3C8E" w:rsidRDefault="00AC3C8E">
      <w:pPr>
        <w:pStyle w:val="Textoindependiente"/>
        <w:rPr>
          <w:b/>
          <w:bCs/>
        </w:rPr>
      </w:pPr>
    </w:p>
    <w:p w:rsidR="00AC3C8E" w:rsidRDefault="00AC3C8E">
      <w:pPr>
        <w:pStyle w:val="Textoindependiente"/>
        <w:rPr>
          <w:b/>
          <w:bCs/>
        </w:rPr>
      </w:pPr>
    </w:p>
    <w:p w:rsidR="00AC3C8E" w:rsidRDefault="00AC3C8E">
      <w:pPr>
        <w:pStyle w:val="Textoindependiente"/>
        <w:ind w:left="720"/>
      </w:pPr>
    </w:p>
    <w:p w:rsidR="00AC3C8E" w:rsidRDefault="00AC3C8E">
      <w:pPr>
        <w:pStyle w:val="Textoindependiente"/>
      </w:pPr>
    </w:p>
    <w:p w:rsidR="00AC3C8E" w:rsidRDefault="00AC3C8E">
      <w:pPr>
        <w:pStyle w:val="Textoindependiente"/>
      </w:pPr>
    </w:p>
    <w:p w:rsidR="00AC3C8E" w:rsidRDefault="00AC3C8E">
      <w:pPr>
        <w:pStyle w:val="Textoindependiente"/>
      </w:pPr>
    </w:p>
    <w:p w:rsidR="00AC3C8E" w:rsidRDefault="00AC3C8E">
      <w:pPr>
        <w:pStyle w:val="Textoindependiente"/>
      </w:pPr>
      <w:r>
        <w:t xml:space="preserve"> </w:t>
      </w:r>
    </w:p>
    <w:p w:rsidR="00AC3C8E" w:rsidRDefault="00AC3C8E">
      <w:pPr>
        <w:pStyle w:val="Textoindependiente"/>
      </w:pPr>
    </w:p>
    <w:sectPr w:rsidR="00AC3C8E" w:rsidSect="0033534A">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1F" w:rsidRDefault="004D1A1F" w:rsidP="004D1A1F">
      <w:r>
        <w:separator/>
      </w:r>
    </w:p>
  </w:endnote>
  <w:endnote w:type="continuationSeparator" w:id="0">
    <w:p w:rsidR="004D1A1F" w:rsidRDefault="004D1A1F" w:rsidP="004D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1F" w:rsidRDefault="004D1A1F">
    <w:pPr>
      <w:pStyle w:val="Piedepgina"/>
      <w:jc w:val="center"/>
    </w:pPr>
    <w:r>
      <w:fldChar w:fldCharType="begin"/>
    </w:r>
    <w:r>
      <w:instrText>PAGE   \* MERGEFORMAT</w:instrText>
    </w:r>
    <w:r>
      <w:fldChar w:fldCharType="separate"/>
    </w:r>
    <w:r w:rsidRPr="004D1A1F">
      <w:rPr>
        <w:noProof/>
        <w:lang w:val="es-ES"/>
      </w:rPr>
      <w:t>6</w:t>
    </w:r>
    <w:r>
      <w:fldChar w:fldCharType="end"/>
    </w:r>
  </w:p>
  <w:p w:rsidR="004D1A1F" w:rsidRDefault="004D1A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1F" w:rsidRDefault="004D1A1F" w:rsidP="004D1A1F">
      <w:r>
        <w:separator/>
      </w:r>
    </w:p>
  </w:footnote>
  <w:footnote w:type="continuationSeparator" w:id="0">
    <w:p w:rsidR="004D1A1F" w:rsidRDefault="004D1A1F" w:rsidP="004D1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3BFA"/>
    <w:multiLevelType w:val="hybridMultilevel"/>
    <w:tmpl w:val="D65ADF20"/>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
    <w:nsid w:val="14D86603"/>
    <w:multiLevelType w:val="hybridMultilevel"/>
    <w:tmpl w:val="84702AF6"/>
    <w:lvl w:ilvl="0" w:tplc="6A3E2ACA">
      <w:start w:val="1"/>
      <w:numFmt w:val="decimal"/>
      <w:lvlText w:val="%1)"/>
      <w:lvlJc w:val="left"/>
      <w:pPr>
        <w:ind w:left="1065" w:hanging="705"/>
      </w:pPr>
      <w:rPr>
        <w:rFonts w:ascii="Times New Roman" w:hAnsi="Times New Roman" w:cs="Times New Roman" w:hint="default"/>
        <w:b/>
        <w:bCs/>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
    <w:nsid w:val="4948109A"/>
    <w:multiLevelType w:val="hybridMultilevel"/>
    <w:tmpl w:val="883628C4"/>
    <w:lvl w:ilvl="0" w:tplc="58CE6E28">
      <w:start w:val="1"/>
      <w:numFmt w:val="decimal"/>
      <w:lvlText w:val="%1)"/>
      <w:lvlJc w:val="left"/>
      <w:pPr>
        <w:tabs>
          <w:tab w:val="num" w:pos="1068"/>
        </w:tabs>
        <w:ind w:left="1068" w:hanging="360"/>
      </w:pPr>
      <w:rPr>
        <w:rFonts w:ascii="Arial" w:eastAsiaTheme="minorEastAsia" w:hAnsi="Arial" w:cs="Arial"/>
        <w:b/>
        <w:bCs/>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3">
    <w:nsid w:val="59D766C6"/>
    <w:multiLevelType w:val="hybridMultilevel"/>
    <w:tmpl w:val="12BC077E"/>
    <w:lvl w:ilvl="0" w:tplc="6A3E2ACA">
      <w:start w:val="1"/>
      <w:numFmt w:val="decimal"/>
      <w:lvlText w:val="%1)"/>
      <w:lvlJc w:val="left"/>
      <w:pPr>
        <w:ind w:left="1065" w:hanging="705"/>
      </w:pPr>
      <w:rPr>
        <w:rFonts w:ascii="Times New Roman" w:hAnsi="Times New Roman" w:cs="Times New Roman" w:hint="default"/>
        <w:b/>
        <w:bCs/>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
    <w:nsid w:val="5CF85BD6"/>
    <w:multiLevelType w:val="hybridMultilevel"/>
    <w:tmpl w:val="F06E2E22"/>
    <w:lvl w:ilvl="0" w:tplc="6A3E2ACA">
      <w:start w:val="1"/>
      <w:numFmt w:val="decimal"/>
      <w:lvlText w:val="%1)"/>
      <w:lvlJc w:val="left"/>
      <w:pPr>
        <w:ind w:left="1065" w:hanging="705"/>
      </w:pPr>
      <w:rPr>
        <w:rFonts w:ascii="Times New Roman" w:hAnsi="Times New Roman" w:cs="Times New Roman" w:hint="default"/>
        <w:b/>
        <w:bCs/>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5">
    <w:nsid w:val="667B4540"/>
    <w:multiLevelType w:val="hybridMultilevel"/>
    <w:tmpl w:val="4A04F852"/>
    <w:lvl w:ilvl="0" w:tplc="380A0017">
      <w:start w:val="1"/>
      <w:numFmt w:val="lowerLetter"/>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6">
    <w:nsid w:val="681F45EE"/>
    <w:multiLevelType w:val="hybridMultilevel"/>
    <w:tmpl w:val="66D0B57C"/>
    <w:lvl w:ilvl="0" w:tplc="E324791A">
      <w:start w:val="1"/>
      <w:numFmt w:val="lowerLetter"/>
      <w:lvlText w:val="%1)"/>
      <w:lvlJc w:val="left"/>
      <w:pPr>
        <w:ind w:left="1080" w:hanging="360"/>
      </w:pPr>
      <w:rPr>
        <w:rFonts w:ascii="Times New Roman" w:hAnsi="Times New Roman" w:cs="Times New Roman" w:hint="default"/>
      </w:rPr>
    </w:lvl>
    <w:lvl w:ilvl="1" w:tplc="380A0019">
      <w:start w:val="1"/>
      <w:numFmt w:val="lowerLetter"/>
      <w:lvlText w:val="%2."/>
      <w:lvlJc w:val="left"/>
      <w:pPr>
        <w:ind w:left="1800" w:hanging="360"/>
      </w:pPr>
      <w:rPr>
        <w:rFonts w:ascii="Times New Roman" w:hAnsi="Times New Roman" w:cs="Times New Roman"/>
      </w:rPr>
    </w:lvl>
    <w:lvl w:ilvl="2" w:tplc="380A001B">
      <w:start w:val="1"/>
      <w:numFmt w:val="lowerRoman"/>
      <w:lvlText w:val="%3."/>
      <w:lvlJc w:val="right"/>
      <w:pPr>
        <w:ind w:left="2520" w:hanging="180"/>
      </w:pPr>
      <w:rPr>
        <w:rFonts w:ascii="Times New Roman" w:hAnsi="Times New Roman" w:cs="Times New Roman"/>
      </w:rPr>
    </w:lvl>
    <w:lvl w:ilvl="3" w:tplc="380A000F">
      <w:start w:val="1"/>
      <w:numFmt w:val="decimal"/>
      <w:lvlText w:val="%4."/>
      <w:lvlJc w:val="left"/>
      <w:pPr>
        <w:ind w:left="3240" w:hanging="360"/>
      </w:pPr>
      <w:rPr>
        <w:rFonts w:ascii="Times New Roman" w:hAnsi="Times New Roman" w:cs="Times New Roman"/>
      </w:rPr>
    </w:lvl>
    <w:lvl w:ilvl="4" w:tplc="380A0019">
      <w:start w:val="1"/>
      <w:numFmt w:val="lowerLetter"/>
      <w:lvlText w:val="%5."/>
      <w:lvlJc w:val="left"/>
      <w:pPr>
        <w:ind w:left="3960" w:hanging="360"/>
      </w:pPr>
      <w:rPr>
        <w:rFonts w:ascii="Times New Roman" w:hAnsi="Times New Roman" w:cs="Times New Roman"/>
      </w:rPr>
    </w:lvl>
    <w:lvl w:ilvl="5" w:tplc="380A001B">
      <w:start w:val="1"/>
      <w:numFmt w:val="lowerRoman"/>
      <w:lvlText w:val="%6."/>
      <w:lvlJc w:val="right"/>
      <w:pPr>
        <w:ind w:left="4680" w:hanging="180"/>
      </w:pPr>
      <w:rPr>
        <w:rFonts w:ascii="Times New Roman" w:hAnsi="Times New Roman" w:cs="Times New Roman"/>
      </w:rPr>
    </w:lvl>
    <w:lvl w:ilvl="6" w:tplc="380A000F">
      <w:start w:val="1"/>
      <w:numFmt w:val="decimal"/>
      <w:lvlText w:val="%7."/>
      <w:lvlJc w:val="left"/>
      <w:pPr>
        <w:ind w:left="5400" w:hanging="360"/>
      </w:pPr>
      <w:rPr>
        <w:rFonts w:ascii="Times New Roman" w:hAnsi="Times New Roman" w:cs="Times New Roman"/>
      </w:rPr>
    </w:lvl>
    <w:lvl w:ilvl="7" w:tplc="380A0019">
      <w:start w:val="1"/>
      <w:numFmt w:val="lowerLetter"/>
      <w:lvlText w:val="%8."/>
      <w:lvlJc w:val="left"/>
      <w:pPr>
        <w:ind w:left="6120" w:hanging="360"/>
      </w:pPr>
      <w:rPr>
        <w:rFonts w:ascii="Times New Roman" w:hAnsi="Times New Roman" w:cs="Times New Roman"/>
      </w:rPr>
    </w:lvl>
    <w:lvl w:ilvl="8" w:tplc="380A001B">
      <w:start w:val="1"/>
      <w:numFmt w:val="lowerRoman"/>
      <w:lvlText w:val="%9."/>
      <w:lvlJc w:val="right"/>
      <w:pPr>
        <w:ind w:left="6840" w:hanging="180"/>
      </w:pPr>
      <w:rPr>
        <w:rFonts w:ascii="Times New Roman" w:hAnsi="Times New Roman" w:cs="Times New Roman"/>
      </w:rPr>
    </w:lvl>
  </w:abstractNum>
  <w:abstractNum w:abstractNumId="7">
    <w:nsid w:val="7D561525"/>
    <w:multiLevelType w:val="multilevel"/>
    <w:tmpl w:val="2D1CFD3A"/>
    <w:lvl w:ilvl="0">
      <w:start w:val="8"/>
      <w:numFmt w:val="decimal"/>
      <w:lvlText w:val="%1."/>
      <w:lvlJc w:val="left"/>
      <w:pPr>
        <w:tabs>
          <w:tab w:val="num" w:pos="405"/>
        </w:tabs>
        <w:ind w:left="405" w:hanging="405"/>
      </w:pPr>
      <w:rPr>
        <w:rFonts w:ascii="Times New Roman" w:hAnsi="Times New Roman" w:cs="Times New Roman" w:hint="default"/>
      </w:rPr>
    </w:lvl>
    <w:lvl w:ilvl="1">
      <w:start w:val="3"/>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8E"/>
    <w:rsid w:val="0033534A"/>
    <w:rsid w:val="004D1A1F"/>
    <w:rsid w:val="00A86FB7"/>
    <w:rsid w:val="00AC3C8E"/>
    <w:rsid w:val="00DB0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uiPriority w:val="99"/>
    <w:qFormat/>
    <w:pPr>
      <w:keepNext/>
      <w:jc w:val="center"/>
      <w:outlineLvl w:val="0"/>
    </w:pPr>
    <w:rPr>
      <w:rFonts w:ascii="Arial" w:hAnsi="Arial" w:cs="Arial"/>
      <w:b/>
      <w:bCs/>
    </w:rPr>
  </w:style>
  <w:style w:type="paragraph" w:styleId="Ttulo3">
    <w:name w:val="heading 3"/>
    <w:basedOn w:val="Normal"/>
    <w:next w:val="Normal"/>
    <w:link w:val="Ttulo3Car"/>
    <w:uiPriority w:val="99"/>
    <w:qFormat/>
    <w:pPr>
      <w:keepNext/>
      <w:spacing w:before="240" w:after="60"/>
      <w:outlineLvl w:val="2"/>
    </w:pPr>
    <w:rPr>
      <w:rFonts w:ascii="Cambria" w:hAnsi="Cambria" w:cs="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3Car">
    <w:name w:val="Título 3 Car"/>
    <w:basedOn w:val="Fuentedeprrafopredeter"/>
    <w:link w:val="Ttulo3"/>
    <w:uiPriority w:val="99"/>
    <w:rPr>
      <w:rFonts w:ascii="Cambria" w:hAnsi="Cambria" w:cs="Cambria"/>
      <w:b/>
      <w:bCs/>
      <w:sz w:val="26"/>
      <w:szCs w:val="26"/>
    </w:rPr>
  </w:style>
  <w:style w:type="paragraph" w:styleId="Textoindependiente">
    <w:name w:val="Body Text"/>
    <w:basedOn w:val="Normal"/>
    <w:link w:val="TextoindependienteCar"/>
    <w:uiPriority w:val="99"/>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rPr>
  </w:style>
  <w:style w:type="character" w:customStyle="1" w:styleId="SangradetextonormalCar">
    <w:name w:val="Sangría de texto normal Car"/>
    <w:basedOn w:val="Fuentedeprrafopredeter"/>
    <w:link w:val="Sangradetextonormal"/>
    <w:uiPriority w:val="99"/>
    <w:rPr>
      <w:rFonts w:ascii="Arial" w:hAnsi="Arial" w:cs="Arial"/>
      <w:sz w:val="24"/>
      <w:szCs w:val="24"/>
      <w:lang w:eastAsia="es-ES"/>
    </w:rPr>
  </w:style>
  <w:style w:type="paragraph" w:styleId="Prrafodelista">
    <w:name w:val="List Paragraph"/>
    <w:basedOn w:val="Normal"/>
    <w:uiPriority w:val="99"/>
    <w:qFormat/>
    <w:pPr>
      <w:ind w:left="720"/>
    </w:pPr>
    <w:rPr>
      <w:rFonts w:cs="Times New Roman"/>
    </w:rPr>
  </w:style>
  <w:style w:type="paragraph" w:styleId="Piedepgina">
    <w:name w:val="footer"/>
    <w:basedOn w:val="Normal"/>
    <w:link w:val="PiedepginaCar"/>
    <w:uiPriority w:val="99"/>
    <w:pPr>
      <w:tabs>
        <w:tab w:val="center" w:pos="4252"/>
        <w:tab w:val="right" w:pos="8504"/>
      </w:tabs>
    </w:pPr>
    <w:rPr>
      <w:rFonts w:cs="Times New Roman"/>
      <w:lang w:val="es-UY"/>
    </w:rPr>
  </w:style>
  <w:style w:type="character" w:customStyle="1" w:styleId="PiedepginaCar">
    <w:name w:val="Pie de página Car"/>
    <w:basedOn w:val="Fuentedeprrafopredeter"/>
    <w:link w:val="Piedepgina"/>
    <w:uiPriority w:val="99"/>
    <w:rPr>
      <w:rFonts w:ascii="Times New Roman" w:hAnsi="Times New Roman" w:cs="Times New Roman"/>
      <w:sz w:val="24"/>
      <w:szCs w:val="24"/>
    </w:rPr>
  </w:style>
  <w:style w:type="paragraph" w:styleId="Encabezado">
    <w:name w:val="header"/>
    <w:basedOn w:val="Normal"/>
    <w:link w:val="EncabezadoCar"/>
    <w:uiPriority w:val="99"/>
    <w:unhideWhenUsed/>
    <w:rsid w:val="004D1A1F"/>
    <w:pPr>
      <w:tabs>
        <w:tab w:val="center" w:pos="4419"/>
        <w:tab w:val="right" w:pos="8838"/>
      </w:tabs>
    </w:pPr>
  </w:style>
  <w:style w:type="character" w:customStyle="1" w:styleId="EncabezadoCar">
    <w:name w:val="Encabezado Car"/>
    <w:basedOn w:val="Fuentedeprrafopredeter"/>
    <w:link w:val="Encabezado"/>
    <w:uiPriority w:val="99"/>
    <w:rsid w:val="004D1A1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uiPriority w:val="99"/>
    <w:qFormat/>
    <w:pPr>
      <w:keepNext/>
      <w:jc w:val="center"/>
      <w:outlineLvl w:val="0"/>
    </w:pPr>
    <w:rPr>
      <w:rFonts w:ascii="Arial" w:hAnsi="Arial" w:cs="Arial"/>
      <w:b/>
      <w:bCs/>
    </w:rPr>
  </w:style>
  <w:style w:type="paragraph" w:styleId="Ttulo3">
    <w:name w:val="heading 3"/>
    <w:basedOn w:val="Normal"/>
    <w:next w:val="Normal"/>
    <w:link w:val="Ttulo3Car"/>
    <w:uiPriority w:val="99"/>
    <w:qFormat/>
    <w:pPr>
      <w:keepNext/>
      <w:spacing w:before="240" w:after="60"/>
      <w:outlineLvl w:val="2"/>
    </w:pPr>
    <w:rPr>
      <w:rFonts w:ascii="Cambria" w:hAnsi="Cambria" w:cs="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3Car">
    <w:name w:val="Título 3 Car"/>
    <w:basedOn w:val="Fuentedeprrafopredeter"/>
    <w:link w:val="Ttulo3"/>
    <w:uiPriority w:val="99"/>
    <w:rPr>
      <w:rFonts w:ascii="Cambria" w:hAnsi="Cambria" w:cs="Cambria"/>
      <w:b/>
      <w:bCs/>
      <w:sz w:val="26"/>
      <w:szCs w:val="26"/>
    </w:rPr>
  </w:style>
  <w:style w:type="paragraph" w:styleId="Textoindependiente">
    <w:name w:val="Body Text"/>
    <w:basedOn w:val="Normal"/>
    <w:link w:val="TextoindependienteCar"/>
    <w:uiPriority w:val="99"/>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rPr>
  </w:style>
  <w:style w:type="character" w:customStyle="1" w:styleId="SangradetextonormalCar">
    <w:name w:val="Sangría de texto normal Car"/>
    <w:basedOn w:val="Fuentedeprrafopredeter"/>
    <w:link w:val="Sangradetextonormal"/>
    <w:uiPriority w:val="99"/>
    <w:rPr>
      <w:rFonts w:ascii="Arial" w:hAnsi="Arial" w:cs="Arial"/>
      <w:sz w:val="24"/>
      <w:szCs w:val="24"/>
      <w:lang w:eastAsia="es-ES"/>
    </w:rPr>
  </w:style>
  <w:style w:type="paragraph" w:styleId="Prrafodelista">
    <w:name w:val="List Paragraph"/>
    <w:basedOn w:val="Normal"/>
    <w:uiPriority w:val="99"/>
    <w:qFormat/>
    <w:pPr>
      <w:ind w:left="720"/>
    </w:pPr>
    <w:rPr>
      <w:rFonts w:cs="Times New Roman"/>
    </w:rPr>
  </w:style>
  <w:style w:type="paragraph" w:styleId="Piedepgina">
    <w:name w:val="footer"/>
    <w:basedOn w:val="Normal"/>
    <w:link w:val="PiedepginaCar"/>
    <w:uiPriority w:val="99"/>
    <w:pPr>
      <w:tabs>
        <w:tab w:val="center" w:pos="4252"/>
        <w:tab w:val="right" w:pos="8504"/>
      </w:tabs>
    </w:pPr>
    <w:rPr>
      <w:rFonts w:cs="Times New Roman"/>
      <w:lang w:val="es-UY"/>
    </w:rPr>
  </w:style>
  <w:style w:type="character" w:customStyle="1" w:styleId="PiedepginaCar">
    <w:name w:val="Pie de página Car"/>
    <w:basedOn w:val="Fuentedeprrafopredeter"/>
    <w:link w:val="Piedepgina"/>
    <w:uiPriority w:val="99"/>
    <w:rPr>
      <w:rFonts w:ascii="Times New Roman" w:hAnsi="Times New Roman" w:cs="Times New Roman"/>
      <w:sz w:val="24"/>
      <w:szCs w:val="24"/>
    </w:rPr>
  </w:style>
  <w:style w:type="paragraph" w:styleId="Encabezado">
    <w:name w:val="header"/>
    <w:basedOn w:val="Normal"/>
    <w:link w:val="EncabezadoCar"/>
    <w:uiPriority w:val="99"/>
    <w:unhideWhenUsed/>
    <w:rsid w:val="004D1A1F"/>
    <w:pPr>
      <w:tabs>
        <w:tab w:val="center" w:pos="4419"/>
        <w:tab w:val="right" w:pos="8838"/>
      </w:tabs>
    </w:pPr>
  </w:style>
  <w:style w:type="character" w:customStyle="1" w:styleId="EncabezadoCar">
    <w:name w:val="Encabezado Car"/>
    <w:basedOn w:val="Fuentedeprrafopredeter"/>
    <w:link w:val="Encabezado"/>
    <w:uiPriority w:val="99"/>
    <w:rsid w:val="004D1A1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1476</Words>
  <Characters>8120</Characters>
  <Application>Microsoft Office Word</Application>
  <DocSecurity>4</DocSecurity>
  <Lines>67</Lines>
  <Paragraphs>19</Paragraphs>
  <ScaleCrop>false</ScaleCrop>
  <HeadingPairs>
    <vt:vector size="2" baseType="variant">
      <vt:variant>
        <vt:lpstr>Título</vt:lpstr>
      </vt:variant>
      <vt:variant>
        <vt:i4>1</vt:i4>
      </vt:variant>
    </vt:vector>
  </HeadingPairs>
  <TitlesOfParts>
    <vt:vector size="1" baseType="lpstr">
      <vt:lpstr>Carpeta Nº 2014-17-1-0003583</vt:lpstr>
    </vt:vector>
  </TitlesOfParts>
  <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2014-17-1-0003583</dc:title>
  <dc:creator>GABY LEDESMA GAYA</dc:creator>
  <cp:lastModifiedBy>Tribunal1</cp:lastModifiedBy>
  <cp:revision>2</cp:revision>
  <cp:lastPrinted>2017-03-06T19:08:00Z</cp:lastPrinted>
  <dcterms:created xsi:type="dcterms:W3CDTF">2017-03-06T19:10:00Z</dcterms:created>
  <dcterms:modified xsi:type="dcterms:W3CDTF">2017-03-06T19:10:00Z</dcterms:modified>
</cp:coreProperties>
</file>