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49" w:rsidRPr="00161683" w:rsidRDefault="00A11B49" w:rsidP="00A11B4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679/17</w:t>
      </w:r>
    </w:p>
    <w:p w:rsidR="00A11B49" w:rsidRDefault="00A11B49" w:rsidP="00A11B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1B49" w:rsidRPr="004746D1" w:rsidRDefault="00A11B49" w:rsidP="00A11B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1B49" w:rsidRPr="004746D1" w:rsidRDefault="00A11B49" w:rsidP="00A11B4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1B49" w:rsidRPr="004746D1" w:rsidRDefault="00A11B49" w:rsidP="00A11B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1B49" w:rsidRPr="004746D1" w:rsidRDefault="00A11B49" w:rsidP="00A11B4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1B49" w:rsidRPr="004746D1" w:rsidRDefault="00A11B49" w:rsidP="00A11B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22 DE FEBRERO DE 2017</w:t>
      </w:r>
    </w:p>
    <w:p w:rsidR="00A11B49" w:rsidRPr="004746D1" w:rsidRDefault="00A11B49" w:rsidP="00A11B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1B49" w:rsidRPr="004746D1" w:rsidRDefault="00A11B49" w:rsidP="00A11B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2013-17-1-0005624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652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A11B49" w:rsidRPr="004746D1" w:rsidRDefault="00A11B49" w:rsidP="00A11B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A11B49" w:rsidRDefault="00A11B49" w:rsidP="00A11B49">
      <w:pPr>
        <w:pStyle w:val="Ttulo2"/>
        <w:jc w:val="left"/>
      </w:pPr>
    </w:p>
    <w:p w:rsidR="00E71EE3" w:rsidRDefault="00E71EE3" w:rsidP="00A11B49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</w:pPr>
      <w:r w:rsidRPr="00E71EE3">
        <w:rPr>
          <w:rFonts w:ascii="Arial" w:hAnsi="Arial" w:cs="Arial"/>
          <w:b/>
          <w:sz w:val="24"/>
          <w:szCs w:val="24"/>
          <w:lang w:val="es-ES_tradnl"/>
        </w:rPr>
        <w:t xml:space="preserve">VISTO: </w:t>
      </w:r>
      <w:r>
        <w:rPr>
          <w:rFonts w:ascii="Arial" w:hAnsi="Arial" w:cs="Arial"/>
          <w:sz w:val="24"/>
          <w:szCs w:val="24"/>
          <w:lang w:val="es-ES_tradnl"/>
        </w:rPr>
        <w:t>estas nuevas actuaciones remitidas por el Ministerio de Transporte y Obras Públicas</w:t>
      </w:r>
      <w:r w:rsidR="00A11B49">
        <w:rPr>
          <w:rFonts w:ascii="Arial" w:hAnsi="Arial" w:cs="Arial"/>
          <w:sz w:val="24"/>
          <w:szCs w:val="24"/>
          <w:lang w:val="es-ES_tradnl"/>
        </w:rPr>
        <w:t>-</w:t>
      </w:r>
      <w:r>
        <w:rPr>
          <w:rFonts w:ascii="Arial" w:hAnsi="Arial" w:cs="Arial"/>
          <w:sz w:val="24"/>
          <w:szCs w:val="24"/>
          <w:lang w:val="es-ES_tradnl"/>
        </w:rPr>
        <w:t>Dirección Nacional de Hidrografía</w:t>
      </w:r>
      <w:r w:rsidR="00A11B49">
        <w:rPr>
          <w:rFonts w:ascii="Arial" w:hAnsi="Arial" w:cs="Arial"/>
          <w:sz w:val="24"/>
          <w:szCs w:val="24"/>
          <w:lang w:val="es-ES_tradnl"/>
        </w:rPr>
        <w:t xml:space="preserve">, </w:t>
      </w:r>
      <w:r>
        <w:rPr>
          <w:rFonts w:ascii="Arial" w:hAnsi="Arial" w:cs="Arial"/>
          <w:sz w:val="24"/>
          <w:szCs w:val="24"/>
          <w:lang w:val="es-ES_tradnl"/>
        </w:rPr>
        <w:t xml:space="preserve">relacionadas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_tradnl"/>
        </w:rPr>
        <w:t xml:space="preserve">con la </w:t>
      </w:r>
      <w:r w:rsidRPr="0081162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Licitación Pública Nº 2/2012 para </w:t>
      </w:r>
      <w:r w:rsidRPr="00811628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Reconstrucci</w:t>
      </w:r>
      <w:r w:rsidR="00A11B49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ón de Muelle y Construcción de </w:t>
      </w:r>
      <w:r w:rsidRPr="00811628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Marinas en el Puerto de Piriápolis, Departamento de Maldonado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; </w:t>
      </w:r>
    </w:p>
    <w:p w:rsidR="00E71EE3" w:rsidRDefault="00E71EE3" w:rsidP="00A11B49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0"/>
          <w:lang w:eastAsia="es-ES"/>
        </w:rPr>
      </w:pPr>
      <w:r w:rsidRPr="00E71EE3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>RESULTANDO: 1)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que este Tribunal, en Sesión de fecha </w:t>
      </w:r>
      <w:r w:rsidR="00A11B49">
        <w:rPr>
          <w:rFonts w:ascii="Arial" w:hAnsi="Arial" w:cs="Arial"/>
          <w:sz w:val="24"/>
          <w:szCs w:val="24"/>
          <w:lang w:val="es-ES_tradnl"/>
        </w:rPr>
        <w:t xml:space="preserve">30/10/2013, acordó 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com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eter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a</w:t>
      </w:r>
      <w:r w:rsidR="00A82D7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l</w:t>
      </w:r>
      <w:r w:rsidR="00A82D7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a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Contador</w:t>
      </w:r>
      <w:r w:rsidR="00A82D7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a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Auditor</w:t>
      </w:r>
      <w:r w:rsidR="00A82D7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a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la intervención del gasto de </w:t>
      </w:r>
      <w:r w:rsidR="00A82D7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               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$ 402:836.254</w:t>
      </w:r>
      <w:r w:rsidR="00A11B49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,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Impuestos, 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Leyes Sociales e Imprevistos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incluidos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, a favor de la empresa </w:t>
      </w:r>
      <w:r w:rsidR="00FC5039"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SACEEM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;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</w:p>
    <w:p w:rsidR="00E71EE3" w:rsidRPr="00811628" w:rsidRDefault="00E71EE3" w:rsidP="00A11B49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FE5A3E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2)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que por 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Informe de la Auditoría del TCR de fecha 12</w:t>
      </w:r>
      <w:r w:rsidR="00A11B4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/07/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2016, 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se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deja sin efecto </w:t>
      </w:r>
      <w:r w:rsidRPr="00E71EE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la intervención de fecha 19/04/2016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por la suma de $ 110:000.000</w:t>
      </w:r>
      <w:r w:rsidR="00A11B4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Pr="00E71EE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y 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se </w:t>
      </w:r>
      <w:r w:rsidRPr="00E71EE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observa el gasto de referencia por incumplimiento de lo estab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lecido en el Art</w:t>
      </w:r>
      <w:r w:rsidR="00A11B4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15 del TOCAF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FE5A3E" w:rsidRPr="00811628" w:rsidRDefault="00FE5A3E" w:rsidP="00A11B49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FE5A3E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3)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que este Tribunal, en S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esión de fecha 0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7</w:t>
      </w:r>
      <w:r w:rsidR="00A11B4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/09/20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16, acordó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ratificar la observación del gasto efectuado por la Auditor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 destacada ante el MTOP con fecha 12</w:t>
      </w:r>
      <w:r w:rsidR="00A11B4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/07/</w:t>
      </w:r>
      <w:r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2016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524E7B" w:rsidRDefault="00FE5A3E" w:rsidP="00524E7B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1D67A5">
        <w:rPr>
          <w:rFonts w:ascii="Arial" w:hAnsi="Arial" w:cs="Arial"/>
          <w:b/>
          <w:sz w:val="24"/>
          <w:szCs w:val="24"/>
          <w:lang w:val="es-ES_tradnl"/>
        </w:rPr>
        <w:t>4)</w:t>
      </w:r>
      <w:r>
        <w:rPr>
          <w:rFonts w:ascii="Arial" w:hAnsi="Arial" w:cs="Arial"/>
          <w:sz w:val="24"/>
          <w:szCs w:val="24"/>
          <w:lang w:val="es-ES_tradnl"/>
        </w:rPr>
        <w:t xml:space="preserve"> que</w:t>
      </w:r>
      <w:r w:rsidR="00FC5039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D67A5">
        <w:rPr>
          <w:rFonts w:ascii="Arial" w:hAnsi="Arial" w:cs="Arial"/>
          <w:sz w:val="24"/>
          <w:szCs w:val="24"/>
          <w:lang w:val="es-ES_tradnl"/>
        </w:rPr>
        <w:t xml:space="preserve">por Resolución del Poder Ejecutivo de fecha </w:t>
      </w:r>
      <w:r w:rsidR="001D67A5"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25/10/2016</w:t>
      </w:r>
      <w:r w:rsidR="00FC503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1D67A5"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="001D67A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se reitera</w:t>
      </w:r>
      <w:r w:rsidR="001D67A5"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el gasto de $ 110:000.000 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y</w:t>
      </w:r>
      <w:r w:rsidR="001D67A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este Tribunal, en Sesión de fecha 16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/11/</w:t>
      </w:r>
      <w:r w:rsidR="001D67A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2016, acordó </w:t>
      </w:r>
      <w:r w:rsidR="001D67A5" w:rsidRPr="00811628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mantener la observación formulada</w:t>
      </w:r>
      <w:r w:rsidR="00BC1733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524E7B" w:rsidRDefault="00BC1733" w:rsidP="00524E7B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5</w:t>
      </w:r>
      <w:r w:rsidR="001D67A5" w:rsidRPr="002F596C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1D67A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que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="002F596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en esta oportunidad, se remiten las siguientes actuaciones:</w:t>
      </w:r>
      <w:r w:rsidR="001D67A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</w:p>
    <w:p w:rsidR="00E8247A" w:rsidRPr="00112099" w:rsidRDefault="00BC1733" w:rsidP="00524E7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hAnsi="Arial" w:cs="Arial"/>
          <w:b/>
          <w:sz w:val="24"/>
          <w:szCs w:val="24"/>
          <w:lang w:val="es-ES_tradnl"/>
        </w:rPr>
        <w:t>5</w:t>
      </w:r>
      <w:r w:rsidR="002F596C" w:rsidRPr="00033CFA">
        <w:rPr>
          <w:rFonts w:ascii="Arial" w:hAnsi="Arial" w:cs="Arial"/>
          <w:b/>
          <w:sz w:val="24"/>
          <w:szCs w:val="24"/>
          <w:lang w:val="es-ES_tradnl"/>
        </w:rPr>
        <w:t>.1</w:t>
      </w:r>
      <w:r w:rsidR="00A82D7D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-</w:t>
      </w:r>
      <w:r w:rsidR="002F596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8247A" w:rsidRPr="00E8247A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Ampliación del Puerto de Piriápolis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 por un monto total de $ 77:129.890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 valores básicos de contrato, discriminado de la siguiente forma: para Obras 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lastRenderedPageBreak/>
        <w:t xml:space="preserve">$ 51:773.033; para Leyes Sociales $ 9:930.879 y para Imprevistos 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             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$ 15:425.978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. Se s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olicita se autorice el ajuste de precios de las obras ampliadas y que se apruebe un plazo de 12 (doce) meses par</w:t>
      </w:r>
      <w:r w:rsidR="00E8247A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 la ejecución de dichas obras.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S</w:t>
      </w:r>
      <w:r w:rsidR="00E8247A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 fundamenta dicha ampliación en que la realización de las obras de los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muelles e instalaciones nuevas</w:t>
      </w:r>
      <w:r w:rsidR="002C4AA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realizadas en el Puerto mediante la presente licitación</w:t>
      </w:r>
      <w:r w:rsidR="00FC503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proofErr w:type="gramStart"/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duplican</w:t>
      </w:r>
      <w:proofErr w:type="gramEnd"/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la capacidad de amarre para embarcaciones y habilitan un nuevo muelle multipropósito para la operación con embarcaciones comerciales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. P</w:t>
      </w:r>
      <w:r w:rsidR="00E8247A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or lo que resulta necesario la realización de los siguientes trabajos: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acondicionar los accesos y aumentar el área de estacionamiento de vehículos de call</w:t>
      </w:r>
      <w:r w:rsidR="00E8247A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e; 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recalificar los espacios en tierra del Puerto mediante la construcción de nuevos pavimentos, el </w:t>
      </w:r>
      <w:proofErr w:type="spellStart"/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parquizado</w:t>
      </w:r>
      <w:proofErr w:type="spellEnd"/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de sectores verdes, la adecuación de la iluminación de los mismo</w:t>
      </w:r>
      <w:r w:rsidR="002C4AA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y reparar algunas instalaciones marítimas (rampa de botada y varada de em</w:t>
      </w:r>
      <w:r w:rsidR="00E8247A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barcaciones)</w:t>
      </w:r>
      <w:r w:rsidR="00EE49E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E8247A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y 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la construcción de un nuevo muelle de 37 </w:t>
      </w:r>
      <w:r w:rsidR="00EE7CB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(treinta y siete) </w:t>
      </w:r>
      <w:r w:rsidR="00E8247A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metros de frente para la operación de las embarcaciones de pesca artesanal en las tareas de carga y descarga de los barcos y el acondicionamiento de las tareas de pesca.</w:t>
      </w:r>
      <w:r w:rsidR="0075532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="0027301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Se adjunta propuesta y conformidad de la empresa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para la ampliación proyectada;</w:t>
      </w:r>
    </w:p>
    <w:p w:rsidR="00CF5DE6" w:rsidRPr="00112099" w:rsidRDefault="0075532C" w:rsidP="00524E7B">
      <w:pPr>
        <w:spacing w:after="0" w:line="360" w:lineRule="auto"/>
        <w:ind w:firstLine="142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5</w:t>
      </w:r>
      <w:r w:rsidR="00273014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.2</w:t>
      </w:r>
      <w:r w:rsidR="0086413F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 </w:t>
      </w:r>
      <w:r w:rsidR="00273014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- </w:t>
      </w:r>
      <w:r w:rsidR="00CF5DE6" w:rsidRPr="00CF5DE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Realización de obras en el Puerto de La Paloma,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por la empresa </w:t>
      </w:r>
      <w:r w:rsidR="002C4AA4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SACEEM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, por un monto total de $ 114:687.189, a valores básicos del contrato original de la L.P. 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Nº 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2/2012, que se discrimina en la siguiente forma: para Obras $ 76:223.319, para Leyes Sociales $ 15:526.432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y para Imprevistos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  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$  22:937.438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. Se solicita autorización para 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el ajuste de precios de las obras a realizar en el Puerto de La Paloma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de acuerdo </w:t>
      </w:r>
      <w:r w:rsidR="0086413F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con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la fórmula paramétrica</w:t>
      </w:r>
      <w:r w:rsidR="00CF5DE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y aprobar un plazo de 12 </w:t>
      </w:r>
      <w:r w:rsidR="00EE7CB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(doce) </w:t>
      </w:r>
      <w:r w:rsidR="00CF5DE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meses para la ejecución de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dichas</w:t>
      </w:r>
      <w:r w:rsidR="00CF5DE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obras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. S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 fundamenta </w:t>
      </w:r>
      <w:r w:rsidR="0087732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la realización de nuevos trabajos en virtud de que,                 r</w:t>
      </w:r>
      <w:r w:rsidR="00CF5DE6" w:rsidRPr="0087732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ecientemente, la empresa </w:t>
      </w:r>
      <w:r w:rsidR="002C4AA4" w:rsidRPr="0087732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SACEEM </w:t>
      </w:r>
      <w:r w:rsidR="00CF5DE6" w:rsidRPr="0087732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ejecutó la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Ampliación de la Compra Directa Nº 1016 “Facilidades para la pesca artesanal en el Puerto de La Paloma”, obra que tuvo un fuerte impacto en la organización del puerto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ordenando las flotas de pesca artesanal y deportiva, mejorando las condiciones de seguridad en las maniobras náuticas en la rada portuaria y caracterizando 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lastRenderedPageBreak/>
        <w:t>una zona de interés turístico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. Las obras refieren a d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ragado general del puerto en sector de influencia puerto de pesca; construcción de rampa para varada y botada de embarcaciones; enrocado de protección en zona de playa aledaña a rampa; refuerzo estructural para operación de grúa; instalaciones eléctricas (energía e iluminación) y agua (potable y bomberos); construcción de explanadas para circulación, maniobras y guard</w:t>
      </w:r>
      <w:r w:rsidR="002C4AA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ería de embarcaciones 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    </w:t>
      </w:r>
      <w:r w:rsidR="002C4AA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(7</w:t>
      </w:r>
      <w:r w:rsidR="00D1612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.</w:t>
      </w:r>
      <w:r w:rsidR="002C4AA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000 m</w:t>
      </w:r>
      <w:r w:rsidR="002C4AA4" w:rsidRPr="00D16122">
        <w:rPr>
          <w:rFonts w:ascii="Arial" w:eastAsia="Times New Roman" w:hAnsi="Arial" w:cs="Arial"/>
          <w:bCs/>
          <w:color w:val="000000"/>
          <w:sz w:val="24"/>
          <w:szCs w:val="20"/>
          <w:vertAlign w:val="superscript"/>
          <w:lang w:val="es-ES_tradnl" w:eastAsia="es-ES"/>
        </w:rPr>
        <w:t>2</w:t>
      </w:r>
      <w:r w:rsidR="002C4AA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)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y </w:t>
      </w:r>
      <w:r w:rsidR="00D1612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O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ficina </w:t>
      </w:r>
      <w:r w:rsidR="00D1612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dministrativa y baños públicos;</w:t>
      </w:r>
    </w:p>
    <w:p w:rsidR="00CF5DE6" w:rsidRPr="00112099" w:rsidRDefault="0075532C" w:rsidP="00524E7B">
      <w:pPr>
        <w:tabs>
          <w:tab w:val="left" w:pos="2694"/>
        </w:tabs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6</w:t>
      </w:r>
      <w:r w:rsidR="00CF5DE6" w:rsidRPr="00CF5DE6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CF5DE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que las 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obras ejecutadas por </w:t>
      </w:r>
      <w:r w:rsidR="002C4AA4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SACEEM 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en </w:t>
      </w:r>
      <w:r w:rsidR="00225C9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el 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puerto de La Paloma y en el de </w:t>
      </w:r>
      <w:proofErr w:type="spellStart"/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Piriápolis</w:t>
      </w:r>
      <w:proofErr w:type="spellEnd"/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permiten destacar su importante experiencia en obras portuarias, por ello se plantea la realización de dichos trabajos a trav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és de una ampliación de la L.P. Nº 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2/2012, de acuerdo </w:t>
      </w:r>
      <w:r w:rsidR="00D1612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con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lo establecido en los recaudos que la rigen, en función de las siguientes consideraciones: en la Cl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áusula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Primera “Objeto, Plazo y Caract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rísticas de la Contratación”, en los </w:t>
      </w:r>
      <w:r w:rsidR="008C1B5A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N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umerales 1.1. </w:t>
      </w:r>
      <w:proofErr w:type="gramStart"/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y</w:t>
      </w:r>
      <w:proofErr w:type="gramEnd"/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1.3 se prevé la posibilidad de ampliar la contratación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en otros puertos y zonas inclui</w:t>
      </w:r>
      <w:r w:rsidR="00CF5DE6" w:rsidRPr="0011209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das en el ámbito de com</w:t>
      </w:r>
      <w:r w:rsidR="00524E7B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petencia y actividad de la DNH</w:t>
      </w:r>
      <w:r w:rsidR="00CF5DE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524E7B" w:rsidRDefault="00524E7B" w:rsidP="00524E7B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CONSIDERANDO: </w:t>
      </w:r>
      <w:r w:rsidR="00877326" w:rsidRPr="00877326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1)</w:t>
      </w:r>
      <w:r w:rsidR="002F58BF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que </w:t>
      </w:r>
      <w:r w:rsidR="008D697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conforme </w:t>
      </w:r>
      <w:r w:rsidR="00D1612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con e</w:t>
      </w:r>
      <w:r w:rsidR="008D697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l Pliego que rige el presente </w:t>
      </w:r>
      <w:r w:rsidR="00D1612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</w:t>
      </w:r>
      <w:r w:rsidR="008D697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lamado, el objeto del mismo es </w:t>
      </w:r>
      <w:r w:rsidR="0075532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la </w:t>
      </w:r>
      <w:r w:rsidR="008D697D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“</w:t>
      </w:r>
      <w:r w:rsidR="008D697D" w:rsidRPr="00112099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elaboración del Proyecto Ejecutivo y realización de las obras básicas de reconstrucción del muelle en la escollera </w:t>
      </w:r>
      <w:r w:rsidR="00D1612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S</w:t>
      </w:r>
      <w:r w:rsidR="008D697D" w:rsidRPr="00112099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ur</w:t>
      </w:r>
      <w:r w:rsidR="00D1612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-O</w:t>
      </w:r>
      <w:r w:rsidR="008D697D" w:rsidRPr="00112099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este y construcción de nuevas marinas para embarcaciones deportivas en el Puerto de Piriápolis, Dep</w:t>
      </w:r>
      <w:r w:rsidR="0075532C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artamen</w:t>
      </w:r>
      <w:r w:rsidR="002C4AA4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to de Maldonado. </w:t>
      </w:r>
      <w:r w:rsidR="008D697D" w:rsidRPr="00112099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Adicionalmente</w:t>
      </w:r>
      <w:r w:rsidR="002C4AA4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,</w:t>
      </w:r>
      <w:r w:rsidR="008D697D" w:rsidRPr="00112099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las empresas deberán cotizar el Proyecto Ejecutivo y las obras necesarias para la construcción de un muelle de dos niveles, capaz de brindar servicios </w:t>
      </w:r>
      <w:r w:rsidR="008D697D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a barcos de mayor porte”</w:t>
      </w:r>
      <w:r w:rsidR="0075532C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. Idéntico objeto está señalado en el </w:t>
      </w:r>
      <w:r w:rsidR="008D697D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Anexo I “Memoria Descriptiva General” que forma parte integrante del Pliego Particular de Condiciones;</w:t>
      </w:r>
      <w:r w:rsidR="008D697D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 xml:space="preserve">                                </w:t>
      </w:r>
    </w:p>
    <w:p w:rsidR="00F00BF2" w:rsidRDefault="00524E7B" w:rsidP="00524E7B">
      <w:pPr>
        <w:spacing w:after="0" w:line="360" w:lineRule="auto"/>
        <w:ind w:firstLine="2977"/>
        <w:jc w:val="both"/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 xml:space="preserve">  </w:t>
      </w:r>
      <w:r w:rsidR="008D697D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 xml:space="preserve">2) </w:t>
      </w:r>
      <w:r w:rsidR="00753554" w:rsidRPr="00753554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que con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forme </w:t>
      </w:r>
      <w:r w:rsidR="00D1612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con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lo dispuesto en el A</w:t>
      </w:r>
      <w:r w:rsidR="00753554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rt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ículo </w:t>
      </w:r>
      <w:r w:rsidR="00753554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74 del TOCAF</w:t>
      </w:r>
      <w:r w:rsidR="00F00BF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, las</w:t>
      </w:r>
      <w:r w:rsidR="002C4AA4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</w:t>
      </w:r>
      <w:r w:rsidR="00F00BF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prestaciones objeto de contratos podrán aumentarse o disminuirse, respetando sus condiciones y modalidades y con adecuación de los plazos respectivos</w:t>
      </w:r>
      <w:r w:rsidR="0075532C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. Asimismo,</w:t>
      </w:r>
      <w:r w:rsidR="00F00BF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podrán aumentarse o disminuirse en las </w:t>
      </w:r>
      <w:r w:rsidR="00F00BF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lastRenderedPageBreak/>
        <w:t>proporciones que sean de interés para la  Administración y que excedan las antes indicadas, con acuerdo del adjudicatario y en las mismas condiciones preestablecidas en materia de su aprobación</w:t>
      </w:r>
      <w:r w:rsidR="0075532C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;</w:t>
      </w:r>
    </w:p>
    <w:p w:rsidR="008F646B" w:rsidRDefault="008F646B" w:rsidP="00524E7B">
      <w:pPr>
        <w:spacing w:after="0" w:line="360" w:lineRule="auto"/>
        <w:ind w:firstLine="3119"/>
        <w:jc w:val="both"/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</w:pPr>
      <w:r w:rsidRPr="008F646B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>3)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que de acuerdo </w:t>
      </w:r>
      <w:r w:rsidR="00341EA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con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lo señalado</w:t>
      </w:r>
      <w:r w:rsidR="0075532C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, resulta fundada la ampliación de obras en el Puerto de Piriápolis. En cuanto a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la Ampliación del llamado referido a las obras en el Puerto de La Paloma</w:t>
      </w:r>
      <w:r w:rsidR="0075532C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,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</w:t>
      </w:r>
      <w:r w:rsidR="004D6530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el objeto</w:t>
      </w:r>
      <w:r w:rsidR="0075532C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difiere del originalmente contratado</w:t>
      </w:r>
      <w:r w:rsidR="004D6530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por la Administración. En efecto, no es de aplicación a este último caso lo dispuesto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por el Art</w:t>
      </w:r>
      <w:r w:rsidR="00031ED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74 del TOCAF, dado que la ampliación que se pretende efectuar consistente en obras para el puerto de La Paloma, se encuentra fuera del objeto de la contratación original; </w:t>
      </w:r>
    </w:p>
    <w:p w:rsidR="008F646B" w:rsidRDefault="008F646B" w:rsidP="00031ED2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</w:pPr>
      <w:r w:rsidRPr="008F646B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>ATENTO: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a lo expuesto y a lo dispuesto en el Art</w:t>
      </w:r>
      <w:r w:rsidR="00031ED2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211 Literal B) de la Constitución de la República; </w:t>
      </w:r>
    </w:p>
    <w:p w:rsidR="008F646B" w:rsidRDefault="008F646B" w:rsidP="008F64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EL   TRIBUNAL   ACUERDA</w:t>
      </w:r>
    </w:p>
    <w:p w:rsidR="00FB5606" w:rsidRDefault="00031ED2" w:rsidP="00031ED2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val="es-ES_tradnl"/>
        </w:rPr>
        <w:t>1)</w:t>
      </w:r>
      <w:r w:rsidR="00050540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5D72FF" w:rsidRPr="005D72FF">
        <w:rPr>
          <w:rFonts w:ascii="Arial" w:hAnsi="Arial" w:cs="Arial"/>
          <w:sz w:val="24"/>
          <w:szCs w:val="24"/>
          <w:lang w:val="es-ES_tradnl"/>
        </w:rPr>
        <w:t>Dictada la Resolución por el Ordenador competente</w:t>
      </w:r>
      <w:r w:rsidR="005D72FF">
        <w:rPr>
          <w:rFonts w:ascii="Arial" w:hAnsi="Arial" w:cs="Arial"/>
          <w:sz w:val="24"/>
          <w:szCs w:val="24"/>
          <w:lang w:val="es-ES_tradnl"/>
        </w:rPr>
        <w:t>, com</w:t>
      </w:r>
      <w:r w:rsidR="002C4AA4">
        <w:rPr>
          <w:rFonts w:ascii="Arial" w:hAnsi="Arial" w:cs="Arial"/>
          <w:sz w:val="24"/>
          <w:szCs w:val="24"/>
          <w:lang w:val="es-ES_tradnl"/>
        </w:rPr>
        <w:t>eter</w:t>
      </w:r>
      <w:r w:rsidR="005D72FF">
        <w:rPr>
          <w:rFonts w:ascii="Arial" w:hAnsi="Arial" w:cs="Arial"/>
          <w:sz w:val="24"/>
          <w:szCs w:val="24"/>
          <w:lang w:val="es-ES_tradnl"/>
        </w:rPr>
        <w:t xml:space="preserve"> a la C</w:t>
      </w:r>
      <w:r>
        <w:rPr>
          <w:rFonts w:ascii="Arial" w:hAnsi="Arial" w:cs="Arial"/>
          <w:sz w:val="24"/>
          <w:szCs w:val="24"/>
          <w:lang w:val="es-ES_tradnl"/>
        </w:rPr>
        <w:t>ontadora</w:t>
      </w:r>
      <w:r w:rsidR="005D72FF">
        <w:rPr>
          <w:rFonts w:ascii="Arial" w:hAnsi="Arial" w:cs="Arial"/>
          <w:sz w:val="24"/>
          <w:szCs w:val="24"/>
          <w:lang w:val="es-ES_tradnl"/>
        </w:rPr>
        <w:t xml:space="preserve"> Auditora la intervención del gasto de $ 77:129.890, más los ajustes correspondientes, a favor de la empresa </w:t>
      </w:r>
      <w:r w:rsidR="002C4AA4">
        <w:rPr>
          <w:rFonts w:ascii="Arial" w:hAnsi="Arial" w:cs="Arial"/>
          <w:sz w:val="24"/>
          <w:szCs w:val="24"/>
          <w:lang w:val="es-ES_tradnl"/>
        </w:rPr>
        <w:t>SACEEM</w:t>
      </w:r>
      <w:r w:rsidR="0075532C">
        <w:rPr>
          <w:rFonts w:ascii="Arial" w:hAnsi="Arial" w:cs="Arial"/>
          <w:sz w:val="24"/>
          <w:szCs w:val="24"/>
          <w:lang w:val="es-ES_tradnl"/>
        </w:rPr>
        <w:t>,</w:t>
      </w:r>
      <w:r w:rsidR="005D72FF">
        <w:rPr>
          <w:rFonts w:ascii="Arial" w:hAnsi="Arial" w:cs="Arial"/>
          <w:sz w:val="24"/>
          <w:szCs w:val="24"/>
          <w:lang w:val="es-ES_tradnl"/>
        </w:rPr>
        <w:t xml:space="preserve"> para la Ampliación del </w:t>
      </w:r>
      <w:r w:rsidR="00341EA2">
        <w:rPr>
          <w:rFonts w:ascii="Arial" w:hAnsi="Arial" w:cs="Arial"/>
          <w:sz w:val="24"/>
          <w:szCs w:val="24"/>
          <w:lang w:val="es-ES_tradnl"/>
        </w:rPr>
        <w:t>C</w:t>
      </w:r>
      <w:r w:rsidR="005D72FF">
        <w:rPr>
          <w:rFonts w:ascii="Arial" w:hAnsi="Arial" w:cs="Arial"/>
          <w:sz w:val="24"/>
          <w:szCs w:val="24"/>
          <w:lang w:val="es-ES_tradnl"/>
        </w:rPr>
        <w:t xml:space="preserve">ontrato original en el Puerto de Piriápolis, previo control de su imputación en el objeto del gasto adecuado con disponibilidad suficiente, </w:t>
      </w:r>
      <w:r w:rsidR="005D72FF"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así como el cump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limiento de lo dispuesto en el A</w:t>
      </w:r>
      <w:r w:rsidR="005D72FF"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rt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ículo</w:t>
      </w:r>
      <w:r w:rsidR="005D72FF" w:rsidRPr="0081162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3 de la Ley 18.244</w:t>
      </w:r>
      <w:r w:rsidR="0075532C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. Cométese asimismo </w:t>
      </w:r>
      <w:r w:rsidR="005D72FF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la </w:t>
      </w:r>
      <w:r w:rsidR="005D72FF" w:rsidRPr="0081162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verificación</w:t>
      </w:r>
      <w:r w:rsidR="0075532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de</w:t>
      </w:r>
      <w:r w:rsidR="005D72FF" w:rsidRPr="0081162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que la Resolución definitiva concuerde con las condiciones de la contratación sometid</w:t>
      </w:r>
      <w:r w:rsidR="00EE7CBB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</w:t>
      </w:r>
      <w:r w:rsidR="005D72FF" w:rsidRPr="0081162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s a este Tribunal</w:t>
      </w:r>
      <w:r w:rsidR="0075532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;</w:t>
      </w:r>
      <w:r w:rsidR="00FB560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5D72FF" w:rsidRPr="00FB5606" w:rsidRDefault="00031ED2" w:rsidP="00031ED2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5D72FF" w:rsidRPr="005D72FF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5D72FF" w:rsidRPr="005D72FF">
        <w:rPr>
          <w:rFonts w:ascii="Arial" w:eastAsia="Times New Roman" w:hAnsi="Arial" w:cs="Times New Roman"/>
          <w:sz w:val="24"/>
          <w:szCs w:val="24"/>
          <w:lang w:eastAsia="es-ES"/>
        </w:rPr>
        <w:t xml:space="preserve">Observar </w:t>
      </w:r>
      <w:r w:rsidR="005D72FF">
        <w:rPr>
          <w:rFonts w:ascii="Arial" w:eastAsia="Times New Roman" w:hAnsi="Arial" w:cs="Times New Roman"/>
          <w:sz w:val="24"/>
          <w:szCs w:val="24"/>
          <w:lang w:eastAsia="es-ES"/>
        </w:rPr>
        <w:t xml:space="preserve">la ampliación proyectada de la presente </w:t>
      </w:r>
      <w:r w:rsidR="00341EA2"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 w:rsidR="005D72FF">
        <w:rPr>
          <w:rFonts w:ascii="Arial" w:eastAsia="Times New Roman" w:hAnsi="Arial" w:cs="Times New Roman"/>
          <w:sz w:val="24"/>
          <w:szCs w:val="24"/>
          <w:lang w:eastAsia="es-ES"/>
        </w:rPr>
        <w:t>icitación</w:t>
      </w:r>
      <w:r w:rsidR="002C4AA4">
        <w:rPr>
          <w:rFonts w:ascii="Arial" w:eastAsia="Times New Roman" w:hAnsi="Arial" w:cs="Times New Roman"/>
          <w:sz w:val="24"/>
          <w:szCs w:val="24"/>
          <w:lang w:eastAsia="es-ES"/>
        </w:rPr>
        <w:t>, referida</w:t>
      </w:r>
      <w:r w:rsidR="005D72FF">
        <w:rPr>
          <w:rFonts w:ascii="Arial" w:eastAsia="Times New Roman" w:hAnsi="Arial" w:cs="Times New Roman"/>
          <w:sz w:val="24"/>
          <w:szCs w:val="24"/>
          <w:lang w:eastAsia="es-ES"/>
        </w:rPr>
        <w:t xml:space="preserve"> a nuevas obras en el Puerto de La Paloma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5D72FF">
        <w:rPr>
          <w:rFonts w:ascii="Arial" w:eastAsia="Times New Roman" w:hAnsi="Arial" w:cs="Times New Roman"/>
          <w:sz w:val="24"/>
          <w:szCs w:val="24"/>
          <w:lang w:eastAsia="es-ES"/>
        </w:rPr>
        <w:t xml:space="preserve"> en virtud de lo dispuesto en </w:t>
      </w:r>
      <w:r w:rsidR="004D6530">
        <w:rPr>
          <w:rFonts w:ascii="Arial" w:eastAsia="Times New Roman" w:hAnsi="Arial" w:cs="Times New Roman"/>
          <w:sz w:val="24"/>
          <w:szCs w:val="24"/>
          <w:lang w:eastAsia="es-ES"/>
        </w:rPr>
        <w:t>el</w:t>
      </w:r>
      <w:r w:rsidR="005D72FF">
        <w:rPr>
          <w:rFonts w:ascii="Arial" w:eastAsia="Times New Roman" w:hAnsi="Arial" w:cs="Times New Roman"/>
          <w:sz w:val="24"/>
          <w:szCs w:val="24"/>
          <w:lang w:eastAsia="es-ES"/>
        </w:rPr>
        <w:t xml:space="preserve"> Considerando 3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)</w:t>
      </w:r>
      <w:r w:rsidR="004D6530">
        <w:rPr>
          <w:rFonts w:ascii="Arial" w:eastAsia="Times New Roman" w:hAnsi="Arial" w:cs="Times New Roman"/>
          <w:sz w:val="24"/>
          <w:szCs w:val="24"/>
          <w:lang w:eastAsia="es-ES"/>
        </w:rPr>
        <w:t xml:space="preserve"> de la presente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Resolución</w:t>
      </w:r>
      <w:r w:rsidR="005D72FF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031ED2" w:rsidRDefault="00031ED2" w:rsidP="00031ED2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3)</w:t>
      </w:r>
      <w:r w:rsidR="005D72FF" w:rsidRPr="005D72FF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5D72FF" w:rsidRPr="005D72FF">
        <w:rPr>
          <w:rFonts w:ascii="Arial" w:eastAsia="Times New Roman" w:hAnsi="Arial" w:cs="Times New Roman"/>
          <w:sz w:val="24"/>
          <w:szCs w:val="24"/>
          <w:lang w:eastAsia="es-ES"/>
        </w:rPr>
        <w:t>Comunicar a la C</w:t>
      </w:r>
      <w:r w:rsidR="004D6530">
        <w:rPr>
          <w:rFonts w:ascii="Arial" w:eastAsia="Times New Roman" w:hAnsi="Arial" w:cs="Times New Roman"/>
          <w:sz w:val="24"/>
          <w:szCs w:val="24"/>
          <w:lang w:eastAsia="es-ES"/>
        </w:rPr>
        <w:t>ontado</w:t>
      </w:r>
      <w:r w:rsidR="005D72FF" w:rsidRPr="005D72FF">
        <w:rPr>
          <w:rFonts w:ascii="Arial" w:eastAsia="Times New Roman" w:hAnsi="Arial" w:cs="Times New Roman"/>
          <w:sz w:val="24"/>
          <w:szCs w:val="24"/>
          <w:lang w:eastAsia="es-ES"/>
        </w:rPr>
        <w:t>ra Auditora;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y</w:t>
      </w:r>
    </w:p>
    <w:p w:rsidR="005D72FF" w:rsidRDefault="005D72FF" w:rsidP="00031ED2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4</w:t>
      </w:r>
      <w:r w:rsidR="00031ED2">
        <w:rPr>
          <w:rFonts w:ascii="Arial" w:eastAsia="Times New Roman" w:hAnsi="Arial" w:cs="Times New Roman"/>
          <w:b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031ED2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DD152F">
        <w:rPr>
          <w:rFonts w:ascii="Arial" w:eastAsia="Times New Roman" w:hAnsi="Arial" w:cs="Times New Roman"/>
          <w:sz w:val="24"/>
          <w:szCs w:val="24"/>
          <w:lang w:eastAsia="es-ES"/>
        </w:rPr>
        <w:t>Devolver las actuaciones.</w:t>
      </w:r>
    </w:p>
    <w:p w:rsidR="00DD152F" w:rsidRDefault="00DD152F" w:rsidP="00031ED2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DD152F" w:rsidRPr="005D72FF" w:rsidRDefault="00DD152F" w:rsidP="00031ED2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>lc</w:t>
      </w:r>
      <w:proofErr w:type="spellEnd"/>
      <w:proofErr w:type="gramEnd"/>
    </w:p>
    <w:p w:rsidR="005D72FF" w:rsidRPr="005D72FF" w:rsidRDefault="005D72FF" w:rsidP="005D72FF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sectPr w:rsidR="005D72FF" w:rsidRPr="005D72FF" w:rsidSect="00745140">
      <w:footerReference w:type="default" r:id="rId8"/>
      <w:pgSz w:w="11906" w:h="16838" w:code="9"/>
      <w:pgMar w:top="3005" w:right="1701" w:bottom="1247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EB" w:rsidRDefault="00EE49EB" w:rsidP="00FB15E8">
      <w:pPr>
        <w:spacing w:after="0" w:line="240" w:lineRule="auto"/>
      </w:pPr>
      <w:r>
        <w:separator/>
      </w:r>
    </w:p>
  </w:endnote>
  <w:endnote w:type="continuationSeparator" w:id="0">
    <w:p w:rsidR="00EE49EB" w:rsidRDefault="00EE49EB" w:rsidP="00FB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068125"/>
      <w:docPartObj>
        <w:docPartGallery w:val="Page Numbers (Bottom of Page)"/>
        <w:docPartUnique/>
      </w:docPartObj>
    </w:sdtPr>
    <w:sdtContent>
      <w:p w:rsidR="00EE49EB" w:rsidRDefault="00EE49E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140">
          <w:rPr>
            <w:noProof/>
          </w:rPr>
          <w:t>1</w:t>
        </w:r>
        <w:r>
          <w:fldChar w:fldCharType="end"/>
        </w:r>
      </w:p>
    </w:sdtContent>
  </w:sdt>
  <w:p w:rsidR="00EE49EB" w:rsidRDefault="00EE49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EB" w:rsidRDefault="00EE49EB" w:rsidP="00FB15E8">
      <w:pPr>
        <w:spacing w:after="0" w:line="240" w:lineRule="auto"/>
      </w:pPr>
      <w:r>
        <w:separator/>
      </w:r>
    </w:p>
  </w:footnote>
  <w:footnote w:type="continuationSeparator" w:id="0">
    <w:p w:rsidR="00EE49EB" w:rsidRDefault="00EE49EB" w:rsidP="00FB1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28"/>
    <w:rsid w:val="00031ED2"/>
    <w:rsid w:val="00033CFA"/>
    <w:rsid w:val="00050540"/>
    <w:rsid w:val="00052CF9"/>
    <w:rsid w:val="00087E4A"/>
    <w:rsid w:val="00112099"/>
    <w:rsid w:val="00117011"/>
    <w:rsid w:val="0014455B"/>
    <w:rsid w:val="001D67A5"/>
    <w:rsid w:val="00225C9C"/>
    <w:rsid w:val="00273014"/>
    <w:rsid w:val="002C4AA4"/>
    <w:rsid w:val="002F1D2B"/>
    <w:rsid w:val="002F58BF"/>
    <w:rsid w:val="002F596C"/>
    <w:rsid w:val="00341EA2"/>
    <w:rsid w:val="00347A92"/>
    <w:rsid w:val="0040199C"/>
    <w:rsid w:val="0043068E"/>
    <w:rsid w:val="004D089A"/>
    <w:rsid w:val="004D6530"/>
    <w:rsid w:val="004F2345"/>
    <w:rsid w:val="00523D91"/>
    <w:rsid w:val="00524E7B"/>
    <w:rsid w:val="00577E9E"/>
    <w:rsid w:val="005B0CCC"/>
    <w:rsid w:val="005D72FF"/>
    <w:rsid w:val="00745140"/>
    <w:rsid w:val="00753554"/>
    <w:rsid w:val="0075532C"/>
    <w:rsid w:val="00811628"/>
    <w:rsid w:val="0085618A"/>
    <w:rsid w:val="0086413F"/>
    <w:rsid w:val="00877326"/>
    <w:rsid w:val="008C1B5A"/>
    <w:rsid w:val="008D697D"/>
    <w:rsid w:val="008F646B"/>
    <w:rsid w:val="00944D1B"/>
    <w:rsid w:val="00A11B49"/>
    <w:rsid w:val="00A82D7D"/>
    <w:rsid w:val="00AC4EDC"/>
    <w:rsid w:val="00B377E3"/>
    <w:rsid w:val="00B767BC"/>
    <w:rsid w:val="00B862FA"/>
    <w:rsid w:val="00BC1733"/>
    <w:rsid w:val="00C26ECB"/>
    <w:rsid w:val="00CF5DE6"/>
    <w:rsid w:val="00D072BF"/>
    <w:rsid w:val="00D16122"/>
    <w:rsid w:val="00DD152F"/>
    <w:rsid w:val="00E312FA"/>
    <w:rsid w:val="00E410EA"/>
    <w:rsid w:val="00E71EE3"/>
    <w:rsid w:val="00E8247A"/>
    <w:rsid w:val="00EB34C8"/>
    <w:rsid w:val="00EE49EB"/>
    <w:rsid w:val="00EE7CBB"/>
    <w:rsid w:val="00EF666E"/>
    <w:rsid w:val="00F00BF2"/>
    <w:rsid w:val="00F55C17"/>
    <w:rsid w:val="00FB15E8"/>
    <w:rsid w:val="00FB5606"/>
    <w:rsid w:val="00FC5039"/>
    <w:rsid w:val="00FE5A3E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1162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1162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B1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5E8"/>
  </w:style>
  <w:style w:type="paragraph" w:styleId="Piedepgina">
    <w:name w:val="footer"/>
    <w:basedOn w:val="Normal"/>
    <w:link w:val="PiedepginaCar"/>
    <w:uiPriority w:val="99"/>
    <w:unhideWhenUsed/>
    <w:rsid w:val="00FB1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5E8"/>
  </w:style>
  <w:style w:type="paragraph" w:styleId="Textodeglobo">
    <w:name w:val="Balloon Text"/>
    <w:basedOn w:val="Normal"/>
    <w:link w:val="TextodegloboCar"/>
    <w:uiPriority w:val="99"/>
    <w:semiHidden/>
    <w:unhideWhenUsed/>
    <w:rsid w:val="0094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1162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1162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B1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5E8"/>
  </w:style>
  <w:style w:type="paragraph" w:styleId="Piedepgina">
    <w:name w:val="footer"/>
    <w:basedOn w:val="Normal"/>
    <w:link w:val="PiedepginaCar"/>
    <w:uiPriority w:val="99"/>
    <w:unhideWhenUsed/>
    <w:rsid w:val="00FB1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5E8"/>
  </w:style>
  <w:style w:type="paragraph" w:styleId="Textodeglobo">
    <w:name w:val="Balloon Text"/>
    <w:basedOn w:val="Normal"/>
    <w:link w:val="TextodegloboCar"/>
    <w:uiPriority w:val="99"/>
    <w:semiHidden/>
    <w:unhideWhenUsed/>
    <w:rsid w:val="0094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1161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 SCLAVI</dc:creator>
  <cp:lastModifiedBy>Tribunal1</cp:lastModifiedBy>
  <cp:revision>15</cp:revision>
  <cp:lastPrinted>2017-02-24T18:11:00Z</cp:lastPrinted>
  <dcterms:created xsi:type="dcterms:W3CDTF">2017-02-25T16:09:00Z</dcterms:created>
  <dcterms:modified xsi:type="dcterms:W3CDTF">2017-02-24T18:11:00Z</dcterms:modified>
</cp:coreProperties>
</file>