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96" w:rsidRPr="00786EEB" w:rsidRDefault="00A36D96" w:rsidP="00A36D96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61</w:t>
      </w:r>
      <w:r>
        <w:rPr>
          <w:rFonts w:cs="Arial"/>
          <w:b/>
          <w:sz w:val="28"/>
          <w:szCs w:val="28"/>
          <w:lang w:val="es-ES_tradnl"/>
        </w:rPr>
        <w:t>5</w:t>
      </w:r>
      <w:r>
        <w:rPr>
          <w:rFonts w:cs="Arial"/>
          <w:b/>
          <w:sz w:val="28"/>
          <w:szCs w:val="28"/>
          <w:lang w:val="es-ES_tradnl"/>
        </w:rPr>
        <w:t>/17</w:t>
      </w:r>
    </w:p>
    <w:p w:rsidR="00A36D96" w:rsidRDefault="00A36D96" w:rsidP="00A36D96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36D96" w:rsidRDefault="00A36D96" w:rsidP="00A36D96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A36D96" w:rsidRPr="00762B34" w:rsidRDefault="00A36D96" w:rsidP="00A36D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A36D96" w:rsidRPr="00762B34" w:rsidRDefault="00A36D96" w:rsidP="00A36D9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36D96" w:rsidRPr="00762B34" w:rsidRDefault="00A36D96" w:rsidP="00A36D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A36D96" w:rsidRPr="00762B34" w:rsidRDefault="00A36D96" w:rsidP="00A36D9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36D96" w:rsidRPr="00762B34" w:rsidRDefault="00A36D96" w:rsidP="00A36D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15 DE FEBRERO </w:t>
      </w:r>
      <w:r>
        <w:rPr>
          <w:rFonts w:ascii="Helvetica" w:hAnsi="Helvetica"/>
          <w:b/>
          <w:lang w:val="es-ES_tradnl"/>
        </w:rPr>
        <w:t>DE 2017</w:t>
      </w:r>
    </w:p>
    <w:p w:rsidR="00A36D96" w:rsidRPr="00762B34" w:rsidRDefault="00A36D96" w:rsidP="00A36D9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36D96" w:rsidRDefault="00A36D96" w:rsidP="00A36D96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2014-17-1-0006364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36</w:t>
      </w:r>
      <w:r>
        <w:rPr>
          <w:rFonts w:cs="Arial"/>
          <w:b/>
          <w:lang w:val="en-US"/>
        </w:rPr>
        <w:t>2</w:t>
      </w:r>
      <w:r>
        <w:rPr>
          <w:rFonts w:cs="Arial"/>
          <w:b/>
          <w:lang w:val="en-US"/>
        </w:rPr>
        <w:t>/17</w:t>
      </w:r>
      <w:r w:rsidRPr="00762B34">
        <w:rPr>
          <w:rFonts w:cs="Arial"/>
          <w:b/>
          <w:lang w:val="en-US"/>
        </w:rPr>
        <w:t>)</w:t>
      </w:r>
    </w:p>
    <w:p w:rsidR="00A36D96" w:rsidRPr="00762B34" w:rsidRDefault="00A36D96" w:rsidP="00A36D96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</w:p>
    <w:p w:rsidR="00A36D96" w:rsidRDefault="00A36D96" w:rsidP="00A36D96">
      <w:pPr>
        <w:spacing w:line="360" w:lineRule="auto"/>
        <w:jc w:val="both"/>
        <w:rPr>
          <w:lang w:val="es-UY"/>
        </w:rPr>
      </w:pPr>
    </w:p>
    <w:p w:rsidR="00A36D96" w:rsidRDefault="00A36D96" w:rsidP="00A36D96">
      <w:pPr>
        <w:spacing w:line="360" w:lineRule="auto"/>
        <w:jc w:val="both"/>
        <w:rPr>
          <w:lang w:val="es-UY"/>
        </w:rPr>
      </w:pPr>
      <w:r>
        <w:rPr>
          <w:b/>
          <w:lang w:val="es-UY"/>
        </w:rPr>
        <w:t xml:space="preserve"> </w:t>
      </w:r>
      <w:r>
        <w:rPr>
          <w:b/>
          <w:lang w:val="es-UY"/>
        </w:rPr>
        <w:tab/>
        <w:t>VISTO</w:t>
      </w:r>
      <w:r>
        <w:rPr>
          <w:b/>
          <w:bCs/>
          <w:lang w:val="es-UY"/>
        </w:rPr>
        <w:t>:</w:t>
      </w:r>
      <w:r>
        <w:rPr>
          <w:lang w:val="es-UY"/>
        </w:rPr>
        <w:t xml:space="preserve"> las actuaciones remitidas por el </w:t>
      </w:r>
      <w:r>
        <w:t xml:space="preserve">Ministerio de Desarrollo Social (MIDES), relacionadas con </w:t>
      </w:r>
      <w:r>
        <w:rPr>
          <w:bCs/>
          <w:lang w:val="es-ES_tradnl"/>
        </w:rPr>
        <w:t xml:space="preserve">la contratación directa con la Asociación Civil “Otras Manos” con el objeto de que la misma gestione un Centro Nocturno Nivel I, para hombres mayores de 18 años, sito en calle  </w:t>
      </w:r>
      <w:proofErr w:type="spellStart"/>
      <w:r>
        <w:rPr>
          <w:bCs/>
          <w:lang w:val="es-ES_tradnl"/>
        </w:rPr>
        <w:t>Rondeau</w:t>
      </w:r>
      <w:proofErr w:type="spellEnd"/>
      <w:r>
        <w:rPr>
          <w:bCs/>
          <w:lang w:val="es-ES_tradnl"/>
        </w:rPr>
        <w:t xml:space="preserve"> Nº 2212 de la ciudad de Montevideo, en el marco del Departamento de Coordinación del Sistema de atención.;</w:t>
      </w:r>
      <w:r>
        <w:rPr>
          <w:lang w:val="es-UY"/>
        </w:rPr>
        <w:t xml:space="preserve"> </w:t>
      </w:r>
    </w:p>
    <w:p w:rsidR="00A36D96" w:rsidRDefault="00A36D96" w:rsidP="00A36D96">
      <w:pPr>
        <w:tabs>
          <w:tab w:val="left" w:pos="851"/>
        </w:tabs>
        <w:spacing w:line="360" w:lineRule="auto"/>
        <w:jc w:val="both"/>
        <w:rPr>
          <w:lang w:val="es-ES_tradnl"/>
        </w:rPr>
      </w:pPr>
      <w:r>
        <w:rPr>
          <w:b/>
          <w:lang w:val="es-UY"/>
        </w:rPr>
        <w:tab/>
        <w:t>RESULTANDO</w:t>
      </w:r>
      <w:r>
        <w:rPr>
          <w:b/>
          <w:bCs/>
          <w:lang w:val="es-UY"/>
        </w:rPr>
        <w:t>:</w:t>
      </w:r>
      <w:r>
        <w:rPr>
          <w:lang w:val="es-UY"/>
        </w:rPr>
        <w:t xml:space="preserve"> </w:t>
      </w:r>
      <w:r>
        <w:rPr>
          <w:b/>
          <w:bCs/>
          <w:lang w:val="es-UY"/>
        </w:rPr>
        <w:t>1)</w:t>
      </w:r>
      <w:r>
        <w:rPr>
          <w:lang w:val="es-ES_tradnl"/>
        </w:rPr>
        <w:t xml:space="preserve"> que por</w:t>
      </w:r>
      <w:r>
        <w:rPr>
          <w:bCs/>
          <w:lang w:val="es-ES_tradnl"/>
        </w:rPr>
        <w:t xml:space="preserve"> Resolución Nº 1844/016 adoptada por la Directora General del Ministerio de Desarrollo Social con fecha 30.12.2016, se autorizó –previa intervención del Tribunal de Cuentas- la contratación directa de la Asociación Civil “Otras Manos” para la  gestión de un centro nocturno Nivel I, sito en calle </w:t>
      </w:r>
      <w:proofErr w:type="spellStart"/>
      <w:r>
        <w:rPr>
          <w:bCs/>
          <w:lang w:val="es-ES_tradnl"/>
        </w:rPr>
        <w:t>Rondeau</w:t>
      </w:r>
      <w:proofErr w:type="spellEnd"/>
      <w:r>
        <w:rPr>
          <w:bCs/>
          <w:lang w:val="es-ES_tradnl"/>
        </w:rPr>
        <w:t xml:space="preserve"> Nº 2212 de la ciudad de Montevideo, por un monto total de hasta $ 2.362.275; aprobándose asimismo el texto del Convenio adjunto, siendo el plazo de vigencia desde el 1.1.2017 hasta el  </w:t>
      </w:r>
      <w:r>
        <w:rPr>
          <w:lang w:val="es-ES_tradnl"/>
        </w:rPr>
        <w:t>30.4.2017, o hasta que finalice el proceso licitatorio o la contratación directa por excepción, en su caso;</w:t>
      </w:r>
    </w:p>
    <w:p w:rsidR="00A36D96" w:rsidRDefault="00A36D96" w:rsidP="00A36D96">
      <w:pPr>
        <w:tabs>
          <w:tab w:val="left" w:pos="2694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 xml:space="preserve"> </w:t>
      </w:r>
      <w:r w:rsidRPr="00CB73F3">
        <w:rPr>
          <w:b/>
          <w:lang w:val="es-ES_tradnl"/>
        </w:rPr>
        <w:t>2)</w:t>
      </w:r>
      <w:r>
        <w:rPr>
          <w:lang w:val="es-ES_tradnl"/>
        </w:rPr>
        <w:t xml:space="preserve"> que se adjuntan Constancias de afectación y Compromiso Nº 001191 de fecha 30.12.2016, Inciso 15 MIDES; UE 002 Dirección de Desarrollo Social; financiamiento 11 rentas generales; por un total nominal de $ 1; y de fecha 10.1.2017 por un total nominal de $ 1, respectivamente;</w:t>
      </w:r>
    </w:p>
    <w:p w:rsidR="00A36D96" w:rsidRPr="00F23B32" w:rsidRDefault="00A36D96" w:rsidP="00A36D96">
      <w:pPr>
        <w:tabs>
          <w:tab w:val="left" w:pos="2694"/>
        </w:tabs>
        <w:spacing w:line="360" w:lineRule="auto"/>
        <w:jc w:val="both"/>
        <w:rPr>
          <w:lang w:val="es-ES_tradnl"/>
        </w:rPr>
      </w:pPr>
      <w:r>
        <w:rPr>
          <w:lang w:val="es-ES_tradnl"/>
        </w:rPr>
        <w:lastRenderedPageBreak/>
        <w:tab/>
      </w:r>
      <w:r w:rsidRPr="00CB73F3">
        <w:rPr>
          <w:b/>
          <w:lang w:val="es-ES_tradnl"/>
        </w:rPr>
        <w:t>3)</w:t>
      </w:r>
      <w:r>
        <w:rPr>
          <w:lang w:val="es-ES_tradnl"/>
        </w:rPr>
        <w:t xml:space="preserve"> que del Convenio suscrito entre el MIDES y </w:t>
      </w:r>
      <w:r>
        <w:rPr>
          <w:bCs/>
          <w:lang w:val="es-ES_tradnl"/>
        </w:rPr>
        <w:t>la Asociación Civil Otras Manos con fecha 30.12.2016 surge en síntesis que:</w:t>
      </w:r>
    </w:p>
    <w:p w:rsidR="00A36D96" w:rsidRDefault="00A36D96" w:rsidP="00A36D96">
      <w:pPr>
        <w:tabs>
          <w:tab w:val="left" w:pos="851"/>
        </w:tabs>
        <w:spacing w:line="360" w:lineRule="auto"/>
        <w:jc w:val="both"/>
        <w:rPr>
          <w:bCs/>
          <w:lang w:val="es-ES_tradnl"/>
        </w:rPr>
      </w:pPr>
      <w:r>
        <w:rPr>
          <w:b/>
          <w:lang w:val="es-ES_tradnl"/>
        </w:rPr>
        <w:t>3</w:t>
      </w:r>
      <w:r w:rsidRPr="00B92427">
        <w:rPr>
          <w:b/>
          <w:lang w:val="es-ES_tradnl"/>
        </w:rPr>
        <w:t>.1)</w:t>
      </w:r>
      <w:r>
        <w:rPr>
          <w:lang w:val="es-ES_tradnl"/>
        </w:rPr>
        <w:t xml:space="preserve"> el objeto del mismo consiste en gestionar por parte de la Asociación, un </w:t>
      </w:r>
      <w:r>
        <w:rPr>
          <w:bCs/>
          <w:lang w:val="es-ES_tradnl"/>
        </w:rPr>
        <w:t xml:space="preserve">Centro Nocturno Nivel I, sito en  calle </w:t>
      </w:r>
      <w:proofErr w:type="spellStart"/>
      <w:r>
        <w:rPr>
          <w:bCs/>
          <w:lang w:val="es-ES_tradnl"/>
        </w:rPr>
        <w:t>Rondeau</w:t>
      </w:r>
      <w:proofErr w:type="spellEnd"/>
      <w:r>
        <w:rPr>
          <w:bCs/>
          <w:lang w:val="es-ES_tradnl"/>
        </w:rPr>
        <w:t xml:space="preserve"> Nº 2212, para hombres mayores de 18 años, con un cupo de 30 plazas, en el marco del Departamento de Coordinación del Sistema de Atención;</w:t>
      </w:r>
    </w:p>
    <w:p w:rsidR="00A36D96" w:rsidRDefault="00A36D96" w:rsidP="00A36D96">
      <w:pPr>
        <w:tabs>
          <w:tab w:val="left" w:pos="851"/>
        </w:tabs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>3</w:t>
      </w:r>
      <w:r w:rsidRPr="00B92427">
        <w:rPr>
          <w:b/>
          <w:lang w:val="es-ES_tradnl"/>
        </w:rPr>
        <w:t>.2)</w:t>
      </w:r>
      <w:r>
        <w:rPr>
          <w:lang w:val="es-ES_tradnl"/>
        </w:rPr>
        <w:t xml:space="preserve"> el MIDES se compromete a transferir a la Asociación la suma total de hasta $ 2.362.275, monto que se hará efectivo en una única partida, pagadera dentro de los 30 días siguientes a la suscripción del Convenio;</w:t>
      </w:r>
    </w:p>
    <w:p w:rsidR="00A36D96" w:rsidRDefault="00A36D96" w:rsidP="00A36D96">
      <w:pPr>
        <w:tabs>
          <w:tab w:val="left" w:pos="3969"/>
        </w:tabs>
        <w:spacing w:line="360" w:lineRule="auto"/>
        <w:jc w:val="both"/>
        <w:rPr>
          <w:lang w:val="es-ES_tradnl"/>
        </w:rPr>
      </w:pPr>
      <w:r w:rsidRPr="00C8386C">
        <w:rPr>
          <w:b/>
          <w:lang w:val="es-ES_tradnl"/>
        </w:rPr>
        <w:t>3</w:t>
      </w:r>
      <w:r w:rsidRPr="00A10141">
        <w:rPr>
          <w:b/>
          <w:lang w:val="es-ES_tradnl"/>
        </w:rPr>
        <w:t>.3)</w:t>
      </w:r>
      <w:r>
        <w:rPr>
          <w:lang w:val="es-ES_tradnl"/>
        </w:rPr>
        <w:t xml:space="preserve"> la Asociación se compromete a gestionar un centro relacionado en la Cláusula del objeto del presente convenio, los 365 días del año, de lunes a domingos en el horario comprendido entre las 18 horas y las 9 horas;</w:t>
      </w:r>
    </w:p>
    <w:p w:rsidR="00A36D96" w:rsidRDefault="00A36D96" w:rsidP="00A36D96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>3</w:t>
      </w:r>
      <w:r w:rsidRPr="00A10141">
        <w:rPr>
          <w:b/>
          <w:lang w:val="es-ES_tradnl"/>
        </w:rPr>
        <w:t>.4)</w:t>
      </w:r>
      <w:r>
        <w:rPr>
          <w:b/>
          <w:lang w:val="es-ES_tradnl"/>
        </w:rPr>
        <w:t xml:space="preserve"> </w:t>
      </w:r>
      <w:r>
        <w:rPr>
          <w:lang w:val="es-ES_tradnl"/>
        </w:rPr>
        <w:t>la vigencia del presente convenio será desde el 1.1.2017 hasta el 30.4.2017, o hasta que culmine el llamado a Licitación Pública que se encuentra en curso o la Contratación Directa por excepción, según el caso;</w:t>
      </w:r>
    </w:p>
    <w:p w:rsidR="00A36D96" w:rsidRPr="009727EB" w:rsidRDefault="00A36D96" w:rsidP="00A36D96">
      <w:pPr>
        <w:spacing w:line="360" w:lineRule="auto"/>
        <w:ind w:firstLine="851"/>
        <w:jc w:val="both"/>
        <w:rPr>
          <w:rFonts w:cs="Arial"/>
          <w:b/>
          <w:bCs/>
          <w:color w:val="000000"/>
          <w:szCs w:val="20"/>
          <w:lang w:val="es-UY"/>
        </w:rPr>
      </w:pPr>
      <w:r w:rsidRPr="009727EB">
        <w:rPr>
          <w:rFonts w:cs="Arial"/>
          <w:b/>
          <w:bCs/>
          <w:color w:val="000000"/>
          <w:szCs w:val="20"/>
          <w:lang w:val="es-MX"/>
        </w:rPr>
        <w:t xml:space="preserve">CONSIDERANDO: 1) </w:t>
      </w:r>
      <w:r w:rsidRPr="009727EB">
        <w:rPr>
          <w:rFonts w:cs="Arial"/>
          <w:color w:val="000000"/>
          <w:szCs w:val="20"/>
          <w:lang w:val="es-MX"/>
        </w:rPr>
        <w:t xml:space="preserve">que </w:t>
      </w:r>
      <w:r w:rsidRPr="009727EB">
        <w:rPr>
          <w:rFonts w:cs="Arial"/>
          <w:bCs/>
          <w:color w:val="000000"/>
          <w:szCs w:val="20"/>
          <w:lang w:val="es-UY"/>
        </w:rPr>
        <w:t xml:space="preserve">el monto a que asciende las contratación directa supera el establecido en el Artículo 33 del TOCAF; </w:t>
      </w:r>
    </w:p>
    <w:p w:rsidR="00A36D96" w:rsidRDefault="00A36D96" w:rsidP="00A36D96">
      <w:pPr>
        <w:spacing w:line="360" w:lineRule="auto"/>
        <w:ind w:firstLine="2977"/>
        <w:jc w:val="both"/>
        <w:rPr>
          <w:rFonts w:cs="Arial"/>
          <w:bCs/>
          <w:color w:val="000000"/>
          <w:szCs w:val="20"/>
          <w:lang w:val="es-UY"/>
        </w:rPr>
      </w:pPr>
      <w:r>
        <w:rPr>
          <w:rFonts w:cs="Arial"/>
          <w:b/>
          <w:bCs/>
          <w:color w:val="000000"/>
          <w:szCs w:val="20"/>
          <w:lang w:val="es-UY"/>
        </w:rPr>
        <w:t xml:space="preserve"> </w:t>
      </w:r>
      <w:r w:rsidRPr="009727EB">
        <w:rPr>
          <w:rFonts w:cs="Arial"/>
          <w:b/>
          <w:bCs/>
          <w:color w:val="000000"/>
          <w:szCs w:val="20"/>
          <w:lang w:val="es-UY"/>
        </w:rPr>
        <w:t xml:space="preserve">2) </w:t>
      </w:r>
      <w:r w:rsidRPr="009727EB">
        <w:rPr>
          <w:rFonts w:cs="Arial"/>
          <w:bCs/>
          <w:color w:val="000000"/>
          <w:szCs w:val="20"/>
          <w:lang w:val="es-UY"/>
        </w:rPr>
        <w:t>que asimismo no surgen de las actuaciones  fundamentos que habiliten la contratación directa remitida;</w:t>
      </w:r>
    </w:p>
    <w:p w:rsidR="00A36D96" w:rsidRPr="001A3B1D" w:rsidRDefault="00A36D96" w:rsidP="00A36D96">
      <w:pPr>
        <w:spacing w:line="360" w:lineRule="auto"/>
        <w:ind w:firstLine="2977"/>
        <w:jc w:val="both"/>
        <w:rPr>
          <w:rFonts w:cs="Arial"/>
          <w:bCs/>
          <w:color w:val="000000"/>
          <w:szCs w:val="20"/>
          <w:lang w:val="es-UY"/>
        </w:rPr>
      </w:pPr>
      <w:r>
        <w:rPr>
          <w:rFonts w:cs="Arial"/>
          <w:b/>
          <w:bCs/>
          <w:color w:val="000000"/>
          <w:szCs w:val="20"/>
          <w:lang w:val="es-UY"/>
        </w:rPr>
        <w:t xml:space="preserve"> </w:t>
      </w:r>
      <w:r w:rsidRPr="001A3B1D">
        <w:rPr>
          <w:rFonts w:cs="Arial"/>
          <w:b/>
          <w:bCs/>
          <w:color w:val="000000"/>
          <w:szCs w:val="20"/>
          <w:lang w:val="es-UY"/>
        </w:rPr>
        <w:t>3)</w:t>
      </w:r>
      <w:r>
        <w:rPr>
          <w:rFonts w:cs="Arial"/>
          <w:b/>
          <w:bCs/>
          <w:color w:val="000000"/>
          <w:szCs w:val="20"/>
          <w:lang w:val="es-UY"/>
        </w:rPr>
        <w:t xml:space="preserve"> </w:t>
      </w:r>
      <w:r>
        <w:rPr>
          <w:rFonts w:cs="Arial"/>
          <w:bCs/>
          <w:color w:val="000000"/>
          <w:szCs w:val="20"/>
          <w:lang w:val="es-UY"/>
        </w:rPr>
        <w:t xml:space="preserve">que el pago del servicio en una sola partida a percibirse previamente al vencimiento del vínculo, contraviene además lo dispuesto por el Artículo 20 Numeral 2º del </w:t>
      </w:r>
      <w:proofErr w:type="gramStart"/>
      <w:r>
        <w:rPr>
          <w:rFonts w:cs="Arial"/>
          <w:bCs/>
          <w:color w:val="000000"/>
          <w:szCs w:val="20"/>
          <w:lang w:val="es-UY"/>
        </w:rPr>
        <w:t>TOCAF ;</w:t>
      </w:r>
      <w:proofErr w:type="gramEnd"/>
    </w:p>
    <w:p w:rsidR="00A36D96" w:rsidRDefault="00A36D96" w:rsidP="00A36D96">
      <w:pPr>
        <w:spacing w:line="360" w:lineRule="auto"/>
        <w:ind w:firstLine="708"/>
        <w:jc w:val="both"/>
        <w:rPr>
          <w:lang w:val="es-UY"/>
        </w:rPr>
      </w:pPr>
      <w:r>
        <w:rPr>
          <w:b/>
          <w:lang w:val="es-ES_tradnl"/>
        </w:rPr>
        <w:t>AT</w:t>
      </w:r>
      <w:r>
        <w:rPr>
          <w:b/>
          <w:lang w:val="es-UY"/>
        </w:rPr>
        <w:t>ENTO</w:t>
      </w:r>
      <w:r w:rsidRPr="00A36D96">
        <w:rPr>
          <w:b/>
          <w:lang w:val="es-UY"/>
        </w:rPr>
        <w:t>:</w:t>
      </w:r>
      <w:r>
        <w:rPr>
          <w:lang w:val="es-UY"/>
        </w:rPr>
        <w:t xml:space="preserve"> </w:t>
      </w:r>
      <w:r>
        <w:t xml:space="preserve">a lo expresado y a lo previsto por el </w:t>
      </w:r>
      <w:r>
        <w:t>Artículo</w:t>
      </w:r>
      <w:r>
        <w:t xml:space="preserve"> 211 </w:t>
      </w:r>
      <w:r>
        <w:t>L</w:t>
      </w:r>
      <w:r>
        <w:t>iteral B) de la Constitución de la República</w:t>
      </w:r>
      <w:r>
        <w:rPr>
          <w:lang w:val="es-UY"/>
        </w:rPr>
        <w:t>;</w:t>
      </w:r>
    </w:p>
    <w:p w:rsidR="00A36D96" w:rsidRDefault="00A36D96" w:rsidP="00A36D96">
      <w:pPr>
        <w:keepNext/>
        <w:spacing w:line="360" w:lineRule="auto"/>
        <w:jc w:val="center"/>
        <w:outlineLvl w:val="0"/>
        <w:rPr>
          <w:b/>
          <w:lang w:val="es-UY"/>
        </w:rPr>
      </w:pPr>
      <w:r>
        <w:rPr>
          <w:b/>
          <w:lang w:val="es-UY"/>
        </w:rPr>
        <w:t>EL TRIBUNAL ACUERDA</w:t>
      </w:r>
    </w:p>
    <w:p w:rsidR="00A36D96" w:rsidRPr="00A76A36" w:rsidRDefault="00A36D96" w:rsidP="00A36D96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lang w:val="es-UY"/>
        </w:rPr>
        <w:t>Observar el gasto por lo relacionado en los Considerandos de la presente Resolución;</w:t>
      </w:r>
    </w:p>
    <w:p w:rsidR="00A36D96" w:rsidRPr="00D5038F" w:rsidRDefault="00A36D96" w:rsidP="00A36D96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lang w:val="es-UY"/>
        </w:rPr>
        <w:t xml:space="preserve">Cometer a la Contadora Auditora el control de que el servicio no haya comenzado a ejecutarse, en cuyo caso deberá entenderse que la presente </w:t>
      </w:r>
      <w:r>
        <w:rPr>
          <w:lang w:val="es-UY"/>
        </w:rPr>
        <w:lastRenderedPageBreak/>
        <w:t>Resolución incluye además como motivo de observación, la contravención a lo dispuesto por el Artículo 211 Literal B) de la Constitución de la República;</w:t>
      </w:r>
    </w:p>
    <w:p w:rsidR="00A36D96" w:rsidRPr="00A36D96" w:rsidRDefault="00A36D96" w:rsidP="00A36D96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bCs/>
          <w:lang w:val="es-ES_tradnl"/>
        </w:rPr>
        <w:t>Devolver las actuaciones.</w:t>
      </w:r>
      <w:r>
        <w:rPr>
          <w:bCs/>
          <w:lang w:val="es-ES_tradnl"/>
        </w:rPr>
        <w:t>”</w:t>
      </w:r>
    </w:p>
    <w:p w:rsidR="00A36D96" w:rsidRDefault="00A36D96" w:rsidP="00A36D96">
      <w:pPr>
        <w:spacing w:line="360" w:lineRule="auto"/>
        <w:jc w:val="both"/>
        <w:rPr>
          <w:bCs/>
          <w:lang w:val="es-ES_tradnl"/>
        </w:rPr>
      </w:pPr>
    </w:p>
    <w:p w:rsidR="00A36D96" w:rsidRDefault="00A36D96" w:rsidP="00A36D96">
      <w:pPr>
        <w:spacing w:line="360" w:lineRule="auto"/>
        <w:jc w:val="both"/>
        <w:rPr>
          <w:bCs/>
          <w:lang w:val="es-ES_tradnl"/>
        </w:rPr>
      </w:pPr>
    </w:p>
    <w:p w:rsidR="00A36D96" w:rsidRPr="003E32BC" w:rsidRDefault="00A36D96" w:rsidP="00A36D96">
      <w:pPr>
        <w:spacing w:line="360" w:lineRule="auto"/>
        <w:jc w:val="both"/>
      </w:pPr>
      <w:proofErr w:type="spellStart"/>
      <w:proofErr w:type="gramStart"/>
      <w:r>
        <w:rPr>
          <w:bCs/>
          <w:lang w:val="es-ES_tradnl"/>
        </w:rPr>
        <w:t>aa</w:t>
      </w:r>
      <w:proofErr w:type="spellEnd"/>
      <w:proofErr w:type="gramEnd"/>
    </w:p>
    <w:sectPr w:rsidR="00A36D96" w:rsidRPr="003E32BC" w:rsidSect="00A36D9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0A1A"/>
    <w:multiLevelType w:val="hybridMultilevel"/>
    <w:tmpl w:val="E098D77E"/>
    <w:lvl w:ilvl="0" w:tplc="9EE062BA">
      <w:start w:val="1"/>
      <w:numFmt w:val="decimal"/>
      <w:lvlText w:val="%1)"/>
      <w:lvlJc w:val="left"/>
      <w:pPr>
        <w:ind w:left="1758" w:hanging="1050"/>
      </w:pPr>
      <w:rPr>
        <w:rFonts w:ascii="Arial" w:eastAsia="Times New Roman" w:hAnsi="Arial"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96"/>
    <w:rsid w:val="007C070B"/>
    <w:rsid w:val="00A36D96"/>
    <w:rsid w:val="00D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9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36D96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6D96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9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36D96"/>
    <w:pPr>
      <w:keepNext/>
      <w:outlineLvl w:val="0"/>
    </w:pPr>
    <w:rPr>
      <w:rFonts w:ascii="Bookman Old Style" w:hAnsi="Bookman Old Style"/>
      <w:b/>
      <w:color w:val="0000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6D96"/>
    <w:rPr>
      <w:rFonts w:ascii="Bookman Old Style" w:eastAsia="Times New Roman" w:hAnsi="Bookman Old Style" w:cs="Times New Roman"/>
      <w:b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Acosta</dc:creator>
  <cp:lastModifiedBy>Adrian Acosta</cp:lastModifiedBy>
  <cp:revision>1</cp:revision>
  <dcterms:created xsi:type="dcterms:W3CDTF">2017-02-17T16:45:00Z</dcterms:created>
  <dcterms:modified xsi:type="dcterms:W3CDTF">2017-02-17T16:54:00Z</dcterms:modified>
</cp:coreProperties>
</file>