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A7" w:rsidRPr="00786EEB" w:rsidRDefault="001B47A7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769/17</w:t>
      </w:r>
    </w:p>
    <w:p w:rsidR="001B47A7" w:rsidRDefault="001B47A7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B47A7" w:rsidRPr="00762B34" w:rsidRDefault="001B47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B47A7" w:rsidRPr="00762B34" w:rsidRDefault="001B47A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B47A7" w:rsidRPr="00762B34" w:rsidRDefault="001B47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B47A7" w:rsidRPr="00762B34" w:rsidRDefault="001B47A7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B47A7" w:rsidRPr="00762B34" w:rsidRDefault="001B47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 DE MARZO </w:t>
      </w:r>
      <w:r>
        <w:rPr>
          <w:rFonts w:ascii="Helvetica" w:hAnsi="Helvetica"/>
          <w:b/>
          <w:lang w:val="es-ES_tradnl"/>
        </w:rPr>
        <w:t>DE 2017</w:t>
      </w:r>
    </w:p>
    <w:p w:rsidR="001B47A7" w:rsidRPr="00762B34" w:rsidRDefault="001B47A7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B47A7" w:rsidRPr="001B47A7" w:rsidRDefault="001B47A7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1B47A7">
        <w:rPr>
          <w:rFonts w:cs="Arial"/>
          <w:b/>
          <w:lang w:val="es-AR"/>
        </w:rPr>
        <w:t xml:space="preserve">(E. E. Nº 2017-17-1-0000826, </w:t>
      </w:r>
      <w:proofErr w:type="spellStart"/>
      <w:r w:rsidRPr="001B47A7">
        <w:rPr>
          <w:rFonts w:cs="Arial"/>
          <w:b/>
          <w:lang w:val="es-AR"/>
        </w:rPr>
        <w:t>Ent</w:t>
      </w:r>
      <w:proofErr w:type="spellEnd"/>
      <w:r w:rsidRPr="001B47A7">
        <w:rPr>
          <w:rFonts w:cs="Arial"/>
          <w:b/>
          <w:lang w:val="es-AR"/>
        </w:rPr>
        <w:t>. N° 620/17)</w:t>
      </w:r>
    </w:p>
    <w:p w:rsidR="001B47A7" w:rsidRPr="001B47A7" w:rsidRDefault="001B47A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B47A7" w:rsidRDefault="001B47A7" w:rsidP="001B47A7">
      <w:pPr>
        <w:spacing w:line="360" w:lineRule="auto"/>
        <w:ind w:firstLine="851"/>
        <w:jc w:val="both"/>
        <w:rPr>
          <w:rFonts w:cs="Arial"/>
          <w:b/>
        </w:rPr>
      </w:pPr>
    </w:p>
    <w:p w:rsidR="001B47A7" w:rsidRDefault="001B47A7" w:rsidP="001B47A7">
      <w:pPr>
        <w:spacing w:line="360" w:lineRule="auto"/>
        <w:ind w:firstLine="851"/>
        <w:jc w:val="both"/>
        <w:rPr>
          <w:rFonts w:cs="Arial"/>
        </w:rPr>
      </w:pPr>
      <w:r w:rsidRPr="001B47A7">
        <w:rPr>
          <w:rFonts w:cs="Arial"/>
          <w:b/>
        </w:rPr>
        <w:t>VISTO:</w:t>
      </w:r>
      <w:r w:rsidRPr="001B47A7">
        <w:rPr>
          <w:rFonts w:cs="Arial"/>
        </w:rPr>
        <w:t xml:space="preserve"> los estados f</w:t>
      </w:r>
      <w:r>
        <w:rPr>
          <w:rFonts w:cs="Arial"/>
        </w:rPr>
        <w:t>inancieros correspondientes al E</w:t>
      </w:r>
      <w:r w:rsidRPr="001B47A7">
        <w:rPr>
          <w:rFonts w:cs="Arial"/>
        </w:rPr>
        <w:t>jercicio finalizado el 30 de setiembre de 2016, formulados por el Centro de Estudios Fiscales (C.E.F.)</w:t>
      </w:r>
      <w:r>
        <w:rPr>
          <w:rFonts w:cs="Arial"/>
        </w:rPr>
        <w:t>;</w:t>
      </w:r>
    </w:p>
    <w:p w:rsidR="001B47A7" w:rsidRDefault="001B47A7" w:rsidP="001B47A7">
      <w:pPr>
        <w:spacing w:line="360" w:lineRule="auto"/>
        <w:ind w:firstLine="851"/>
        <w:jc w:val="both"/>
        <w:rPr>
          <w:bCs/>
        </w:rPr>
      </w:pPr>
      <w:r w:rsidRPr="001B47A7">
        <w:rPr>
          <w:b/>
          <w:bCs/>
        </w:rPr>
        <w:t>RESULTANDO: 1)</w:t>
      </w:r>
      <w:r w:rsidRPr="001B47A7">
        <w:rPr>
          <w:bCs/>
        </w:rPr>
        <w:t xml:space="preserve"> que dichos estados fueron remitidos el 31  de enero de 2017  al Tribunal de Cuentas a efectos de su visación;</w:t>
      </w:r>
    </w:p>
    <w:p w:rsidR="001B47A7" w:rsidRDefault="001B47A7" w:rsidP="001B47A7">
      <w:pPr>
        <w:spacing w:line="360" w:lineRule="auto"/>
        <w:ind w:firstLine="2694"/>
        <w:jc w:val="both"/>
        <w:rPr>
          <w:rFonts w:cs="Arial"/>
          <w:bCs/>
        </w:rPr>
      </w:pPr>
      <w:r w:rsidRPr="001B47A7">
        <w:rPr>
          <w:rFonts w:cs="Arial"/>
          <w:b/>
          <w:bCs/>
        </w:rPr>
        <w:t>2)</w:t>
      </w:r>
      <w:r w:rsidRPr="001B47A7">
        <w:rPr>
          <w:rFonts w:cs="Arial"/>
          <w:bCs/>
        </w:rPr>
        <w:t xml:space="preserve"> que los mencionados estados se presentaron acompañados por dictamen de auditoría externa;</w:t>
      </w:r>
    </w:p>
    <w:p w:rsidR="001B47A7" w:rsidRDefault="001B47A7" w:rsidP="001B47A7">
      <w:pPr>
        <w:spacing w:line="360" w:lineRule="auto"/>
        <w:ind w:firstLine="2694"/>
        <w:jc w:val="both"/>
        <w:rPr>
          <w:rFonts w:cs="Arial"/>
          <w:bCs/>
        </w:rPr>
      </w:pPr>
      <w:r w:rsidRPr="001B47A7">
        <w:rPr>
          <w:rFonts w:cs="Arial"/>
          <w:b/>
          <w:bCs/>
        </w:rPr>
        <w:t>3)</w:t>
      </w:r>
      <w:r w:rsidRPr="001B47A7">
        <w:rPr>
          <w:rFonts w:cs="Arial"/>
          <w:bCs/>
        </w:rPr>
        <w:t xml:space="preserve"> que una copia de los mismos fue presentada a la Auditoría Interna de la Nación con fecha 29/12/2016;</w:t>
      </w:r>
    </w:p>
    <w:p w:rsidR="009B543D" w:rsidRDefault="001B47A7" w:rsidP="009B543D">
      <w:pPr>
        <w:spacing w:line="360" w:lineRule="auto"/>
        <w:ind w:firstLine="2694"/>
        <w:jc w:val="both"/>
        <w:rPr>
          <w:rFonts w:cs="Arial"/>
          <w:bCs/>
        </w:rPr>
      </w:pPr>
      <w:r w:rsidRPr="001B47A7">
        <w:rPr>
          <w:rFonts w:cs="Arial"/>
          <w:b/>
          <w:bCs/>
        </w:rPr>
        <w:t>4)</w:t>
      </w:r>
      <w:r w:rsidRPr="001B47A7">
        <w:rPr>
          <w:rFonts w:cs="Arial"/>
          <w:bCs/>
        </w:rPr>
        <w:t xml:space="preserve"> que lo</w:t>
      </w:r>
      <w:r w:rsidR="009B543D">
        <w:rPr>
          <w:rFonts w:cs="Arial"/>
          <w:bCs/>
        </w:rPr>
        <w:t>s fondos percibidos durante el E</w:t>
      </w:r>
      <w:r w:rsidRPr="001B47A7">
        <w:rPr>
          <w:rFonts w:cs="Arial"/>
          <w:bCs/>
        </w:rPr>
        <w:t>jercicio no excedieron el monto máximo de la licitación abreviada;</w:t>
      </w:r>
    </w:p>
    <w:p w:rsidR="009B543D" w:rsidRDefault="001B47A7" w:rsidP="009B543D">
      <w:pPr>
        <w:spacing w:line="360" w:lineRule="auto"/>
        <w:ind w:firstLine="2694"/>
        <w:jc w:val="both"/>
        <w:rPr>
          <w:rFonts w:cs="Arial"/>
          <w:bCs/>
        </w:rPr>
      </w:pPr>
      <w:r w:rsidRPr="001B47A7">
        <w:rPr>
          <w:b/>
          <w:color w:val="000000"/>
        </w:rPr>
        <w:t>5</w:t>
      </w:r>
      <w:r w:rsidRPr="001B47A7">
        <w:rPr>
          <w:b/>
        </w:rPr>
        <w:t>)</w:t>
      </w:r>
      <w:r w:rsidRPr="001B47A7">
        <w:rPr>
          <w:rFonts w:cs="Arial"/>
          <w:bCs/>
        </w:rPr>
        <w:t xml:space="preserve"> que los estados f</w:t>
      </w:r>
      <w:r w:rsidR="009B543D">
        <w:rPr>
          <w:rFonts w:cs="Arial"/>
          <w:bCs/>
        </w:rPr>
        <w:t>inancieros correspondientes al E</w:t>
      </w:r>
      <w:r w:rsidRPr="001B47A7">
        <w:rPr>
          <w:rFonts w:cs="Arial"/>
          <w:bCs/>
        </w:rPr>
        <w:t>jercicio finalizado el 30 de setiembre  de 2015 no fueron  publicados;</w:t>
      </w:r>
    </w:p>
    <w:p w:rsidR="009B543D" w:rsidRDefault="001B47A7" w:rsidP="009B543D">
      <w:pPr>
        <w:spacing w:line="360" w:lineRule="auto"/>
        <w:ind w:firstLine="2694"/>
        <w:jc w:val="both"/>
        <w:rPr>
          <w:rFonts w:cs="Arial"/>
          <w:bCs/>
        </w:rPr>
      </w:pPr>
      <w:r w:rsidRPr="001B47A7">
        <w:rPr>
          <w:rFonts w:cs="Arial"/>
          <w:b/>
          <w:bCs/>
        </w:rPr>
        <w:t>6)</w:t>
      </w:r>
      <w:r w:rsidRPr="001B47A7">
        <w:rPr>
          <w:rFonts w:cs="Arial"/>
          <w:bCs/>
        </w:rPr>
        <w:t xml:space="preserve"> que los mencionados estados han sido firmados por el Contador</w:t>
      </w:r>
      <w:r w:rsidR="009B543D">
        <w:rPr>
          <w:rFonts w:cs="Arial"/>
          <w:bCs/>
        </w:rPr>
        <w:t xml:space="preserve"> de la E</w:t>
      </w:r>
      <w:r w:rsidRPr="001B47A7">
        <w:rPr>
          <w:rFonts w:cs="Arial"/>
          <w:bCs/>
        </w:rPr>
        <w:t>ntidad, no así por el Jerarca Máximo  y  se presentan acompañados de una Nota dirigida al Presidente del Tribunal de Cuentas;</w:t>
      </w:r>
    </w:p>
    <w:p w:rsidR="009B543D" w:rsidRDefault="001B47A7" w:rsidP="009B543D">
      <w:pPr>
        <w:spacing w:line="360" w:lineRule="auto"/>
        <w:ind w:firstLine="2694"/>
        <w:jc w:val="both"/>
        <w:rPr>
          <w:rFonts w:cs="Arial"/>
          <w:bCs/>
        </w:rPr>
      </w:pPr>
      <w:r w:rsidRPr="001B47A7">
        <w:rPr>
          <w:rFonts w:cs="Arial"/>
          <w:b/>
          <w:bCs/>
        </w:rPr>
        <w:t>7)</w:t>
      </w:r>
      <w:r w:rsidRPr="001B47A7">
        <w:rPr>
          <w:rFonts w:cs="Arial"/>
          <w:bCs/>
        </w:rPr>
        <w:t xml:space="preserve"> </w:t>
      </w:r>
      <w:r w:rsidR="009B543D">
        <w:rPr>
          <w:rFonts w:cs="Arial"/>
          <w:bCs/>
        </w:rPr>
        <w:t>que en el A</w:t>
      </w:r>
      <w:r w:rsidRPr="001B47A7">
        <w:rPr>
          <w:rFonts w:cs="Arial"/>
          <w:bCs/>
        </w:rPr>
        <w:t>cta de aprobación de los estados contables no consta l</w:t>
      </w:r>
      <w:r w:rsidR="009B543D">
        <w:rPr>
          <w:rFonts w:cs="Arial"/>
          <w:bCs/>
        </w:rPr>
        <w:t>a aprobación del resultado del E</w:t>
      </w:r>
      <w:r w:rsidRPr="001B47A7">
        <w:rPr>
          <w:rFonts w:cs="Arial"/>
          <w:bCs/>
        </w:rPr>
        <w:t>jercicio y que no se remitió la carta de representación de la administración conjuntamente con los estados financieros;</w:t>
      </w:r>
    </w:p>
    <w:p w:rsidR="001B47A7" w:rsidRPr="001B47A7" w:rsidRDefault="001B47A7" w:rsidP="009B543D">
      <w:pPr>
        <w:spacing w:line="360" w:lineRule="auto"/>
        <w:ind w:firstLine="2694"/>
        <w:jc w:val="both"/>
        <w:rPr>
          <w:rFonts w:cs="Arial"/>
          <w:bCs/>
        </w:rPr>
      </w:pPr>
      <w:r w:rsidRPr="001B47A7">
        <w:rPr>
          <w:rFonts w:cs="Arial"/>
          <w:b/>
          <w:bCs/>
        </w:rPr>
        <w:lastRenderedPageBreak/>
        <w:t>8)</w:t>
      </w:r>
      <w:r w:rsidRPr="001B47A7">
        <w:rPr>
          <w:rFonts w:cs="Arial"/>
          <w:bCs/>
        </w:rPr>
        <w:t xml:space="preserve"> que en esta oportunidad, la </w:t>
      </w:r>
      <w:proofErr w:type="spellStart"/>
      <w:r w:rsidRPr="001B47A7">
        <w:rPr>
          <w:rFonts w:cs="Arial"/>
          <w:bCs/>
        </w:rPr>
        <w:t>visación</w:t>
      </w:r>
      <w:proofErr w:type="spellEnd"/>
      <w:r w:rsidRPr="001B47A7">
        <w:rPr>
          <w:rFonts w:cs="Arial"/>
          <w:bCs/>
        </w:rPr>
        <w:t xml:space="preserve"> no consistió en una auditoría de los estados financieros presentados; su alcance se limitó a la comprobación de la concordancia de los importes consignados en cada rubro de los mencionados esta</w:t>
      </w:r>
      <w:r w:rsidR="003149CC">
        <w:rPr>
          <w:rFonts w:cs="Arial"/>
          <w:bCs/>
        </w:rPr>
        <w:t>dos con los registros contables;</w:t>
      </w:r>
    </w:p>
    <w:p w:rsidR="009B543D" w:rsidRDefault="001B47A7" w:rsidP="009B543D">
      <w:pPr>
        <w:spacing w:line="360" w:lineRule="auto"/>
        <w:ind w:firstLine="851"/>
        <w:jc w:val="both"/>
      </w:pPr>
      <w:r w:rsidRPr="001B47A7">
        <w:rPr>
          <w:b/>
        </w:rPr>
        <w:t>CONSIDERANDO:</w:t>
      </w:r>
      <w:r w:rsidR="009B543D">
        <w:rPr>
          <w:b/>
        </w:rPr>
        <w:t xml:space="preserve"> </w:t>
      </w:r>
      <w:r w:rsidRPr="001B47A7">
        <w:rPr>
          <w:b/>
        </w:rPr>
        <w:t>1)</w:t>
      </w:r>
      <w:r w:rsidRPr="001B47A7">
        <w:t xml:space="preserve"> que como consecuencia de las verificaciones practicadas a los fines señalados, no se constataron diferencias entre los mencionados estados y los registros contables;</w:t>
      </w:r>
    </w:p>
    <w:p w:rsidR="009B543D" w:rsidRDefault="001B47A7" w:rsidP="009B543D">
      <w:pPr>
        <w:spacing w:line="360" w:lineRule="auto"/>
        <w:ind w:firstLine="3119"/>
        <w:jc w:val="both"/>
      </w:pPr>
      <w:r w:rsidRPr="001B47A7">
        <w:rPr>
          <w:b/>
        </w:rPr>
        <w:t>2)</w:t>
      </w:r>
      <w:r w:rsidRPr="001B47A7">
        <w:t xml:space="preserve">  que los estados financieros al 30 de setiembre de 2016 fueron presentados al Tribunal de Cuentas fuera </w:t>
      </w:r>
      <w:r w:rsidR="009B543D">
        <w:t>del plazo establecido en el Literal B) del A</w:t>
      </w:r>
      <w:r w:rsidRPr="001B47A7">
        <w:t>rt</w:t>
      </w:r>
      <w:r w:rsidR="009B543D">
        <w:t>ícul</w:t>
      </w:r>
      <w:r w:rsidR="003149CC">
        <w:t>o 159 del TOCAF (Resultando 1);</w:t>
      </w:r>
    </w:p>
    <w:p w:rsidR="009B543D" w:rsidRDefault="001B47A7" w:rsidP="009B543D">
      <w:pPr>
        <w:spacing w:line="360" w:lineRule="auto"/>
        <w:ind w:firstLine="3119"/>
        <w:jc w:val="both"/>
      </w:pPr>
      <w:r w:rsidRPr="001B47A7">
        <w:rPr>
          <w:b/>
        </w:rPr>
        <w:t>3)</w:t>
      </w:r>
      <w:r w:rsidRPr="001B47A7">
        <w:t xml:space="preserve">  </w:t>
      </w:r>
      <w:r w:rsidR="009B543D">
        <w:t>que se ha dado cumplimiento con</w:t>
      </w:r>
      <w:r w:rsidRPr="001B47A7">
        <w:t xml:space="preserve"> lo estab</w:t>
      </w:r>
      <w:r w:rsidR="009B543D">
        <w:t>lecido en el A</w:t>
      </w:r>
      <w:r w:rsidRPr="001B47A7">
        <w:t>rt</w:t>
      </w:r>
      <w:r w:rsidR="009B543D">
        <w:t>ículo</w:t>
      </w:r>
      <w:r w:rsidRPr="001B47A7">
        <w:t xml:space="preserve"> 177 </w:t>
      </w:r>
      <w:r w:rsidR="009B543D">
        <w:t>I</w:t>
      </w:r>
      <w:r w:rsidRPr="001B47A7">
        <w:t>nciso</w:t>
      </w:r>
      <w:r w:rsidR="009B543D">
        <w:t>s</w:t>
      </w:r>
      <w:r w:rsidRPr="001B47A7">
        <w:t xml:space="preserve"> primero y segundo del TOCAF (Resultando 2 y 3);</w:t>
      </w:r>
    </w:p>
    <w:p w:rsidR="009B543D" w:rsidRDefault="001B47A7" w:rsidP="009B543D">
      <w:pPr>
        <w:spacing w:line="360" w:lineRule="auto"/>
        <w:ind w:firstLine="3119"/>
        <w:jc w:val="both"/>
        <w:rPr>
          <w:color w:val="000000"/>
        </w:rPr>
      </w:pPr>
      <w:r w:rsidRPr="001B47A7">
        <w:rPr>
          <w:b/>
          <w:color w:val="000000"/>
        </w:rPr>
        <w:t>4)</w:t>
      </w:r>
      <w:r w:rsidRPr="001B47A7">
        <w:rPr>
          <w:color w:val="000000"/>
        </w:rPr>
        <w:t xml:space="preserve"> que de acuerdo con lo expresado en el Resultando 4) resulta de aplicación</w:t>
      </w:r>
      <w:r w:rsidR="009B543D">
        <w:rPr>
          <w:color w:val="000000"/>
        </w:rPr>
        <w:t xml:space="preserve"> lo establecido en el Artículo 159 I</w:t>
      </w:r>
      <w:r w:rsidRPr="001B47A7">
        <w:rPr>
          <w:color w:val="000000"/>
        </w:rPr>
        <w:t>nciso a) del TOCAF, no siendo necesaria la presentación de estados contables;</w:t>
      </w:r>
    </w:p>
    <w:p w:rsidR="009B543D" w:rsidRDefault="001B47A7" w:rsidP="009B543D">
      <w:pPr>
        <w:spacing w:line="360" w:lineRule="auto"/>
        <w:ind w:firstLine="3119"/>
        <w:jc w:val="both"/>
        <w:rPr>
          <w:color w:val="000000"/>
        </w:rPr>
      </w:pPr>
      <w:r w:rsidRPr="001B47A7">
        <w:rPr>
          <w:b/>
        </w:rPr>
        <w:t>5</w:t>
      </w:r>
      <w:r w:rsidRPr="001B47A7">
        <w:rPr>
          <w:b/>
          <w:color w:val="000000"/>
        </w:rPr>
        <w:t>)</w:t>
      </w:r>
      <w:r w:rsidRPr="001B47A7">
        <w:rPr>
          <w:color w:val="000000"/>
        </w:rPr>
        <w:t xml:space="preserve"> que en relación a la publicación </w:t>
      </w:r>
      <w:r w:rsidR="009B543D">
        <w:rPr>
          <w:color w:val="000000"/>
        </w:rPr>
        <w:t>de los estados financieros del E</w:t>
      </w:r>
      <w:r w:rsidRPr="001B47A7">
        <w:rPr>
          <w:color w:val="000000"/>
        </w:rPr>
        <w:t xml:space="preserve">jercicio 2015, lo actuado por el Organismo no </w:t>
      </w:r>
      <w:r w:rsidR="009B543D">
        <w:rPr>
          <w:color w:val="000000"/>
        </w:rPr>
        <w:t>se ajustó con lo dispuesto en el A</w:t>
      </w:r>
      <w:r w:rsidRPr="001B47A7">
        <w:rPr>
          <w:color w:val="000000"/>
        </w:rPr>
        <w:t xml:space="preserve">rtículo 177 </w:t>
      </w:r>
      <w:r w:rsidR="009B543D">
        <w:rPr>
          <w:color w:val="000000"/>
        </w:rPr>
        <w:t>I</w:t>
      </w:r>
      <w:r w:rsidRPr="001B47A7">
        <w:rPr>
          <w:color w:val="000000"/>
        </w:rPr>
        <w:t>nciso segundo del TOCAF (Resultando 5);</w:t>
      </w:r>
    </w:p>
    <w:p w:rsidR="009B543D" w:rsidRDefault="001B47A7" w:rsidP="009B543D">
      <w:pPr>
        <w:spacing w:line="360" w:lineRule="auto"/>
        <w:ind w:firstLine="3119"/>
        <w:jc w:val="both"/>
      </w:pPr>
      <w:r w:rsidRPr="001B47A7">
        <w:rPr>
          <w:b/>
        </w:rPr>
        <w:t>6)</w:t>
      </w:r>
      <w:r w:rsidRPr="001B47A7">
        <w:t xml:space="preserve"> que no </w:t>
      </w:r>
      <w:r w:rsidR="009B543D">
        <w:t>se ha dado cumplimiento con lo dispuesto en el A</w:t>
      </w:r>
      <w:r w:rsidRPr="001B47A7">
        <w:t>rtículo 27 de la Ordenanza Nº 81, en lo referente a la firma de los estados contables por el Jerarca Máximo del Organismo (Resultando 6);</w:t>
      </w:r>
    </w:p>
    <w:p w:rsidR="009B543D" w:rsidRDefault="001B47A7" w:rsidP="009B543D">
      <w:pPr>
        <w:spacing w:line="360" w:lineRule="auto"/>
        <w:ind w:firstLine="3119"/>
        <w:jc w:val="both"/>
      </w:pPr>
      <w:r w:rsidRPr="001B47A7">
        <w:rPr>
          <w:b/>
        </w:rPr>
        <w:t>7)</w:t>
      </w:r>
      <w:r w:rsidRPr="001B47A7">
        <w:t xml:space="preserve"> que lo señalado en el Resultando 7) no s</w:t>
      </w:r>
      <w:r w:rsidR="009B543D">
        <w:t>e ajusta a lo dispuesto por el A</w:t>
      </w:r>
      <w:r w:rsidRPr="001B47A7">
        <w:t>rtículo  28 de la Ordenanza N° 81 de este Tribunal;</w:t>
      </w:r>
    </w:p>
    <w:p w:rsidR="00F826E7" w:rsidRDefault="001B47A7" w:rsidP="00F826E7">
      <w:pPr>
        <w:spacing w:line="360" w:lineRule="auto"/>
        <w:ind w:firstLine="3119"/>
        <w:jc w:val="both"/>
      </w:pPr>
      <w:r w:rsidRPr="001B47A7">
        <w:rPr>
          <w:b/>
          <w:color w:val="000000"/>
        </w:rPr>
        <w:t>8)</w:t>
      </w:r>
      <w:r w:rsidRPr="001B47A7">
        <w:t xml:space="preserve"> </w:t>
      </w:r>
      <w:r w:rsidR="009B543D">
        <w:t>que conforme con</w:t>
      </w:r>
      <w:r w:rsidRPr="001B47A7">
        <w:t xml:space="preserve"> lo expresado en el Resultando 8), este Tribunal no ha practicado la auditoría de los estados mencionados de acuerdo con los Principios Fundamentales de Auditoría (ISSAI 100 y 200) y las Directrices de Auditoría Financiera (ISSAI 1000 a 1810) de la Organización Internacional de Entidades Superiores (INTOSAI);</w:t>
      </w:r>
    </w:p>
    <w:p w:rsidR="001B47A7" w:rsidRPr="001B47A7" w:rsidRDefault="001B47A7" w:rsidP="00F826E7">
      <w:pPr>
        <w:spacing w:line="360" w:lineRule="auto"/>
        <w:ind w:firstLine="3119"/>
        <w:jc w:val="both"/>
        <w:rPr>
          <w:rFonts w:cs="Arial"/>
        </w:rPr>
      </w:pPr>
      <w:r w:rsidRPr="001B47A7">
        <w:rPr>
          <w:rFonts w:cs="Arial"/>
          <w:b/>
          <w:color w:val="000000"/>
        </w:rPr>
        <w:t>9</w:t>
      </w:r>
      <w:r w:rsidRPr="001B47A7">
        <w:rPr>
          <w:rFonts w:cs="Arial"/>
          <w:b/>
        </w:rPr>
        <w:t>)</w:t>
      </w:r>
      <w:r w:rsidRPr="001B47A7">
        <w:rPr>
          <w:rFonts w:cs="Arial"/>
          <w:b/>
          <w:bCs/>
        </w:rPr>
        <w:t xml:space="preserve"> </w:t>
      </w:r>
      <w:r w:rsidRPr="001B47A7">
        <w:rPr>
          <w:rFonts w:cs="Arial"/>
        </w:rPr>
        <w:t>que en la publicación de los estados fi</w:t>
      </w:r>
      <w:r w:rsidR="00F826E7">
        <w:rPr>
          <w:rFonts w:cs="Arial"/>
        </w:rPr>
        <w:t>nancieros correspondientes al E</w:t>
      </w:r>
      <w:r w:rsidRPr="001B47A7">
        <w:rPr>
          <w:rFonts w:cs="Arial"/>
        </w:rPr>
        <w:t>jercicio finalizado el 30 de setiembre de 2016 se debe hacer mención a que los mismos fueron vis</w:t>
      </w:r>
      <w:r w:rsidR="00F826E7">
        <w:rPr>
          <w:rFonts w:cs="Arial"/>
        </w:rPr>
        <w:t>ados por el Tribunal de Cuentas;</w:t>
      </w:r>
    </w:p>
    <w:p w:rsidR="001B47A7" w:rsidRPr="001B47A7" w:rsidRDefault="001B47A7" w:rsidP="00F826E7">
      <w:pPr>
        <w:spacing w:line="360" w:lineRule="auto"/>
        <w:ind w:firstLine="851"/>
        <w:jc w:val="both"/>
      </w:pPr>
      <w:r w:rsidRPr="001B47A7">
        <w:rPr>
          <w:b/>
        </w:rPr>
        <w:t>ATENTO:</w:t>
      </w:r>
      <w:r w:rsidRPr="001B47A7">
        <w:t xml:space="preserve"> a lo dispuesto po</w:t>
      </w:r>
      <w:r w:rsidR="00F826E7">
        <w:t>r los A</w:t>
      </w:r>
      <w:r w:rsidRPr="001B47A7">
        <w:t>rtículos 159 y 177 d</w:t>
      </w:r>
      <w:r w:rsidR="003149CC">
        <w:t>el TOCAF y a la Ordenanza Nº 81;</w:t>
      </w:r>
    </w:p>
    <w:p w:rsidR="001B47A7" w:rsidRPr="001B47A7" w:rsidRDefault="001B47A7" w:rsidP="00F826E7">
      <w:pPr>
        <w:keepNext/>
        <w:spacing w:line="360" w:lineRule="auto"/>
        <w:jc w:val="center"/>
        <w:outlineLvl w:val="1"/>
        <w:rPr>
          <w:b/>
          <w:bCs/>
        </w:rPr>
      </w:pPr>
      <w:r w:rsidRPr="001B47A7">
        <w:rPr>
          <w:b/>
          <w:bCs/>
        </w:rPr>
        <w:t>El TRIBUNAL ACUERDA</w:t>
      </w:r>
    </w:p>
    <w:p w:rsidR="001B47A7" w:rsidRPr="001B47A7" w:rsidRDefault="001B47A7" w:rsidP="00F826E7">
      <w:pPr>
        <w:spacing w:line="360" w:lineRule="auto"/>
        <w:ind w:left="284" w:hanging="284"/>
        <w:jc w:val="both"/>
        <w:rPr>
          <w:rFonts w:cs="Arial"/>
        </w:rPr>
      </w:pPr>
      <w:r w:rsidRPr="001B47A7">
        <w:rPr>
          <w:rFonts w:cs="Arial"/>
          <w:b/>
        </w:rPr>
        <w:t>1)</w:t>
      </w:r>
      <w:r w:rsidRPr="001B47A7">
        <w:rPr>
          <w:rFonts w:cs="Arial"/>
        </w:rPr>
        <w:t xml:space="preserve"> Visar los estados financieros </w:t>
      </w:r>
      <w:r w:rsidR="00F826E7">
        <w:rPr>
          <w:rFonts w:cs="Arial"/>
        </w:rPr>
        <w:t>correspondientes al E</w:t>
      </w:r>
      <w:r w:rsidRPr="001B47A7">
        <w:rPr>
          <w:rFonts w:cs="Arial"/>
        </w:rPr>
        <w:t>jercicio finalizado el 30/09/2016 emitidos por el Centro de Estudios Fiscales (C.E.F.);</w:t>
      </w:r>
    </w:p>
    <w:p w:rsidR="001B47A7" w:rsidRPr="001B47A7" w:rsidRDefault="001B47A7" w:rsidP="00F826E7">
      <w:pPr>
        <w:spacing w:line="360" w:lineRule="auto"/>
        <w:ind w:left="284" w:hanging="284"/>
        <w:jc w:val="both"/>
      </w:pPr>
      <w:r w:rsidRPr="001B47A7">
        <w:rPr>
          <w:b/>
        </w:rPr>
        <w:t>2)</w:t>
      </w:r>
      <w:r w:rsidRPr="001B47A7">
        <w:t xml:space="preserve">  Observar lo actuado por </w:t>
      </w:r>
      <w:r w:rsidR="00F826E7">
        <w:t xml:space="preserve">el C.E.F, </w:t>
      </w:r>
      <w:r w:rsidRPr="001B47A7">
        <w:t>según lo expuesto en los  Considerandos 2</w:t>
      </w:r>
      <w:r w:rsidR="00F826E7">
        <w:t>)</w:t>
      </w:r>
      <w:r w:rsidRPr="001B47A7">
        <w:t>, 5</w:t>
      </w:r>
      <w:r w:rsidR="00F826E7">
        <w:t>)</w:t>
      </w:r>
      <w:r w:rsidRPr="001B47A7">
        <w:t>, 6</w:t>
      </w:r>
      <w:r w:rsidR="00F826E7">
        <w:t>)</w:t>
      </w:r>
      <w:r w:rsidRPr="001B47A7">
        <w:t xml:space="preserve"> y 7);</w:t>
      </w:r>
    </w:p>
    <w:p w:rsidR="001B47A7" w:rsidRPr="001B47A7" w:rsidRDefault="001B47A7" w:rsidP="00F826E7">
      <w:pPr>
        <w:spacing w:line="360" w:lineRule="auto"/>
        <w:jc w:val="both"/>
      </w:pPr>
      <w:r w:rsidRPr="001B47A7">
        <w:rPr>
          <w:b/>
        </w:rPr>
        <w:t>3)</w:t>
      </w:r>
      <w:r w:rsidRPr="001B47A7">
        <w:t xml:space="preserve"> Téngase presente lo señalado en el Considerando 4);</w:t>
      </w:r>
    </w:p>
    <w:p w:rsidR="001B47A7" w:rsidRPr="001B47A7" w:rsidRDefault="001B47A7" w:rsidP="00F826E7">
      <w:pPr>
        <w:spacing w:line="360" w:lineRule="auto"/>
        <w:ind w:left="284" w:hanging="284"/>
        <w:jc w:val="both"/>
      </w:pPr>
      <w:r w:rsidRPr="001B47A7">
        <w:rPr>
          <w:b/>
        </w:rPr>
        <w:t>4)</w:t>
      </w:r>
      <w:r w:rsidRPr="001B47A7">
        <w:t xml:space="preserve"> En las publicaciones deberá expresarse: “El Tribunal de Cuentas ha verificado exclusivamente la concordancia numérica de los estados remitidos con los registros contables, constituyendo dichos estados afirmaciones de la Administración del Organismo”;</w:t>
      </w:r>
    </w:p>
    <w:p w:rsidR="00F86359" w:rsidRDefault="001B47A7" w:rsidP="00F826E7">
      <w:pPr>
        <w:spacing w:line="360" w:lineRule="auto"/>
        <w:jc w:val="both"/>
        <w:rPr>
          <w:rFonts w:cs="Arial"/>
        </w:rPr>
      </w:pPr>
      <w:r w:rsidRPr="001B47A7">
        <w:rPr>
          <w:rFonts w:cs="Arial"/>
          <w:b/>
        </w:rPr>
        <w:t>5)</w:t>
      </w:r>
      <w:r w:rsidRPr="001B47A7">
        <w:rPr>
          <w:rFonts w:cs="Arial"/>
        </w:rPr>
        <w:t xml:space="preserve"> Comunicar la presente Resolución al Centro de Estudios Fiscales.</w:t>
      </w:r>
    </w:p>
    <w:p w:rsidR="00F826E7" w:rsidRDefault="00F826E7" w:rsidP="00F826E7">
      <w:pPr>
        <w:spacing w:line="360" w:lineRule="auto"/>
        <w:jc w:val="both"/>
        <w:rPr>
          <w:rFonts w:cs="Arial"/>
        </w:rPr>
      </w:pPr>
    </w:p>
    <w:p w:rsidR="00F826E7" w:rsidRDefault="00F826E7" w:rsidP="00F826E7">
      <w:pPr>
        <w:spacing w:line="360" w:lineRule="auto"/>
        <w:jc w:val="both"/>
        <w:rPr>
          <w:rFonts w:cs="Arial"/>
        </w:rPr>
      </w:pPr>
    </w:p>
    <w:p w:rsidR="00F826E7" w:rsidRDefault="00F826E7" w:rsidP="00F826E7">
      <w:pPr>
        <w:spacing w:line="360" w:lineRule="auto"/>
        <w:jc w:val="both"/>
        <w:rPr>
          <w:rFonts w:cs="Arial"/>
        </w:rPr>
      </w:pPr>
    </w:p>
    <w:p w:rsidR="00F826E7" w:rsidRDefault="00F826E7" w:rsidP="00F826E7">
      <w:pPr>
        <w:spacing w:line="360" w:lineRule="auto"/>
        <w:jc w:val="both"/>
        <w:rPr>
          <w:rFonts w:cs="Arial"/>
        </w:rPr>
      </w:pPr>
    </w:p>
    <w:p w:rsidR="00F826E7" w:rsidRDefault="00F826E7" w:rsidP="00F826E7">
      <w:pPr>
        <w:spacing w:line="360" w:lineRule="auto"/>
        <w:ind w:hanging="426"/>
        <w:jc w:val="both"/>
      </w:pPr>
      <w:proofErr w:type="gramStart"/>
      <w:r>
        <w:rPr>
          <w:rFonts w:cs="Arial"/>
        </w:rPr>
        <w:t>dc</w:t>
      </w:r>
      <w:proofErr w:type="gramEnd"/>
    </w:p>
    <w:sectPr w:rsidR="00F826E7" w:rsidSect="001B47A7">
      <w:footerReference w:type="default" r:id="rId7"/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E7" w:rsidRDefault="00F826E7" w:rsidP="00F826E7">
      <w:r>
        <w:separator/>
      </w:r>
    </w:p>
  </w:endnote>
  <w:endnote w:type="continuationSeparator" w:id="0">
    <w:p w:rsidR="00F826E7" w:rsidRDefault="00F826E7" w:rsidP="00F8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143"/>
      <w:docPartObj>
        <w:docPartGallery w:val="Page Numbers (Bottom of Page)"/>
        <w:docPartUnique/>
      </w:docPartObj>
    </w:sdtPr>
    <w:sdtEndPr/>
    <w:sdtContent>
      <w:p w:rsidR="00F826E7" w:rsidRDefault="00F826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9CC">
          <w:rPr>
            <w:noProof/>
          </w:rPr>
          <w:t>1</w:t>
        </w:r>
        <w:r>
          <w:fldChar w:fldCharType="end"/>
        </w:r>
      </w:p>
    </w:sdtContent>
  </w:sdt>
  <w:p w:rsidR="00F826E7" w:rsidRDefault="00F826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E7" w:rsidRDefault="00F826E7" w:rsidP="00F826E7">
      <w:r>
        <w:separator/>
      </w:r>
    </w:p>
  </w:footnote>
  <w:footnote w:type="continuationSeparator" w:id="0">
    <w:p w:rsidR="00F826E7" w:rsidRDefault="00F826E7" w:rsidP="00F8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A7"/>
    <w:rsid w:val="001B47A7"/>
    <w:rsid w:val="003149CC"/>
    <w:rsid w:val="00330727"/>
    <w:rsid w:val="009B543D"/>
    <w:rsid w:val="009D365A"/>
    <w:rsid w:val="00F826E7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6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26E7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26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6E7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6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26E7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26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6E7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654</Words>
  <Characters>3357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2</cp:revision>
  <cp:lastPrinted>2017-03-03T19:11:00Z</cp:lastPrinted>
  <dcterms:created xsi:type="dcterms:W3CDTF">2017-03-03T18:47:00Z</dcterms:created>
  <dcterms:modified xsi:type="dcterms:W3CDTF">2017-04-05T19:45:00Z</dcterms:modified>
</cp:coreProperties>
</file>