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84" w:rsidRDefault="00A01384" w:rsidP="00A01384">
      <w:pPr>
        <w:tabs>
          <w:tab w:val="center" w:pos="4253"/>
        </w:tabs>
        <w:suppressAutoHyphens/>
        <w:jc w:val="right"/>
        <w:rPr>
          <w:rFonts w:ascii="Arial" w:hAnsi="Arial" w:cs="Arial"/>
          <w:sz w:val="28"/>
          <w:szCs w:val="28"/>
          <w:lang w:val="es-ES_tradnl"/>
        </w:rPr>
      </w:pPr>
      <w:r>
        <w:rPr>
          <w:rFonts w:ascii="Arial" w:hAnsi="Arial" w:cs="Arial"/>
          <w:sz w:val="28"/>
          <w:szCs w:val="28"/>
          <w:lang w:val="es-ES_tradnl"/>
        </w:rPr>
        <w:t xml:space="preserve">RES. </w:t>
      </w:r>
      <w:r w:rsidR="00D6244C">
        <w:rPr>
          <w:rFonts w:ascii="Arial" w:hAnsi="Arial" w:cs="Arial"/>
          <w:sz w:val="28"/>
          <w:szCs w:val="28"/>
          <w:lang w:val="es-ES_tradnl"/>
        </w:rPr>
        <w:t>434</w:t>
      </w:r>
      <w:r>
        <w:rPr>
          <w:rFonts w:ascii="Arial" w:hAnsi="Arial" w:cs="Arial"/>
          <w:sz w:val="28"/>
          <w:szCs w:val="28"/>
          <w:lang w:val="es-ES_tradnl"/>
        </w:rPr>
        <w:t>/17</w:t>
      </w:r>
    </w:p>
    <w:p w:rsidR="00A01384" w:rsidRDefault="00A01384" w:rsidP="00A01384">
      <w:pPr>
        <w:tabs>
          <w:tab w:val="center" w:pos="4253"/>
        </w:tabs>
        <w:suppressAutoHyphens/>
        <w:jc w:val="center"/>
        <w:rPr>
          <w:rFonts w:ascii="Arial" w:hAnsi="Arial" w:cs="Arial"/>
          <w:lang w:val="es-ES_tradnl"/>
        </w:rPr>
      </w:pPr>
    </w:p>
    <w:p w:rsidR="00A01384" w:rsidRDefault="00A01384" w:rsidP="00A01384">
      <w:pPr>
        <w:tabs>
          <w:tab w:val="center" w:pos="4253"/>
        </w:tabs>
        <w:suppressAutoHyphens/>
        <w:jc w:val="center"/>
        <w:rPr>
          <w:rFonts w:ascii="Helvetica" w:hAnsi="Helvetica"/>
          <w:lang w:val="es-ES_tradnl"/>
        </w:rPr>
      </w:pPr>
      <w:r>
        <w:rPr>
          <w:rFonts w:ascii="Helvetica" w:hAnsi="Helvetica"/>
          <w:lang w:val="es-ES_tradnl"/>
        </w:rPr>
        <w:t>RESOLUCION ADOPTADA POR EL</w:t>
      </w:r>
    </w:p>
    <w:p w:rsidR="00A01384" w:rsidRDefault="00A01384" w:rsidP="00A01384">
      <w:pPr>
        <w:tabs>
          <w:tab w:val="left" w:pos="-720"/>
        </w:tabs>
        <w:suppressAutoHyphens/>
        <w:jc w:val="center"/>
        <w:rPr>
          <w:rFonts w:ascii="Helvetica" w:hAnsi="Helvetica"/>
          <w:lang w:val="es-ES_tradnl"/>
        </w:rPr>
      </w:pPr>
    </w:p>
    <w:p w:rsidR="00A01384" w:rsidRDefault="00A01384" w:rsidP="00A01384">
      <w:pPr>
        <w:tabs>
          <w:tab w:val="center" w:pos="4253"/>
        </w:tabs>
        <w:suppressAutoHyphens/>
        <w:jc w:val="center"/>
        <w:rPr>
          <w:rFonts w:ascii="Helvetica" w:hAnsi="Helvetica"/>
          <w:lang w:val="es-ES_tradnl"/>
        </w:rPr>
      </w:pPr>
      <w:r>
        <w:rPr>
          <w:rFonts w:ascii="Helvetica" w:hAnsi="Helvetica"/>
          <w:lang w:val="es-ES_tradnl"/>
        </w:rPr>
        <w:t>TRIBUNAL DE CUENTAS</w:t>
      </w:r>
    </w:p>
    <w:p w:rsidR="00A01384" w:rsidRDefault="00A01384" w:rsidP="00A01384">
      <w:pPr>
        <w:tabs>
          <w:tab w:val="left" w:pos="-720"/>
        </w:tabs>
        <w:suppressAutoHyphens/>
        <w:jc w:val="center"/>
        <w:rPr>
          <w:rFonts w:ascii="Helvetica" w:hAnsi="Helvetica"/>
          <w:lang w:val="es-ES_tradnl"/>
        </w:rPr>
      </w:pPr>
    </w:p>
    <w:p w:rsidR="00A01384" w:rsidRDefault="00A01384" w:rsidP="00A01384">
      <w:pPr>
        <w:tabs>
          <w:tab w:val="center" w:pos="4253"/>
        </w:tabs>
        <w:suppressAutoHyphens/>
        <w:jc w:val="center"/>
        <w:rPr>
          <w:rFonts w:ascii="Helvetica" w:hAnsi="Helvetica"/>
          <w:lang w:val="es-ES_tradnl"/>
        </w:rPr>
      </w:pPr>
      <w:r>
        <w:rPr>
          <w:rFonts w:ascii="Helvetica" w:hAnsi="Helvetica"/>
          <w:lang w:val="es-ES_tradnl"/>
        </w:rPr>
        <w:t xml:space="preserve">EN SESION DE FECHA </w:t>
      </w:r>
      <w:r w:rsidR="00471F47" w:rsidRPr="00471F47">
        <w:rPr>
          <w:rFonts w:ascii="Helvetica" w:hAnsi="Helvetica"/>
          <w:lang w:val="es-ES_tradnl"/>
        </w:rPr>
        <w:t>1º DE FEBRERO</w:t>
      </w:r>
      <w:r w:rsidR="00471F47">
        <w:rPr>
          <w:rFonts w:ascii="Helvetica" w:hAnsi="Helvetica"/>
          <w:b w:val="0"/>
          <w:lang w:val="es-ES_tradnl"/>
        </w:rPr>
        <w:t xml:space="preserve"> </w:t>
      </w:r>
      <w:r>
        <w:rPr>
          <w:rFonts w:ascii="Helvetica" w:hAnsi="Helvetica"/>
          <w:lang w:val="es-ES_tradnl"/>
        </w:rPr>
        <w:t>DE 2017</w:t>
      </w:r>
    </w:p>
    <w:p w:rsidR="00A01384" w:rsidRDefault="00A01384" w:rsidP="00A01384">
      <w:pPr>
        <w:tabs>
          <w:tab w:val="center" w:pos="4253"/>
        </w:tabs>
        <w:suppressAutoHyphens/>
        <w:jc w:val="center"/>
        <w:rPr>
          <w:rFonts w:ascii="Helvetica" w:hAnsi="Helvetica"/>
          <w:lang w:val="es-ES_tradnl"/>
        </w:rPr>
      </w:pPr>
    </w:p>
    <w:p w:rsidR="00A01384" w:rsidRDefault="00A01384" w:rsidP="00A01384">
      <w:pPr>
        <w:tabs>
          <w:tab w:val="center" w:pos="4253"/>
        </w:tabs>
        <w:suppressAutoHyphens/>
        <w:jc w:val="center"/>
        <w:rPr>
          <w:rFonts w:ascii="Helvetica" w:hAnsi="Helvetica"/>
          <w:lang w:val="es-UY"/>
        </w:rPr>
      </w:pPr>
      <w:r>
        <w:rPr>
          <w:rFonts w:ascii="Helvetica" w:hAnsi="Helvetica"/>
          <w:lang w:val="es-UY"/>
        </w:rPr>
        <w:t>(E. E. Nº 2016-17</w:t>
      </w:r>
      <w:r w:rsidR="000A2AF5">
        <w:rPr>
          <w:rFonts w:ascii="Helvetica" w:hAnsi="Helvetica"/>
          <w:lang w:val="es-UY"/>
        </w:rPr>
        <w:t xml:space="preserve">-1-0007784, Ent. </w:t>
      </w:r>
      <w:bookmarkStart w:id="0" w:name="_GoBack"/>
      <w:bookmarkEnd w:id="0"/>
      <w:r>
        <w:rPr>
          <w:rFonts w:ascii="Helvetica" w:hAnsi="Helvetica"/>
          <w:lang w:val="es-UY"/>
        </w:rPr>
        <w:t>254/17)</w:t>
      </w:r>
    </w:p>
    <w:p w:rsidR="00A01384" w:rsidRPr="00A01384" w:rsidRDefault="00A01384">
      <w:pPr>
        <w:pStyle w:val="Ttulo2"/>
        <w:spacing w:line="360" w:lineRule="auto"/>
        <w:jc w:val="left"/>
        <w:rPr>
          <w:lang w:val="es-UY"/>
        </w:rPr>
      </w:pPr>
    </w:p>
    <w:p w:rsidR="00A01384" w:rsidRDefault="00A01384">
      <w:pPr>
        <w:pStyle w:val="Ttulo8"/>
        <w:numPr>
          <w:ilvl w:val="0"/>
          <w:numId w:val="0"/>
        </w:numPr>
      </w:pPr>
    </w:p>
    <w:p w:rsidR="00523470" w:rsidRDefault="00523470" w:rsidP="00BB4912">
      <w:pPr>
        <w:pStyle w:val="Ttulo8"/>
        <w:numPr>
          <w:ilvl w:val="0"/>
          <w:numId w:val="0"/>
        </w:numPr>
        <w:ind w:firstLine="851"/>
        <w:rPr>
          <w:b w:val="0"/>
          <w:bCs w:val="0"/>
        </w:rPr>
      </w:pPr>
      <w:r>
        <w:t xml:space="preserve">VISTO: </w:t>
      </w:r>
      <w:r>
        <w:rPr>
          <w:b w:val="0"/>
          <w:bCs w:val="0"/>
        </w:rPr>
        <w:t xml:space="preserve">las actuaciones remitidas por la Intendencia de Maldonado  relacionadas con la reiteración del gasto emergente de la contratación directa del servicio de enterramiento de residuos sólidos bajo la forma de relleno sanitario con la empresa Ducelit S. A. (Aborgama); </w:t>
      </w:r>
    </w:p>
    <w:p w:rsidR="00523470" w:rsidRDefault="00523470" w:rsidP="00BB4912">
      <w:pPr>
        <w:spacing w:line="360" w:lineRule="auto"/>
        <w:ind w:firstLine="851"/>
        <w:jc w:val="both"/>
        <w:rPr>
          <w:rFonts w:ascii="Arial" w:hAnsi="Arial" w:cs="Arial"/>
          <w:b w:val="0"/>
          <w:bCs w:val="0"/>
          <w:color w:val="auto"/>
          <w:lang w:eastAsia="en-US"/>
        </w:rPr>
      </w:pPr>
      <w:r>
        <w:rPr>
          <w:rFonts w:ascii="Arial" w:hAnsi="Arial" w:cs="Arial"/>
          <w:color w:val="auto"/>
          <w:lang w:eastAsia="en-US"/>
        </w:rPr>
        <w:t>RESULTANDO: 1)</w:t>
      </w:r>
      <w:r>
        <w:rPr>
          <w:rFonts w:ascii="Arial" w:hAnsi="Arial" w:cs="Arial"/>
          <w:b w:val="0"/>
          <w:bCs w:val="0"/>
          <w:color w:val="auto"/>
          <w:lang w:eastAsia="en-US"/>
        </w:rPr>
        <w:t xml:space="preserve"> que la Intendencia Departamental realizó un procedimiento de Licitación Pública Nº 1/96 para el  tratamiento final de residuos sólidos de las ciudades de Maldonado, Punta del Este, San Carlos, Piriápolis, Pan de Azúcar, Gregorio Aznarez y Balnearios de la Costa”, el que adjudicado inicialmente por Resolución de 30/9/96 al consorcio </w:t>
      </w:r>
      <w:r w:rsidR="00BB4912">
        <w:rPr>
          <w:rFonts w:ascii="Arial" w:hAnsi="Arial" w:cs="Arial"/>
          <w:b w:val="0"/>
          <w:bCs w:val="0"/>
          <w:color w:val="auto"/>
          <w:lang w:eastAsia="en-US"/>
        </w:rPr>
        <w:t xml:space="preserve">                         </w:t>
      </w:r>
      <w:r>
        <w:rPr>
          <w:rFonts w:ascii="Arial" w:hAnsi="Arial" w:cs="Arial"/>
          <w:b w:val="0"/>
          <w:bCs w:val="0"/>
          <w:color w:val="auto"/>
          <w:lang w:eastAsia="en-US"/>
        </w:rPr>
        <w:t>Techint-SYUSA, gasto que fueron observados por este Tribunal, en sesiones de 5/3/97 y 30/7/97;</w:t>
      </w:r>
    </w:p>
    <w:p w:rsidR="00523470" w:rsidRDefault="00523470" w:rsidP="00BB4912">
      <w:pPr>
        <w:spacing w:line="360" w:lineRule="auto"/>
        <w:ind w:firstLine="2835"/>
        <w:jc w:val="both"/>
        <w:rPr>
          <w:rFonts w:ascii="Arial" w:hAnsi="Arial" w:cs="Arial"/>
          <w:b w:val="0"/>
          <w:bCs w:val="0"/>
          <w:color w:val="auto"/>
          <w:lang w:eastAsia="en-US"/>
        </w:rPr>
      </w:pPr>
      <w:r>
        <w:rPr>
          <w:rFonts w:ascii="Arial" w:hAnsi="Arial" w:cs="Arial"/>
          <w:color w:val="auto"/>
          <w:lang w:eastAsia="en-US"/>
        </w:rPr>
        <w:t>2)</w:t>
      </w:r>
      <w:r>
        <w:rPr>
          <w:rFonts w:ascii="Arial" w:hAnsi="Arial" w:cs="Arial"/>
          <w:b w:val="0"/>
          <w:bCs w:val="0"/>
          <w:color w:val="auto"/>
          <w:lang w:eastAsia="en-US"/>
        </w:rPr>
        <w:t xml:space="preserve"> que el Intendente dejó sin efecto la adjudicación anterior y por Res. 2841/97 de 26/9/97, dispuso  adjudicar, al amparo de lo dispuesto por el </w:t>
      </w:r>
      <w:r w:rsidR="00BB4912">
        <w:rPr>
          <w:rFonts w:ascii="Arial" w:hAnsi="Arial" w:cs="Arial"/>
          <w:b w:val="0"/>
          <w:bCs w:val="0"/>
          <w:color w:val="auto"/>
          <w:lang w:eastAsia="en-US"/>
        </w:rPr>
        <w:t>A</w:t>
      </w:r>
      <w:r>
        <w:rPr>
          <w:rFonts w:ascii="Arial" w:hAnsi="Arial" w:cs="Arial"/>
          <w:b w:val="0"/>
          <w:bCs w:val="0"/>
          <w:color w:val="auto"/>
          <w:lang w:eastAsia="en-US"/>
        </w:rPr>
        <w:t>rt</w:t>
      </w:r>
      <w:r w:rsidR="00BB4912">
        <w:rPr>
          <w:rFonts w:ascii="Arial" w:hAnsi="Arial" w:cs="Arial"/>
          <w:b w:val="0"/>
          <w:bCs w:val="0"/>
          <w:color w:val="auto"/>
          <w:lang w:eastAsia="en-US"/>
        </w:rPr>
        <w:t>ículo</w:t>
      </w:r>
      <w:r>
        <w:rPr>
          <w:rFonts w:ascii="Arial" w:hAnsi="Arial" w:cs="Arial"/>
          <w:b w:val="0"/>
          <w:bCs w:val="0"/>
          <w:color w:val="auto"/>
          <w:lang w:eastAsia="en-US"/>
        </w:rPr>
        <w:t xml:space="preserve"> 33 </w:t>
      </w:r>
      <w:r w:rsidR="00BB4912">
        <w:rPr>
          <w:rFonts w:ascii="Arial" w:hAnsi="Arial" w:cs="Arial"/>
          <w:b w:val="0"/>
          <w:bCs w:val="0"/>
          <w:color w:val="auto"/>
          <w:lang w:eastAsia="en-US"/>
        </w:rPr>
        <w:t>L</w:t>
      </w:r>
      <w:r>
        <w:rPr>
          <w:rFonts w:ascii="Arial" w:hAnsi="Arial" w:cs="Arial"/>
          <w:b w:val="0"/>
          <w:bCs w:val="0"/>
          <w:color w:val="auto"/>
          <w:lang w:eastAsia="en-US"/>
        </w:rPr>
        <w:t xml:space="preserve">iteral B) del TOCAF vigente, los servicios de enterrado en forma de relleno sanitario de 117.000 toneladas de residuos sólidos urbanos y 800 toneladas de residuos hospitalarios infecciosos, a la firma Ducelit S.A., por un total de $ 12.853.648 y rechazar las ofertas presentadas para la prestación del servicio de Recuperación y Reciclado de Residuos Sólidos;  </w:t>
      </w:r>
    </w:p>
    <w:p w:rsidR="00523470" w:rsidRDefault="00523470" w:rsidP="00335AB6">
      <w:pPr>
        <w:spacing w:line="360" w:lineRule="auto"/>
        <w:ind w:firstLine="2835"/>
        <w:jc w:val="both"/>
        <w:rPr>
          <w:rFonts w:ascii="Arial" w:hAnsi="Arial" w:cs="Arial"/>
          <w:b w:val="0"/>
          <w:bCs w:val="0"/>
          <w:color w:val="auto"/>
          <w:lang w:eastAsia="en-US"/>
        </w:rPr>
      </w:pPr>
      <w:r>
        <w:rPr>
          <w:rFonts w:ascii="Arial" w:hAnsi="Arial" w:cs="Arial"/>
          <w:color w:val="auto"/>
          <w:lang w:eastAsia="en-US"/>
        </w:rPr>
        <w:t>3)</w:t>
      </w:r>
      <w:r>
        <w:rPr>
          <w:rFonts w:ascii="Arial" w:hAnsi="Arial" w:cs="Arial"/>
          <w:b w:val="0"/>
          <w:bCs w:val="0"/>
          <w:color w:val="auto"/>
          <w:lang w:eastAsia="en-US"/>
        </w:rPr>
        <w:t xml:space="preserve"> que sin perjuicio de lo expuesto, el Intendente, por Res. 2641/2007, aprobó el Pliego Particular a regir en el llamado a Licitación </w:t>
      </w:r>
      <w:r>
        <w:rPr>
          <w:rFonts w:ascii="Arial" w:hAnsi="Arial" w:cs="Arial"/>
          <w:b w:val="0"/>
          <w:bCs w:val="0"/>
          <w:color w:val="auto"/>
          <w:lang w:eastAsia="en-US"/>
        </w:rPr>
        <w:lastRenderedPageBreak/>
        <w:t>Pública Nº 68/2007 para la “contratación del servicio de enterramiento de residuos sólidos bajo la forma de relleno sanitario” en Las Rosas, presentándose dos ofertas correspondientes a Consorcio Pensiero y Ducelit S.A (Aborgama). De acuerdo a lo informado por la División de Ingeniería Sanitaria y Ambiental con fecha 2.04.09 y por la Comisión Asesora de Adjudicaciones con fecha 5.05.09, se rebatieron los aspectos controvertidos por las empresas oferentes y, por Resolución Nº 3009/2009 de fecha 20.05.09 el Intendente dispuso  declarar frustrada la Licitación Pública Nº 68/07, rechazando ambas ofertas;</w:t>
      </w:r>
    </w:p>
    <w:p w:rsidR="00523470" w:rsidRDefault="00523470" w:rsidP="001B0FF1">
      <w:pPr>
        <w:tabs>
          <w:tab w:val="left" w:pos="1843"/>
        </w:tabs>
        <w:autoSpaceDE w:val="0"/>
        <w:autoSpaceDN w:val="0"/>
        <w:adjustRightInd w:val="0"/>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4) </w:t>
      </w:r>
      <w:r>
        <w:rPr>
          <w:rFonts w:ascii="Arial" w:hAnsi="Arial" w:cs="Arial"/>
          <w:b w:val="0"/>
          <w:bCs w:val="0"/>
          <w:color w:val="auto"/>
          <w:lang w:eastAsia="en-US"/>
        </w:rPr>
        <w:t>que por Res. 4034/01 de 24/10/01, se dispuso la ampliación del objeto licitado en el llamado 1/96 y la contratación directa con la empresa Ducelit S.A (Aborgama) de servicios accesorios, gastos que fueron  observados y mantenida la observación por este Tribunal;</w:t>
      </w:r>
    </w:p>
    <w:p w:rsidR="00523470" w:rsidRDefault="00523470" w:rsidP="001B0FF1">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5) </w:t>
      </w:r>
      <w:r>
        <w:rPr>
          <w:rFonts w:ascii="Arial" w:hAnsi="Arial" w:cs="Arial"/>
          <w:b w:val="0"/>
          <w:bCs w:val="0"/>
          <w:color w:val="auto"/>
          <w:lang w:eastAsia="en-US"/>
        </w:rPr>
        <w:t xml:space="preserve">que luego de sucesivas prórrogas y una vez culminado el período de gobierno anterior, la presente Administración procedió a contratar nuevamente en forma directa a la referida empresa según Resolución Nº 5622/2015 de 5/8/2015, al amparo del </w:t>
      </w:r>
      <w:r w:rsidR="001B0FF1">
        <w:rPr>
          <w:rFonts w:ascii="Arial" w:hAnsi="Arial" w:cs="Arial"/>
          <w:b w:val="0"/>
          <w:bCs w:val="0"/>
          <w:color w:val="auto"/>
          <w:lang w:eastAsia="en-US"/>
        </w:rPr>
        <w:t>A</w:t>
      </w:r>
      <w:r>
        <w:rPr>
          <w:rFonts w:ascii="Arial" w:hAnsi="Arial" w:cs="Arial"/>
          <w:b w:val="0"/>
          <w:bCs w:val="0"/>
          <w:color w:val="auto"/>
          <w:lang w:eastAsia="en-US"/>
        </w:rPr>
        <w:t>rt</w:t>
      </w:r>
      <w:r w:rsidR="001B0FF1">
        <w:rPr>
          <w:rFonts w:ascii="Arial" w:hAnsi="Arial" w:cs="Arial"/>
          <w:b w:val="0"/>
          <w:bCs w:val="0"/>
          <w:color w:val="auto"/>
          <w:lang w:eastAsia="en-US"/>
        </w:rPr>
        <w:t>ículo</w:t>
      </w:r>
      <w:r>
        <w:rPr>
          <w:rFonts w:ascii="Arial" w:hAnsi="Arial" w:cs="Arial"/>
          <w:b w:val="0"/>
          <w:bCs w:val="0"/>
          <w:color w:val="auto"/>
          <w:lang w:eastAsia="en-US"/>
        </w:rPr>
        <w:t xml:space="preserve"> 33, apartado C), numeral 9) del TOCAF;</w:t>
      </w:r>
    </w:p>
    <w:p w:rsidR="00523470" w:rsidRDefault="00523470" w:rsidP="001B0FF1">
      <w:pPr>
        <w:tabs>
          <w:tab w:val="left" w:pos="1843"/>
        </w:tabs>
        <w:autoSpaceDE w:val="0"/>
        <w:autoSpaceDN w:val="0"/>
        <w:adjustRightInd w:val="0"/>
        <w:spacing w:line="360" w:lineRule="auto"/>
        <w:ind w:firstLine="2835"/>
        <w:jc w:val="both"/>
        <w:rPr>
          <w:rFonts w:ascii="LiberationSans-Bold" w:hAnsi="LiberationSans-Bold" w:cs="LiberationSans-Bold"/>
          <w:b w:val="0"/>
          <w:bCs w:val="0"/>
          <w:color w:val="auto"/>
          <w:lang w:eastAsia="en-US"/>
        </w:rPr>
      </w:pPr>
      <w:r>
        <w:rPr>
          <w:rFonts w:ascii="LiberationSans-Bold" w:hAnsi="LiberationSans-Bold" w:cs="LiberationSans-Bold"/>
          <w:color w:val="auto"/>
          <w:lang w:eastAsia="en-US"/>
        </w:rPr>
        <w:t>6)</w:t>
      </w:r>
      <w:r>
        <w:rPr>
          <w:rFonts w:ascii="LiberationSans-Bold" w:hAnsi="LiberationSans-Bold" w:cs="LiberationSans-Bold"/>
          <w:b w:val="0"/>
          <w:bCs w:val="0"/>
          <w:color w:val="auto"/>
          <w:lang w:eastAsia="en-US"/>
        </w:rPr>
        <w:t xml:space="preserve"> que este Tribunal en Sesión de fecha 09.09.15, acordó observar el gasto en razón  de que no consideró configurados los extremos para la contratación de excepción, y contravenirse en esa instancia el </w:t>
      </w:r>
      <w:r w:rsidR="001B0FF1">
        <w:rPr>
          <w:rFonts w:ascii="LiberationSans-Bold" w:hAnsi="LiberationSans-Bold" w:cs="LiberationSans-Bold"/>
          <w:b w:val="0"/>
          <w:bCs w:val="0"/>
          <w:color w:val="auto"/>
          <w:lang w:eastAsia="en-US"/>
        </w:rPr>
        <w:t>A</w:t>
      </w:r>
      <w:r>
        <w:rPr>
          <w:rFonts w:ascii="LiberationSans-Bold" w:hAnsi="LiberationSans-Bold" w:cs="LiberationSans-Bold"/>
          <w:b w:val="0"/>
          <w:bCs w:val="0"/>
          <w:color w:val="auto"/>
          <w:lang w:eastAsia="en-US"/>
        </w:rPr>
        <w:t xml:space="preserve">rtículo 15 del T.O.C.A.F. El Intendente reiteró el gasto por las sumas de </w:t>
      </w:r>
      <w:r w:rsidR="001B0FF1">
        <w:rPr>
          <w:rFonts w:ascii="LiberationSans-Bold" w:hAnsi="LiberationSans-Bold" w:cs="LiberationSans-Bold"/>
          <w:b w:val="0"/>
          <w:bCs w:val="0"/>
          <w:color w:val="auto"/>
          <w:lang w:eastAsia="en-US"/>
        </w:rPr>
        <w:t xml:space="preserve">                       </w:t>
      </w:r>
      <w:r>
        <w:rPr>
          <w:rFonts w:ascii="LiberationSans-Bold" w:hAnsi="LiberationSans-Bold" w:cs="LiberationSans-Bold"/>
          <w:b w:val="0"/>
          <w:bCs w:val="0"/>
          <w:color w:val="auto"/>
          <w:lang w:eastAsia="en-US"/>
        </w:rPr>
        <w:t>$</w:t>
      </w:r>
      <w:r w:rsidR="001B0FF1">
        <w:rPr>
          <w:rFonts w:ascii="LiberationSans-Bold" w:hAnsi="LiberationSans-Bold" w:cs="LiberationSans-Bold"/>
          <w:b w:val="0"/>
          <w:bCs w:val="0"/>
          <w:color w:val="auto"/>
          <w:lang w:eastAsia="en-US"/>
        </w:rPr>
        <w:t xml:space="preserve"> </w:t>
      </w:r>
      <w:r>
        <w:rPr>
          <w:rFonts w:ascii="LiberationSans-Bold" w:hAnsi="LiberationSans-Bold" w:cs="LiberationSans-Bold"/>
          <w:b w:val="0"/>
          <w:bCs w:val="0"/>
          <w:color w:val="auto"/>
          <w:lang w:eastAsia="en-US"/>
        </w:rPr>
        <w:t>16.603.000, $</w:t>
      </w:r>
      <w:r w:rsidR="001B0FF1">
        <w:rPr>
          <w:rFonts w:ascii="LiberationSans-Bold" w:hAnsi="LiberationSans-Bold" w:cs="LiberationSans-Bold"/>
          <w:b w:val="0"/>
          <w:bCs w:val="0"/>
          <w:color w:val="auto"/>
          <w:lang w:eastAsia="en-US"/>
        </w:rPr>
        <w:t xml:space="preserve"> </w:t>
      </w:r>
      <w:r>
        <w:rPr>
          <w:rFonts w:ascii="LiberationSans-Bold" w:hAnsi="LiberationSans-Bold" w:cs="LiberationSans-Bold"/>
          <w:b w:val="0"/>
          <w:bCs w:val="0"/>
          <w:color w:val="auto"/>
          <w:lang w:eastAsia="en-US"/>
        </w:rPr>
        <w:t>3.900.000 y $</w:t>
      </w:r>
      <w:r w:rsidR="001B0FF1">
        <w:rPr>
          <w:rFonts w:ascii="LiberationSans-Bold" w:hAnsi="LiberationSans-Bold" w:cs="LiberationSans-Bold"/>
          <w:b w:val="0"/>
          <w:bCs w:val="0"/>
          <w:color w:val="auto"/>
          <w:lang w:eastAsia="en-US"/>
        </w:rPr>
        <w:t xml:space="preserve"> </w:t>
      </w:r>
      <w:r>
        <w:rPr>
          <w:rFonts w:ascii="LiberationSans-Bold" w:hAnsi="LiberationSans-Bold" w:cs="LiberationSans-Bold"/>
          <w:b w:val="0"/>
          <w:bCs w:val="0"/>
          <w:color w:val="auto"/>
          <w:lang w:eastAsia="en-US"/>
        </w:rPr>
        <w:t>1.670.090,28 por Resolución Nº 8039/2015 de fecha 06.11.15 y, este Tribunal mantuvo la observación en Sesión de fecha 16.12.15;</w:t>
      </w:r>
    </w:p>
    <w:p w:rsidR="00523470" w:rsidRDefault="00523470" w:rsidP="001B0FF1">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7) </w:t>
      </w:r>
      <w:r>
        <w:rPr>
          <w:rFonts w:ascii="Arial" w:hAnsi="Arial" w:cs="Arial"/>
          <w:b w:val="0"/>
          <w:bCs w:val="0"/>
          <w:color w:val="auto"/>
          <w:lang w:eastAsia="en-US"/>
        </w:rPr>
        <w:t xml:space="preserve">que la Dirección de Medio Ambiente con fecha 20/09/2016, en base a que el contrato finalizó el 30/4/2016, la necesidad de seguir operando con regularidad el servicio, teniendo en cuenta el largo proceso que implica un llamado  de esas características,  que la empresa </w:t>
      </w:r>
      <w:r>
        <w:rPr>
          <w:rFonts w:ascii="Arial" w:hAnsi="Arial" w:cs="Arial"/>
          <w:b w:val="0"/>
          <w:bCs w:val="0"/>
          <w:color w:val="auto"/>
          <w:lang w:eastAsia="en-US"/>
        </w:rPr>
        <w:lastRenderedPageBreak/>
        <w:t>Ducelit S.A (Aborgama) ha realizado en forma satisfactoria la disposición final y control adecuado de la calidad de los servicios y, siendo el precio de la operación adecuado, solicita renovar el contrato a partir del 1º de mayo de este año;</w:t>
      </w:r>
    </w:p>
    <w:p w:rsidR="00523470" w:rsidRDefault="00523470" w:rsidP="001B0FF1">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8) </w:t>
      </w:r>
      <w:r>
        <w:rPr>
          <w:rFonts w:ascii="Arial" w:hAnsi="Arial" w:cs="Arial"/>
          <w:b w:val="0"/>
          <w:bCs w:val="0"/>
          <w:color w:val="auto"/>
          <w:lang w:eastAsia="en-US"/>
        </w:rPr>
        <w:t xml:space="preserve">que el Intendente, por Resolución Nº 8002/2016 de fecha 3.11.16, dispuso contratar, al amparo de lo dispuesto en el </w:t>
      </w:r>
      <w:r w:rsidR="00BF0F09">
        <w:rPr>
          <w:rFonts w:ascii="Arial" w:hAnsi="Arial" w:cs="Arial"/>
          <w:b w:val="0"/>
          <w:bCs w:val="0"/>
          <w:color w:val="auto"/>
          <w:lang w:eastAsia="en-US"/>
        </w:rPr>
        <w:t xml:space="preserve">                    A</w:t>
      </w:r>
      <w:r>
        <w:rPr>
          <w:rFonts w:ascii="Arial" w:hAnsi="Arial" w:cs="Arial"/>
          <w:b w:val="0"/>
          <w:bCs w:val="0"/>
          <w:color w:val="auto"/>
          <w:lang w:eastAsia="en-US"/>
        </w:rPr>
        <w:t>rt</w:t>
      </w:r>
      <w:r w:rsidR="00BF0F09">
        <w:rPr>
          <w:rFonts w:ascii="Arial" w:hAnsi="Arial" w:cs="Arial"/>
          <w:b w:val="0"/>
          <w:bCs w:val="0"/>
          <w:color w:val="auto"/>
          <w:lang w:eastAsia="en-US"/>
        </w:rPr>
        <w:t>ículo</w:t>
      </w:r>
      <w:r>
        <w:rPr>
          <w:rFonts w:ascii="Arial" w:hAnsi="Arial" w:cs="Arial"/>
          <w:b w:val="0"/>
          <w:bCs w:val="0"/>
          <w:color w:val="auto"/>
          <w:lang w:eastAsia="en-US"/>
        </w:rPr>
        <w:t xml:space="preserve"> 33, apartado C), numeral 9) del TOCAF, ad referéndum de la intervención de la Contadora Delegada, a la empresa Aborgama- Ducelit S.A, para el enterramiento de residuos sólidos bajo la forma de relleno sanitario, en las mismas condiciones que se establecieron en la Licitación Pública </w:t>
      </w:r>
      <w:r w:rsidR="00BF0F09">
        <w:rPr>
          <w:rFonts w:ascii="Arial" w:hAnsi="Arial" w:cs="Arial"/>
          <w:b w:val="0"/>
          <w:bCs w:val="0"/>
          <w:color w:val="auto"/>
          <w:lang w:eastAsia="en-US"/>
        </w:rPr>
        <w:t xml:space="preserve">                           </w:t>
      </w:r>
      <w:r>
        <w:rPr>
          <w:rFonts w:ascii="Arial" w:hAnsi="Arial" w:cs="Arial"/>
          <w:b w:val="0"/>
          <w:bCs w:val="0"/>
          <w:color w:val="auto"/>
          <w:lang w:eastAsia="en-US"/>
        </w:rPr>
        <w:t xml:space="preserve">Nº 1/1996, siendo  el plazo de la contratación hasta que se determinen las bases y se concrete la adjudicación de un nuevo llamado para la prestación de los servicios de referencia; </w:t>
      </w:r>
    </w:p>
    <w:p w:rsidR="00BF0F09" w:rsidRDefault="00523470" w:rsidP="00BF0F09">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9) </w:t>
      </w:r>
      <w:r>
        <w:rPr>
          <w:rFonts w:ascii="Arial" w:hAnsi="Arial" w:cs="Arial"/>
          <w:b w:val="0"/>
          <w:bCs w:val="0"/>
          <w:color w:val="auto"/>
          <w:lang w:eastAsia="en-US"/>
        </w:rPr>
        <w:t xml:space="preserve">que este Tribunal en Sesión de fecha 07/12/2016, acordó observar el gasto en razón de que: </w:t>
      </w:r>
    </w:p>
    <w:p w:rsidR="00BF0F09" w:rsidRDefault="00523470" w:rsidP="00BF0F09">
      <w:pPr>
        <w:spacing w:line="360" w:lineRule="auto"/>
        <w:jc w:val="both"/>
        <w:rPr>
          <w:rFonts w:ascii="Arial" w:hAnsi="Arial" w:cs="Arial"/>
          <w:b w:val="0"/>
          <w:bCs w:val="0"/>
          <w:color w:val="auto"/>
          <w:lang w:eastAsia="en-US"/>
        </w:rPr>
      </w:pPr>
      <w:r>
        <w:rPr>
          <w:rFonts w:ascii="Arial" w:hAnsi="Arial" w:cs="Arial"/>
          <w:b w:val="0"/>
          <w:bCs w:val="0"/>
          <w:color w:val="auto"/>
          <w:lang w:eastAsia="en-US"/>
        </w:rPr>
        <w:t xml:space="preserve">a) en atención a la causal invocada, la Resolución que dispuso declarar frustrada la última licitación realizada tuvo lugar con fecha 20.05.09, por lo cual la fundamentación de urgencia no previsible, no queda acreditada, ni tampoco el resentimiento de servicio, en tanto hubo tiempo suficiente para establecer los requerimientos técnicos y convocar a un nuevo llamado; </w:t>
      </w:r>
    </w:p>
    <w:p w:rsidR="00BF0F09" w:rsidRDefault="00523470" w:rsidP="00BF0F09">
      <w:pPr>
        <w:spacing w:line="360" w:lineRule="auto"/>
        <w:jc w:val="both"/>
        <w:rPr>
          <w:rFonts w:ascii="Arial" w:hAnsi="Arial" w:cs="Arial"/>
          <w:b w:val="0"/>
          <w:bCs w:val="0"/>
          <w:color w:val="auto"/>
          <w:lang w:eastAsia="en-US"/>
        </w:rPr>
      </w:pPr>
      <w:r>
        <w:rPr>
          <w:rFonts w:ascii="Arial" w:hAnsi="Arial" w:cs="Arial"/>
          <w:b w:val="0"/>
          <w:bCs w:val="0"/>
          <w:color w:val="auto"/>
          <w:lang w:eastAsia="en-US"/>
        </w:rPr>
        <w:t>b) no pueden comprometerse gastos sin que exista disponibilidad suficiente en el rubro de imputación contable (</w:t>
      </w:r>
      <w:r w:rsidR="00BF0F09">
        <w:rPr>
          <w:rFonts w:ascii="Arial" w:hAnsi="Arial" w:cs="Arial"/>
          <w:b w:val="0"/>
          <w:bCs w:val="0"/>
          <w:color w:val="auto"/>
          <w:lang w:eastAsia="en-US"/>
        </w:rPr>
        <w:t>A</w:t>
      </w:r>
      <w:r>
        <w:rPr>
          <w:rFonts w:ascii="Arial" w:hAnsi="Arial" w:cs="Arial"/>
          <w:b w:val="0"/>
          <w:bCs w:val="0"/>
          <w:color w:val="auto"/>
          <w:lang w:eastAsia="en-US"/>
        </w:rPr>
        <w:t>rt</w:t>
      </w:r>
      <w:r w:rsidR="00BF0F09">
        <w:rPr>
          <w:rFonts w:ascii="Arial" w:hAnsi="Arial" w:cs="Arial"/>
          <w:b w:val="0"/>
          <w:bCs w:val="0"/>
          <w:color w:val="auto"/>
          <w:lang w:eastAsia="en-US"/>
        </w:rPr>
        <w:t>ículo</w:t>
      </w:r>
      <w:r>
        <w:rPr>
          <w:rFonts w:ascii="Arial" w:hAnsi="Arial" w:cs="Arial"/>
          <w:b w:val="0"/>
          <w:bCs w:val="0"/>
          <w:color w:val="auto"/>
          <w:lang w:eastAsia="en-US"/>
        </w:rPr>
        <w:t xml:space="preserve"> 15 del TOCAF), y </w:t>
      </w:r>
    </w:p>
    <w:p w:rsidR="00523470" w:rsidRDefault="00523470" w:rsidP="00BF0F09">
      <w:pPr>
        <w:spacing w:line="360" w:lineRule="auto"/>
        <w:jc w:val="both"/>
        <w:rPr>
          <w:rFonts w:ascii="Arial" w:hAnsi="Arial" w:cs="Arial"/>
          <w:b w:val="0"/>
          <w:bCs w:val="0"/>
          <w:color w:val="auto"/>
          <w:lang w:eastAsia="en-US"/>
        </w:rPr>
      </w:pPr>
      <w:r>
        <w:rPr>
          <w:rFonts w:ascii="Arial" w:hAnsi="Arial" w:cs="Arial"/>
          <w:b w:val="0"/>
          <w:bCs w:val="0"/>
          <w:color w:val="auto"/>
          <w:lang w:eastAsia="en-US"/>
        </w:rPr>
        <w:t>c) el contrato en cuestión tiene vigencia a partir del 1º/mayo/2016, por lo que las actuaciones cuentan con principio de ejecución;</w:t>
      </w:r>
    </w:p>
    <w:p w:rsidR="00151860" w:rsidRDefault="00523470" w:rsidP="00151860">
      <w:pPr>
        <w:spacing w:line="360" w:lineRule="auto"/>
        <w:ind w:firstLine="2835"/>
        <w:jc w:val="both"/>
        <w:rPr>
          <w:rFonts w:ascii="Arial" w:hAnsi="Arial" w:cs="Arial"/>
          <w:b w:val="0"/>
          <w:bCs w:val="0"/>
          <w:color w:val="auto"/>
          <w:lang w:eastAsia="en-US"/>
        </w:rPr>
      </w:pPr>
      <w:r>
        <w:rPr>
          <w:rFonts w:ascii="Arial" w:hAnsi="Arial" w:cs="Arial"/>
          <w:color w:val="auto"/>
          <w:lang w:eastAsia="en-US"/>
        </w:rPr>
        <w:t>10)</w:t>
      </w:r>
      <w:r>
        <w:rPr>
          <w:rFonts w:ascii="Arial" w:hAnsi="Arial" w:cs="Arial"/>
          <w:b w:val="0"/>
          <w:bCs w:val="0"/>
          <w:color w:val="auto"/>
          <w:lang w:eastAsia="en-US"/>
        </w:rPr>
        <w:t xml:space="preserve"> que el Intendente, por Resolución Nº 09408/2016 de 30/12/2016, reiteró el gasto por las sumas de $ 26:939.360, $ 5:600.000 y 2.211.957,40, expresando que: </w:t>
      </w:r>
    </w:p>
    <w:p w:rsidR="00151860" w:rsidRDefault="00523470" w:rsidP="00151860">
      <w:pPr>
        <w:spacing w:line="360" w:lineRule="auto"/>
        <w:jc w:val="both"/>
        <w:rPr>
          <w:rFonts w:ascii="Arial" w:hAnsi="Arial" w:cs="Arial"/>
          <w:b w:val="0"/>
          <w:bCs w:val="0"/>
          <w:color w:val="auto"/>
          <w:lang w:eastAsia="en-US"/>
        </w:rPr>
      </w:pPr>
      <w:r>
        <w:rPr>
          <w:rFonts w:ascii="Arial" w:hAnsi="Arial" w:cs="Arial"/>
          <w:b w:val="0"/>
          <w:bCs w:val="0"/>
          <w:color w:val="auto"/>
          <w:lang w:eastAsia="en-US"/>
        </w:rPr>
        <w:t xml:space="preserve">I)  la empresa Aborgama ha cumplido o está en proceso de dar cumplimiento con todos los requerimientos técnicos adicionales a los ya implementados, </w:t>
      </w:r>
      <w:r>
        <w:rPr>
          <w:rFonts w:ascii="Arial" w:hAnsi="Arial" w:cs="Arial"/>
          <w:b w:val="0"/>
          <w:bCs w:val="0"/>
          <w:color w:val="auto"/>
          <w:lang w:eastAsia="en-US"/>
        </w:rPr>
        <w:lastRenderedPageBreak/>
        <w:t xml:space="preserve">además de ampliar la capacidad operativa de la planta de tratamiento de efluentes, entre otras mejoras, </w:t>
      </w:r>
    </w:p>
    <w:p w:rsidR="00151860" w:rsidRDefault="00523470" w:rsidP="00151860">
      <w:pPr>
        <w:spacing w:line="360" w:lineRule="auto"/>
        <w:jc w:val="both"/>
        <w:rPr>
          <w:rFonts w:ascii="Arial" w:hAnsi="Arial" w:cs="Arial"/>
          <w:b w:val="0"/>
          <w:bCs w:val="0"/>
          <w:color w:val="auto"/>
          <w:lang w:eastAsia="en-US"/>
        </w:rPr>
      </w:pPr>
      <w:r>
        <w:rPr>
          <w:rFonts w:ascii="Arial" w:hAnsi="Arial" w:cs="Arial"/>
          <w:b w:val="0"/>
          <w:bCs w:val="0"/>
          <w:color w:val="auto"/>
          <w:lang w:eastAsia="en-US"/>
        </w:rPr>
        <w:t xml:space="preserve">II) además escrituró a nombre de la Intendencia un terreno propiedad de la empresa, en el que se encuentra la celda en la que se están enterrando los RSU (residuos sólidos urbanos), </w:t>
      </w:r>
    </w:p>
    <w:p w:rsidR="00151860" w:rsidRDefault="00523470" w:rsidP="00151860">
      <w:pPr>
        <w:spacing w:line="360" w:lineRule="auto"/>
        <w:jc w:val="both"/>
        <w:rPr>
          <w:rFonts w:ascii="Arial" w:hAnsi="Arial" w:cs="Arial"/>
          <w:b w:val="0"/>
          <w:bCs w:val="0"/>
          <w:color w:val="auto"/>
          <w:lang w:eastAsia="en-US"/>
        </w:rPr>
      </w:pPr>
      <w:r>
        <w:rPr>
          <w:rFonts w:ascii="Arial" w:hAnsi="Arial" w:cs="Arial"/>
          <w:b w:val="0"/>
          <w:bCs w:val="0"/>
          <w:color w:val="auto"/>
          <w:lang w:eastAsia="en-US"/>
        </w:rPr>
        <w:t xml:space="preserve">III) asimismo, ha suministrado un depósito de agua aprobado por Dirección Nacional de Bomberos, vertedero controlado, pozo de monitoreo de calidad de aguas subterráneas, planta de biogás y cabezales de captación, sin constituir parte del servicio licitado y  posee equipamiento para generar energía eléctrica a partir del biogás, aprovechando las emisiones y captura de gases, </w:t>
      </w:r>
    </w:p>
    <w:p w:rsidR="00151860" w:rsidRDefault="00523470" w:rsidP="00151860">
      <w:pPr>
        <w:spacing w:line="360" w:lineRule="auto"/>
        <w:jc w:val="both"/>
        <w:rPr>
          <w:rFonts w:ascii="Arial" w:hAnsi="Arial" w:cs="Arial"/>
          <w:b w:val="0"/>
          <w:bCs w:val="0"/>
          <w:color w:val="auto"/>
          <w:lang w:eastAsia="en-US"/>
        </w:rPr>
      </w:pPr>
      <w:r>
        <w:rPr>
          <w:rFonts w:ascii="Arial" w:hAnsi="Arial" w:cs="Arial"/>
          <w:b w:val="0"/>
          <w:bCs w:val="0"/>
          <w:color w:val="auto"/>
          <w:lang w:eastAsia="en-US"/>
        </w:rPr>
        <w:t>IV) la importancia estratégica/ambiental de la gestión de proceso y enterramiento de residuos torna imposible la interrupción del servicio</w:t>
      </w:r>
      <w:r w:rsidR="00151860">
        <w:rPr>
          <w:rFonts w:ascii="Arial" w:hAnsi="Arial" w:cs="Arial"/>
          <w:b w:val="0"/>
          <w:bCs w:val="0"/>
          <w:color w:val="auto"/>
          <w:lang w:eastAsia="en-US"/>
        </w:rPr>
        <w:t>,</w:t>
      </w:r>
      <w:r>
        <w:rPr>
          <w:rFonts w:ascii="Arial" w:hAnsi="Arial" w:cs="Arial"/>
          <w:b w:val="0"/>
          <w:bCs w:val="0"/>
          <w:color w:val="auto"/>
          <w:lang w:eastAsia="en-US"/>
        </w:rPr>
        <w:t xml:space="preserve"> </w:t>
      </w:r>
    </w:p>
    <w:p w:rsidR="00523470" w:rsidRDefault="00523470" w:rsidP="00151860">
      <w:pPr>
        <w:spacing w:line="360" w:lineRule="auto"/>
        <w:jc w:val="both"/>
        <w:rPr>
          <w:rFonts w:ascii="Arial" w:hAnsi="Arial" w:cs="Arial"/>
          <w:b w:val="0"/>
          <w:bCs w:val="0"/>
          <w:color w:val="auto"/>
          <w:lang w:eastAsia="en-US"/>
        </w:rPr>
      </w:pPr>
      <w:r>
        <w:rPr>
          <w:rFonts w:ascii="Arial" w:hAnsi="Arial" w:cs="Arial"/>
          <w:b w:val="0"/>
          <w:bCs w:val="0"/>
          <w:color w:val="auto"/>
          <w:lang w:eastAsia="en-US"/>
        </w:rPr>
        <w:t>V) que los fondos para y hacer frente a los gastos emergentes de la contratación fueron previstos en el Presupuesto Quinquenal 2016-2020, por que se contará con disponibilidad presupuestal suficiente;</w:t>
      </w:r>
    </w:p>
    <w:p w:rsidR="00523470" w:rsidRDefault="00523470" w:rsidP="00151860">
      <w:pPr>
        <w:spacing w:line="360" w:lineRule="auto"/>
        <w:ind w:firstLine="2835"/>
        <w:jc w:val="both"/>
        <w:rPr>
          <w:rFonts w:ascii="Times New Roman" w:hAnsi="Times New Roman" w:cs="Times New Roman"/>
          <w:lang w:val="es-ES_tradnl"/>
        </w:rPr>
      </w:pPr>
      <w:r w:rsidRPr="00151860">
        <w:rPr>
          <w:rFonts w:ascii="Arial" w:hAnsi="Arial" w:cs="Arial"/>
          <w:bCs w:val="0"/>
          <w:color w:val="auto"/>
          <w:lang w:eastAsia="en-US"/>
        </w:rPr>
        <w:t>11)</w:t>
      </w:r>
      <w:r>
        <w:rPr>
          <w:rFonts w:ascii="Arial" w:hAnsi="Arial" w:cs="Arial"/>
          <w:b w:val="0"/>
          <w:bCs w:val="0"/>
          <w:color w:val="auto"/>
          <w:lang w:eastAsia="en-US"/>
        </w:rPr>
        <w:t xml:space="preserve"> que con fecha 12 de enero próximo pasado (Entrada Nº 254) la Contadora Delegada comunica la  Resolución </w:t>
      </w:r>
      <w:r w:rsidR="00151860">
        <w:rPr>
          <w:rFonts w:ascii="Arial" w:hAnsi="Arial" w:cs="Arial"/>
          <w:b w:val="0"/>
          <w:bCs w:val="0"/>
          <w:color w:val="auto"/>
          <w:lang w:eastAsia="en-US"/>
        </w:rPr>
        <w:t xml:space="preserve">                             </w:t>
      </w:r>
      <w:r>
        <w:rPr>
          <w:rFonts w:ascii="Arial" w:hAnsi="Arial" w:cs="Arial"/>
          <w:b w:val="0"/>
          <w:bCs w:val="0"/>
          <w:color w:val="auto"/>
          <w:lang w:eastAsia="en-US"/>
        </w:rPr>
        <w:t>Nº 09408/2016 de 30/12/2016 de reiteración relacionada en el Resultando anterior;</w:t>
      </w:r>
    </w:p>
    <w:p w:rsidR="00523470" w:rsidRDefault="00523470" w:rsidP="00151860">
      <w:pPr>
        <w:tabs>
          <w:tab w:val="left" w:pos="1843"/>
        </w:tabs>
        <w:spacing w:line="360" w:lineRule="auto"/>
        <w:ind w:firstLine="851"/>
        <w:jc w:val="both"/>
        <w:rPr>
          <w:rFonts w:ascii="Arial" w:hAnsi="Arial" w:cs="Arial"/>
          <w:b w:val="0"/>
          <w:bCs w:val="0"/>
          <w:color w:val="auto"/>
        </w:rPr>
      </w:pPr>
      <w:r>
        <w:rPr>
          <w:rFonts w:ascii="Arial" w:hAnsi="Arial" w:cs="Arial"/>
          <w:color w:val="auto"/>
          <w:lang w:eastAsia="en-US"/>
        </w:rPr>
        <w:t>CONSIDERANDO:</w:t>
      </w:r>
      <w:r>
        <w:rPr>
          <w:rFonts w:ascii="Arial" w:hAnsi="Arial" w:cs="Arial"/>
          <w:b w:val="0"/>
          <w:bCs w:val="0"/>
          <w:color w:val="auto"/>
          <w:lang w:eastAsia="en-US"/>
        </w:rPr>
        <w:t xml:space="preserve"> </w:t>
      </w:r>
      <w:r>
        <w:rPr>
          <w:rFonts w:ascii="Arial" w:hAnsi="Arial" w:cs="Arial"/>
          <w:color w:val="auto"/>
          <w:lang w:val="es-MX"/>
        </w:rPr>
        <w:t>1)</w:t>
      </w:r>
      <w:r>
        <w:rPr>
          <w:rFonts w:ascii="Arial" w:hAnsi="Arial" w:cs="Arial"/>
          <w:b w:val="0"/>
          <w:bCs w:val="0"/>
          <w:color w:val="auto"/>
          <w:lang w:val="es-MX"/>
        </w:rPr>
        <w:t xml:space="preserve"> que el Art</w:t>
      </w:r>
      <w:r w:rsidR="00151860">
        <w:rPr>
          <w:rFonts w:ascii="Arial" w:hAnsi="Arial" w:cs="Arial"/>
          <w:b w:val="0"/>
          <w:bCs w:val="0"/>
          <w:color w:val="auto"/>
          <w:lang w:val="es-MX"/>
        </w:rPr>
        <w:t>ículo</w:t>
      </w:r>
      <w:r>
        <w:rPr>
          <w:rFonts w:ascii="Arial" w:hAnsi="Arial" w:cs="Arial"/>
          <w:b w:val="0"/>
          <w:bCs w:val="0"/>
          <w:color w:val="auto"/>
          <w:lang w:val="es-MX"/>
        </w:rPr>
        <w:t xml:space="preserve"> 475 de la Ley 17.296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seguir el curso del gasto del pago;                                  </w:t>
      </w:r>
    </w:p>
    <w:p w:rsidR="00523470" w:rsidRDefault="00523470" w:rsidP="00151860">
      <w:pPr>
        <w:spacing w:line="360" w:lineRule="auto"/>
        <w:ind w:firstLine="2977"/>
        <w:jc w:val="both"/>
        <w:rPr>
          <w:rFonts w:ascii="Arial" w:hAnsi="Arial" w:cs="Arial"/>
          <w:b w:val="0"/>
          <w:bCs w:val="0"/>
          <w:color w:val="auto"/>
          <w:lang w:val="es-MX"/>
        </w:rPr>
      </w:pPr>
      <w:r>
        <w:rPr>
          <w:rFonts w:ascii="Arial" w:hAnsi="Arial" w:cs="Arial"/>
          <w:color w:val="auto"/>
          <w:lang w:val="es-MX"/>
        </w:rPr>
        <w:t>2)</w:t>
      </w:r>
      <w:r>
        <w:rPr>
          <w:rFonts w:ascii="Arial" w:hAnsi="Arial" w:cs="Arial"/>
          <w:b w:val="0"/>
          <w:bCs w:val="0"/>
          <w:color w:val="auto"/>
          <w:lang w:val="es-MX"/>
        </w:rPr>
        <w:t xml:space="preserve"> que los argumentos de la Administración expuestos en los numerales I a IV atienden a razones de oportunidad y conveniencia del servicio, por lo que no enervan las observaciones formuladas oportunamente por este Tribunal y, en relación a la observación por falta de disponibilidad, numeral V, ésta debe verificarse al momento de comprometerse </w:t>
      </w:r>
      <w:r>
        <w:rPr>
          <w:rFonts w:ascii="Arial" w:hAnsi="Arial" w:cs="Arial"/>
          <w:b w:val="0"/>
          <w:bCs w:val="0"/>
          <w:color w:val="auto"/>
          <w:lang w:val="es-MX"/>
        </w:rPr>
        <w:lastRenderedPageBreak/>
        <w:t>el gasto (</w:t>
      </w:r>
      <w:r w:rsidR="00151860">
        <w:rPr>
          <w:rFonts w:ascii="Arial" w:hAnsi="Arial" w:cs="Arial"/>
          <w:b w:val="0"/>
          <w:bCs w:val="0"/>
          <w:color w:val="auto"/>
          <w:lang w:val="es-MX"/>
        </w:rPr>
        <w:t>A</w:t>
      </w:r>
      <w:r>
        <w:rPr>
          <w:rFonts w:ascii="Arial" w:hAnsi="Arial" w:cs="Arial"/>
          <w:b w:val="0"/>
          <w:bCs w:val="0"/>
          <w:color w:val="auto"/>
          <w:lang w:val="es-MX"/>
        </w:rPr>
        <w:t>rt</w:t>
      </w:r>
      <w:r w:rsidR="00151860">
        <w:rPr>
          <w:rFonts w:ascii="Arial" w:hAnsi="Arial" w:cs="Arial"/>
          <w:b w:val="0"/>
          <w:bCs w:val="0"/>
          <w:color w:val="auto"/>
          <w:lang w:val="es-MX"/>
        </w:rPr>
        <w:t>ículo</w:t>
      </w:r>
      <w:r>
        <w:rPr>
          <w:rFonts w:ascii="Arial" w:hAnsi="Arial" w:cs="Arial"/>
          <w:b w:val="0"/>
          <w:bCs w:val="0"/>
          <w:color w:val="auto"/>
          <w:lang w:val="es-MX"/>
        </w:rPr>
        <w:t xml:space="preserve"> 14 del TOCAF), lo que no se acreditó en el presente caso, por lo que se mantienen incambiadas las circunstancias de índole legal que ameritaron las observaciones realizadas; </w:t>
      </w:r>
    </w:p>
    <w:p w:rsidR="00523470" w:rsidRDefault="00523470" w:rsidP="00151860">
      <w:pPr>
        <w:spacing w:line="360" w:lineRule="auto"/>
        <w:ind w:firstLine="851"/>
        <w:jc w:val="both"/>
        <w:rPr>
          <w:rFonts w:ascii="Arial" w:hAnsi="Arial" w:cs="Arial"/>
          <w:b w:val="0"/>
          <w:bCs w:val="0"/>
          <w:color w:val="auto"/>
          <w:lang w:val="es-MX"/>
        </w:rPr>
      </w:pPr>
      <w:r>
        <w:rPr>
          <w:rFonts w:ascii="Arial" w:hAnsi="Arial" w:cs="Arial"/>
          <w:color w:val="auto"/>
        </w:rPr>
        <w:t xml:space="preserve">ATENTO: </w:t>
      </w:r>
      <w:r>
        <w:rPr>
          <w:rFonts w:ascii="Arial" w:hAnsi="Arial" w:cs="Arial"/>
          <w:b w:val="0"/>
          <w:bCs w:val="0"/>
          <w:color w:val="auto"/>
        </w:rPr>
        <w:t xml:space="preserve">a lo expuesto y a lo dispuesto por los </w:t>
      </w:r>
      <w:r w:rsidR="00151860">
        <w:rPr>
          <w:rFonts w:ascii="Arial" w:hAnsi="Arial" w:cs="Arial"/>
          <w:b w:val="0"/>
          <w:bCs w:val="0"/>
          <w:color w:val="auto"/>
        </w:rPr>
        <w:t>A</w:t>
      </w:r>
      <w:r>
        <w:rPr>
          <w:rFonts w:ascii="Arial" w:hAnsi="Arial" w:cs="Arial"/>
          <w:b w:val="0"/>
          <w:bCs w:val="0"/>
          <w:color w:val="auto"/>
        </w:rPr>
        <w:t>rt</w:t>
      </w:r>
      <w:r w:rsidR="00151860">
        <w:rPr>
          <w:rFonts w:ascii="Arial" w:hAnsi="Arial" w:cs="Arial"/>
          <w:b w:val="0"/>
          <w:bCs w:val="0"/>
          <w:color w:val="auto"/>
        </w:rPr>
        <w:t>ículo</w:t>
      </w:r>
      <w:r>
        <w:rPr>
          <w:rFonts w:ascii="Arial" w:hAnsi="Arial" w:cs="Arial"/>
          <w:b w:val="0"/>
          <w:bCs w:val="0"/>
          <w:color w:val="auto"/>
        </w:rPr>
        <w:t xml:space="preserve"> 211 </w:t>
      </w:r>
      <w:r w:rsidR="00151860">
        <w:rPr>
          <w:rFonts w:ascii="Arial" w:hAnsi="Arial" w:cs="Arial"/>
          <w:b w:val="0"/>
          <w:bCs w:val="0"/>
          <w:color w:val="auto"/>
        </w:rPr>
        <w:t>L</w:t>
      </w:r>
      <w:r>
        <w:rPr>
          <w:rFonts w:ascii="Arial" w:hAnsi="Arial" w:cs="Arial"/>
          <w:b w:val="0"/>
          <w:bCs w:val="0"/>
          <w:color w:val="auto"/>
        </w:rPr>
        <w:t>iteral B) de la Constitución de la República</w:t>
      </w:r>
      <w:r w:rsidR="00151860">
        <w:rPr>
          <w:rFonts w:ascii="Arial" w:hAnsi="Arial" w:cs="Arial"/>
          <w:b w:val="0"/>
          <w:bCs w:val="0"/>
          <w:color w:val="auto"/>
          <w:lang w:val="es-MX"/>
        </w:rPr>
        <w:t>;</w:t>
      </w:r>
    </w:p>
    <w:p w:rsidR="00523470" w:rsidRDefault="00523470" w:rsidP="00BB4912">
      <w:pPr>
        <w:keepNext/>
        <w:spacing w:line="360" w:lineRule="auto"/>
        <w:jc w:val="center"/>
        <w:outlineLvl w:val="0"/>
        <w:rPr>
          <w:rFonts w:ascii="Arial" w:hAnsi="Arial" w:cs="Arial"/>
          <w:color w:val="auto"/>
          <w:lang w:val="es-MX"/>
        </w:rPr>
      </w:pPr>
      <w:r>
        <w:rPr>
          <w:rFonts w:ascii="Arial" w:hAnsi="Arial" w:cs="Arial"/>
          <w:color w:val="auto"/>
          <w:lang w:val="es-MX"/>
        </w:rPr>
        <w:t>EL TRIBUNAL ACUERDA</w:t>
      </w:r>
    </w:p>
    <w:p w:rsidR="00523470" w:rsidRPr="00151860" w:rsidRDefault="00523470" w:rsidP="00151860">
      <w:pPr>
        <w:pStyle w:val="Prrafodelista"/>
        <w:numPr>
          <w:ilvl w:val="0"/>
          <w:numId w:val="3"/>
        </w:numPr>
        <w:spacing w:line="360" w:lineRule="auto"/>
        <w:rPr>
          <w:rFonts w:ascii="Arial" w:hAnsi="Arial" w:cs="Arial"/>
          <w:b w:val="0"/>
          <w:bCs w:val="0"/>
          <w:color w:val="auto"/>
          <w:lang w:val="es-MX"/>
        </w:rPr>
      </w:pPr>
      <w:r w:rsidRPr="00151860">
        <w:rPr>
          <w:rFonts w:ascii="Arial" w:hAnsi="Arial" w:cs="Arial"/>
          <w:b w:val="0"/>
          <w:bCs w:val="0"/>
          <w:color w:val="auto"/>
          <w:lang w:val="es-MX"/>
        </w:rPr>
        <w:t>Mantener la observación del gasto formulada en sesión de fecha 07/12/16;</w:t>
      </w:r>
    </w:p>
    <w:p w:rsidR="00523470" w:rsidRPr="00151860" w:rsidRDefault="00523470" w:rsidP="00151860">
      <w:pPr>
        <w:pStyle w:val="Prrafodelista"/>
        <w:numPr>
          <w:ilvl w:val="0"/>
          <w:numId w:val="3"/>
        </w:numPr>
        <w:spacing w:line="360" w:lineRule="auto"/>
        <w:rPr>
          <w:rFonts w:ascii="Arial" w:hAnsi="Arial" w:cs="Arial"/>
          <w:b w:val="0"/>
          <w:bCs w:val="0"/>
          <w:color w:val="auto"/>
          <w:lang w:val="es-MX"/>
        </w:rPr>
      </w:pPr>
      <w:r w:rsidRPr="00151860">
        <w:rPr>
          <w:rFonts w:ascii="Arial" w:hAnsi="Arial" w:cs="Arial"/>
          <w:b w:val="0"/>
          <w:bCs w:val="0"/>
          <w:color w:val="auto"/>
          <w:lang w:val="es-MX"/>
        </w:rPr>
        <w:t xml:space="preserve">Dar cuenta a la Junta Departamental de Maldonado; y </w:t>
      </w:r>
    </w:p>
    <w:p w:rsidR="00523470" w:rsidRPr="00151860" w:rsidRDefault="00523470" w:rsidP="00151860">
      <w:pPr>
        <w:pStyle w:val="Prrafodelista"/>
        <w:numPr>
          <w:ilvl w:val="0"/>
          <w:numId w:val="3"/>
        </w:numPr>
        <w:spacing w:line="360" w:lineRule="auto"/>
        <w:rPr>
          <w:rFonts w:ascii="Arial" w:hAnsi="Arial" w:cs="Arial"/>
          <w:b w:val="0"/>
          <w:bCs w:val="0"/>
          <w:color w:val="auto"/>
          <w:lang w:val="es-MX"/>
        </w:rPr>
      </w:pPr>
      <w:r w:rsidRPr="00151860">
        <w:rPr>
          <w:rFonts w:ascii="Arial" w:hAnsi="Arial" w:cs="Arial"/>
          <w:b w:val="0"/>
          <w:bCs w:val="0"/>
          <w:color w:val="auto"/>
          <w:lang w:val="es-MX"/>
        </w:rPr>
        <w:t>Co</w:t>
      </w:r>
      <w:r w:rsidR="00151860">
        <w:rPr>
          <w:rFonts w:ascii="Arial" w:hAnsi="Arial" w:cs="Arial"/>
          <w:b w:val="0"/>
          <w:bCs w:val="0"/>
          <w:color w:val="auto"/>
          <w:lang w:val="es-MX"/>
        </w:rPr>
        <w:t>municar a la Contadora Delegada;</w:t>
      </w:r>
    </w:p>
    <w:p w:rsidR="00523470" w:rsidRDefault="00151860" w:rsidP="00BB4912">
      <w:pPr>
        <w:spacing w:line="360" w:lineRule="auto"/>
        <w:jc w:val="both"/>
        <w:rPr>
          <w:rFonts w:ascii="Arial" w:hAnsi="Arial" w:cs="Arial"/>
          <w:b w:val="0"/>
          <w:bCs w:val="0"/>
          <w:color w:val="auto"/>
          <w:sz w:val="20"/>
          <w:szCs w:val="20"/>
          <w:lang w:val="es-MX"/>
        </w:rPr>
      </w:pPr>
      <w:r w:rsidRPr="00151860">
        <w:rPr>
          <w:rFonts w:ascii="Arial" w:hAnsi="Arial" w:cs="Arial"/>
          <w:bCs w:val="0"/>
          <w:color w:val="auto"/>
          <w:lang w:val="es-MX"/>
        </w:rPr>
        <w:t>4)</w:t>
      </w:r>
      <w:r>
        <w:rPr>
          <w:rFonts w:ascii="Arial" w:hAnsi="Arial" w:cs="Arial"/>
          <w:b w:val="0"/>
          <w:bCs w:val="0"/>
          <w:color w:val="auto"/>
          <w:lang w:val="es-MX"/>
        </w:rPr>
        <w:t xml:space="preserve"> Devolver las actuaciones.</w:t>
      </w:r>
    </w:p>
    <w:p w:rsidR="00523470" w:rsidRDefault="00523470" w:rsidP="00BB4912">
      <w:pPr>
        <w:spacing w:line="360" w:lineRule="auto"/>
        <w:jc w:val="both"/>
        <w:rPr>
          <w:rFonts w:ascii="Arial" w:hAnsi="Arial" w:cs="Arial"/>
          <w:b w:val="0"/>
          <w:bCs w:val="0"/>
          <w:color w:val="auto"/>
          <w:sz w:val="20"/>
          <w:szCs w:val="20"/>
          <w:lang w:val="es-MX"/>
        </w:rPr>
      </w:pPr>
    </w:p>
    <w:p w:rsidR="00523470" w:rsidRPr="00BB4912" w:rsidRDefault="00BB4912" w:rsidP="00BB4912">
      <w:pPr>
        <w:spacing w:line="360" w:lineRule="auto"/>
        <w:jc w:val="both"/>
        <w:rPr>
          <w:rFonts w:ascii="Arial" w:hAnsi="Arial" w:cs="Arial"/>
          <w:b w:val="0"/>
          <w:bCs w:val="0"/>
          <w:color w:val="auto"/>
        </w:rPr>
      </w:pPr>
      <w:r w:rsidRPr="00BB4912">
        <w:rPr>
          <w:rFonts w:ascii="Arial" w:hAnsi="Arial" w:cs="Arial"/>
          <w:b w:val="0"/>
          <w:bCs w:val="0"/>
          <w:color w:val="auto"/>
        </w:rPr>
        <w:t>ag</w:t>
      </w:r>
    </w:p>
    <w:p w:rsidR="00523470" w:rsidRDefault="00523470" w:rsidP="00BB4912">
      <w:pPr>
        <w:spacing w:line="360" w:lineRule="auto"/>
        <w:jc w:val="both"/>
        <w:rPr>
          <w:rFonts w:ascii="Arial" w:hAnsi="Arial" w:cs="Arial"/>
          <w:b w:val="0"/>
          <w:bCs w:val="0"/>
          <w:color w:val="auto"/>
          <w:sz w:val="20"/>
          <w:szCs w:val="20"/>
          <w:lang w:val="es-MX"/>
        </w:rPr>
      </w:pPr>
    </w:p>
    <w:sectPr w:rsidR="00523470" w:rsidSect="000A2AF5">
      <w:headerReference w:type="even" r:id="rId8"/>
      <w:headerReference w:type="default" r:id="rId9"/>
      <w:footerReference w:type="even" r:id="rId10"/>
      <w:footerReference w:type="default" r:id="rId11"/>
      <w:headerReference w:type="first" r:id="rId12"/>
      <w:footerReference w:type="first" r:id="rId13"/>
      <w:pgSz w:w="11906" w:h="16838" w:code="9"/>
      <w:pgMar w:top="3289"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D9" w:rsidRDefault="00FD7ED9" w:rsidP="00FD7ED9">
      <w:r>
        <w:separator/>
      </w:r>
    </w:p>
  </w:endnote>
  <w:endnote w:type="continuationSeparator" w:id="0">
    <w:p w:rsidR="00FD7ED9" w:rsidRDefault="00FD7ED9" w:rsidP="00FD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D9" w:rsidRDefault="00FD7E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7843"/>
      <w:docPartObj>
        <w:docPartGallery w:val="Page Numbers (Bottom of Page)"/>
        <w:docPartUnique/>
      </w:docPartObj>
    </w:sdtPr>
    <w:sdtEndPr>
      <w:rPr>
        <w:b w:val="0"/>
      </w:rPr>
    </w:sdtEndPr>
    <w:sdtContent>
      <w:p w:rsidR="00FD7ED9" w:rsidRPr="00FD7ED9" w:rsidRDefault="00FD7ED9">
        <w:pPr>
          <w:pStyle w:val="Piedepgina"/>
          <w:jc w:val="center"/>
          <w:rPr>
            <w:b w:val="0"/>
          </w:rPr>
        </w:pPr>
        <w:r w:rsidRPr="00FD7ED9">
          <w:rPr>
            <w:b w:val="0"/>
          </w:rPr>
          <w:fldChar w:fldCharType="begin"/>
        </w:r>
        <w:r w:rsidRPr="00FD7ED9">
          <w:rPr>
            <w:b w:val="0"/>
          </w:rPr>
          <w:instrText>PAGE   \* MERGEFORMAT</w:instrText>
        </w:r>
        <w:r w:rsidRPr="00FD7ED9">
          <w:rPr>
            <w:b w:val="0"/>
          </w:rPr>
          <w:fldChar w:fldCharType="separate"/>
        </w:r>
        <w:r w:rsidR="000A2AF5">
          <w:rPr>
            <w:b w:val="0"/>
            <w:noProof/>
          </w:rPr>
          <w:t>2</w:t>
        </w:r>
        <w:r w:rsidRPr="00FD7ED9">
          <w:rPr>
            <w:b w:val="0"/>
          </w:rPr>
          <w:fldChar w:fldCharType="end"/>
        </w:r>
      </w:p>
    </w:sdtContent>
  </w:sdt>
  <w:p w:rsidR="00FD7ED9" w:rsidRDefault="00FD7ED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D9" w:rsidRDefault="00FD7E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D9" w:rsidRDefault="00FD7ED9" w:rsidP="00FD7ED9">
      <w:r>
        <w:separator/>
      </w:r>
    </w:p>
  </w:footnote>
  <w:footnote w:type="continuationSeparator" w:id="0">
    <w:p w:rsidR="00FD7ED9" w:rsidRDefault="00FD7ED9" w:rsidP="00FD7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D9" w:rsidRDefault="00FD7E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D9" w:rsidRDefault="00FD7E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D9" w:rsidRDefault="00FD7E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2B076B92"/>
    <w:multiLevelType w:val="singleLevel"/>
    <w:tmpl w:val="D85601EC"/>
    <w:lvl w:ilvl="0">
      <w:start w:val="1"/>
      <w:numFmt w:val="decimal"/>
      <w:lvlText w:val="%1)"/>
      <w:lvlJc w:val="left"/>
      <w:pPr>
        <w:tabs>
          <w:tab w:val="num" w:pos="360"/>
        </w:tabs>
        <w:ind w:left="360" w:hanging="360"/>
      </w:pPr>
      <w:rPr>
        <w:rFonts w:ascii="Arial" w:eastAsiaTheme="minorEastAsia" w:hAnsi="Arial" w:cs="Arial"/>
        <w:b/>
        <w:bCs/>
      </w:rPr>
    </w:lvl>
  </w:abstractNum>
  <w:abstractNum w:abstractNumId="2">
    <w:nsid w:val="426E43C0"/>
    <w:multiLevelType w:val="hybridMultilevel"/>
    <w:tmpl w:val="793450BE"/>
    <w:lvl w:ilvl="0" w:tplc="21B0A4FE">
      <w:start w:val="1"/>
      <w:numFmt w:val="upperRoman"/>
      <w:pStyle w:val="Ttulo8"/>
      <w:lvlText w:val="%1."/>
      <w:lvlJc w:val="left"/>
      <w:pPr>
        <w:tabs>
          <w:tab w:val="num" w:pos="1080"/>
        </w:tabs>
        <w:ind w:left="1080" w:hanging="72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70"/>
    <w:rsid w:val="000A2AF5"/>
    <w:rsid w:val="00151860"/>
    <w:rsid w:val="001B0FF1"/>
    <w:rsid w:val="00335AB6"/>
    <w:rsid w:val="00471F47"/>
    <w:rsid w:val="004D68C0"/>
    <w:rsid w:val="00523470"/>
    <w:rsid w:val="00997B66"/>
    <w:rsid w:val="009D4A62"/>
    <w:rsid w:val="00A01384"/>
    <w:rsid w:val="00BB4912"/>
    <w:rsid w:val="00BF0F09"/>
    <w:rsid w:val="00D05964"/>
    <w:rsid w:val="00D6244C"/>
    <w:rsid w:val="00FD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lang w:val="es-ES" w:eastAsia="es-ES"/>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8">
    <w:name w:val="heading 8"/>
    <w:basedOn w:val="Normal"/>
    <w:next w:val="Normal"/>
    <w:link w:val="Ttulo8Car"/>
    <w:uiPriority w:val="99"/>
    <w:qFormat/>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character" w:customStyle="1" w:styleId="Ttulo8Car">
    <w:name w:val="Título 8 Car"/>
    <w:basedOn w:val="Fuentedeprrafopredeter"/>
    <w:link w:val="Ttulo8"/>
    <w:uiPriority w:val="99"/>
    <w:rPr>
      <w:rFonts w:ascii="Arial" w:hAnsi="Arial" w:cs="Arial"/>
      <w:b/>
      <w:bCs/>
      <w:color w:val="000000"/>
      <w:sz w:val="20"/>
      <w:szCs w:val="20"/>
      <w:lang w:val="es-ES_tradnl" w:eastAsia="es-ES"/>
    </w:rPr>
  </w:style>
  <w:style w:type="character" w:styleId="Hipervnculo">
    <w:name w:val="Hyperlink"/>
    <w:basedOn w:val="Fuentedeprrafopredeter"/>
    <w:uiPriority w:val="99"/>
    <w:rPr>
      <w:color w:val="0000FF"/>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Arial" w:hAnsi="Arial" w:cs="Arial"/>
      <w:color w:val="000000"/>
      <w:sz w:val="20"/>
      <w:szCs w:val="20"/>
      <w:lang w:val="es-ES_tradnl" w:eastAsia="es-ES"/>
    </w:rPr>
  </w:style>
  <w:style w:type="paragraph" w:styleId="Ttulo">
    <w:name w:val="Title"/>
    <w:basedOn w:val="Normal"/>
    <w:link w:val="TtuloCar"/>
    <w:uiPriority w:val="99"/>
    <w:qFormat/>
    <w:pPr>
      <w:spacing w:line="360" w:lineRule="auto"/>
      <w:jc w:val="center"/>
    </w:pPr>
    <w:rPr>
      <w:rFonts w:ascii="Arial" w:hAnsi="Arial" w:cs="Arial"/>
      <w:color w:val="auto"/>
      <w:u w:val="single"/>
      <w:lang w:val="es-UY"/>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b/>
      <w:bCs/>
      <w:color w:val="000000"/>
      <w:sz w:val="16"/>
      <w:szCs w:val="16"/>
      <w:lang w:eastAsia="es-ES"/>
    </w:rPr>
  </w:style>
  <w:style w:type="paragraph" w:styleId="Prrafodelista">
    <w:name w:val="List Paragraph"/>
    <w:basedOn w:val="Normal"/>
    <w:uiPriority w:val="34"/>
    <w:qFormat/>
    <w:rsid w:val="00151860"/>
    <w:pPr>
      <w:ind w:left="720"/>
      <w:contextualSpacing/>
    </w:pPr>
  </w:style>
  <w:style w:type="paragraph" w:styleId="Encabezado">
    <w:name w:val="header"/>
    <w:basedOn w:val="Normal"/>
    <w:link w:val="EncabezadoCar"/>
    <w:uiPriority w:val="99"/>
    <w:unhideWhenUsed/>
    <w:rsid w:val="00FD7ED9"/>
    <w:pPr>
      <w:tabs>
        <w:tab w:val="center" w:pos="4252"/>
        <w:tab w:val="right" w:pos="8504"/>
      </w:tabs>
    </w:pPr>
  </w:style>
  <w:style w:type="character" w:customStyle="1" w:styleId="EncabezadoCar">
    <w:name w:val="Encabezado Car"/>
    <w:basedOn w:val="Fuentedeprrafopredeter"/>
    <w:link w:val="Encabezado"/>
    <w:uiPriority w:val="99"/>
    <w:rsid w:val="00FD7ED9"/>
    <w:rPr>
      <w:rFonts w:ascii="GothicPS" w:hAnsi="GothicPS" w:cs="GothicPS"/>
      <w:b/>
      <w:bCs/>
      <w:color w:val="000000"/>
      <w:sz w:val="24"/>
      <w:szCs w:val="24"/>
      <w:lang w:val="es-ES" w:eastAsia="es-ES"/>
    </w:rPr>
  </w:style>
  <w:style w:type="paragraph" w:styleId="Piedepgina">
    <w:name w:val="footer"/>
    <w:basedOn w:val="Normal"/>
    <w:link w:val="PiedepginaCar"/>
    <w:uiPriority w:val="99"/>
    <w:unhideWhenUsed/>
    <w:rsid w:val="00FD7ED9"/>
    <w:pPr>
      <w:tabs>
        <w:tab w:val="center" w:pos="4252"/>
        <w:tab w:val="right" w:pos="8504"/>
      </w:tabs>
    </w:pPr>
  </w:style>
  <w:style w:type="character" w:customStyle="1" w:styleId="PiedepginaCar">
    <w:name w:val="Pie de página Car"/>
    <w:basedOn w:val="Fuentedeprrafopredeter"/>
    <w:link w:val="Piedepgina"/>
    <w:uiPriority w:val="99"/>
    <w:rsid w:val="00FD7ED9"/>
    <w:rPr>
      <w:rFonts w:ascii="GothicPS" w:hAnsi="GothicPS" w:cs="GothicPS"/>
      <w:b/>
      <w:bCs/>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lang w:val="es-ES" w:eastAsia="es-ES"/>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8">
    <w:name w:val="heading 8"/>
    <w:basedOn w:val="Normal"/>
    <w:next w:val="Normal"/>
    <w:link w:val="Ttulo8Car"/>
    <w:uiPriority w:val="99"/>
    <w:qFormat/>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character" w:customStyle="1" w:styleId="Ttulo8Car">
    <w:name w:val="Título 8 Car"/>
    <w:basedOn w:val="Fuentedeprrafopredeter"/>
    <w:link w:val="Ttulo8"/>
    <w:uiPriority w:val="99"/>
    <w:rPr>
      <w:rFonts w:ascii="Arial" w:hAnsi="Arial" w:cs="Arial"/>
      <w:b/>
      <w:bCs/>
      <w:color w:val="000000"/>
      <w:sz w:val="20"/>
      <w:szCs w:val="20"/>
      <w:lang w:val="es-ES_tradnl" w:eastAsia="es-ES"/>
    </w:rPr>
  </w:style>
  <w:style w:type="character" w:styleId="Hipervnculo">
    <w:name w:val="Hyperlink"/>
    <w:basedOn w:val="Fuentedeprrafopredeter"/>
    <w:uiPriority w:val="99"/>
    <w:rPr>
      <w:color w:val="0000FF"/>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Arial" w:hAnsi="Arial" w:cs="Arial"/>
      <w:color w:val="000000"/>
      <w:sz w:val="20"/>
      <w:szCs w:val="20"/>
      <w:lang w:val="es-ES_tradnl" w:eastAsia="es-ES"/>
    </w:rPr>
  </w:style>
  <w:style w:type="paragraph" w:styleId="Ttulo">
    <w:name w:val="Title"/>
    <w:basedOn w:val="Normal"/>
    <w:link w:val="TtuloCar"/>
    <w:uiPriority w:val="99"/>
    <w:qFormat/>
    <w:pPr>
      <w:spacing w:line="360" w:lineRule="auto"/>
      <w:jc w:val="center"/>
    </w:pPr>
    <w:rPr>
      <w:rFonts w:ascii="Arial" w:hAnsi="Arial" w:cs="Arial"/>
      <w:color w:val="auto"/>
      <w:u w:val="single"/>
      <w:lang w:val="es-UY"/>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b/>
      <w:bCs/>
      <w:color w:val="000000"/>
      <w:sz w:val="16"/>
      <w:szCs w:val="16"/>
      <w:lang w:eastAsia="es-ES"/>
    </w:rPr>
  </w:style>
  <w:style w:type="paragraph" w:styleId="Prrafodelista">
    <w:name w:val="List Paragraph"/>
    <w:basedOn w:val="Normal"/>
    <w:uiPriority w:val="34"/>
    <w:qFormat/>
    <w:rsid w:val="00151860"/>
    <w:pPr>
      <w:ind w:left="720"/>
      <w:contextualSpacing/>
    </w:pPr>
  </w:style>
  <w:style w:type="paragraph" w:styleId="Encabezado">
    <w:name w:val="header"/>
    <w:basedOn w:val="Normal"/>
    <w:link w:val="EncabezadoCar"/>
    <w:uiPriority w:val="99"/>
    <w:unhideWhenUsed/>
    <w:rsid w:val="00FD7ED9"/>
    <w:pPr>
      <w:tabs>
        <w:tab w:val="center" w:pos="4252"/>
        <w:tab w:val="right" w:pos="8504"/>
      </w:tabs>
    </w:pPr>
  </w:style>
  <w:style w:type="character" w:customStyle="1" w:styleId="EncabezadoCar">
    <w:name w:val="Encabezado Car"/>
    <w:basedOn w:val="Fuentedeprrafopredeter"/>
    <w:link w:val="Encabezado"/>
    <w:uiPriority w:val="99"/>
    <w:rsid w:val="00FD7ED9"/>
    <w:rPr>
      <w:rFonts w:ascii="GothicPS" w:hAnsi="GothicPS" w:cs="GothicPS"/>
      <w:b/>
      <w:bCs/>
      <w:color w:val="000000"/>
      <w:sz w:val="24"/>
      <w:szCs w:val="24"/>
      <w:lang w:val="es-ES" w:eastAsia="es-ES"/>
    </w:rPr>
  </w:style>
  <w:style w:type="paragraph" w:styleId="Piedepgina">
    <w:name w:val="footer"/>
    <w:basedOn w:val="Normal"/>
    <w:link w:val="PiedepginaCar"/>
    <w:uiPriority w:val="99"/>
    <w:unhideWhenUsed/>
    <w:rsid w:val="00FD7ED9"/>
    <w:pPr>
      <w:tabs>
        <w:tab w:val="center" w:pos="4252"/>
        <w:tab w:val="right" w:pos="8504"/>
      </w:tabs>
    </w:pPr>
  </w:style>
  <w:style w:type="character" w:customStyle="1" w:styleId="PiedepginaCar">
    <w:name w:val="Pie de página Car"/>
    <w:basedOn w:val="Fuentedeprrafopredeter"/>
    <w:link w:val="Piedepgina"/>
    <w:uiPriority w:val="99"/>
    <w:rsid w:val="00FD7ED9"/>
    <w:rPr>
      <w:rFonts w:ascii="GothicPS" w:hAnsi="GothicPS" w:cs="GothicPS"/>
      <w:b/>
      <w:bC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4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1215</Words>
  <Characters>6652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CARPETA N°: 2016-17-1-0007784         </vt:lpstr>
    </vt:vector>
  </TitlesOfParts>
  <Company>Tribunal de Cuentas</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2016-17-1-0007784         </dc:title>
  <dc:subject/>
  <dc:creator>Tribunal1</dc:creator>
  <cp:keywords/>
  <dc:description/>
  <cp:lastModifiedBy>Tribunal1</cp:lastModifiedBy>
  <cp:revision>16</cp:revision>
  <cp:lastPrinted>2017-02-10T17:41:00Z</cp:lastPrinted>
  <dcterms:created xsi:type="dcterms:W3CDTF">2017-02-06T16:38:00Z</dcterms:created>
  <dcterms:modified xsi:type="dcterms:W3CDTF">2017-02-10T17:41:00Z</dcterms:modified>
</cp:coreProperties>
</file>