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C9" w:rsidRPr="00786EEB" w:rsidRDefault="004B42C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209/17</w:t>
      </w:r>
    </w:p>
    <w:p w:rsidR="004B42C9" w:rsidRDefault="004B42C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B42C9" w:rsidRPr="004B42C9" w:rsidRDefault="004B42C9" w:rsidP="004B42C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B42C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B42C9" w:rsidRPr="004B42C9" w:rsidRDefault="004B42C9" w:rsidP="004B42C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B42C9" w:rsidRPr="004B42C9" w:rsidRDefault="004B42C9" w:rsidP="004B42C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B42C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B42C9" w:rsidRPr="004B42C9" w:rsidRDefault="004B42C9" w:rsidP="004B42C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B42C9" w:rsidRPr="004B42C9" w:rsidRDefault="004B42C9" w:rsidP="004B42C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B42C9">
        <w:rPr>
          <w:rFonts w:ascii="Arial" w:hAnsi="Arial" w:cs="Arial"/>
          <w:b/>
          <w:sz w:val="24"/>
          <w:szCs w:val="24"/>
          <w:lang w:val="es-ES_tradnl"/>
        </w:rPr>
        <w:t xml:space="preserve">EN SESION DE FECHA 18 DE ENERO </w:t>
      </w:r>
      <w:r w:rsidRPr="004B42C9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4B42C9" w:rsidRPr="004B42C9" w:rsidRDefault="004B42C9" w:rsidP="004B42C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B42C9" w:rsidRPr="004B42C9" w:rsidRDefault="004B42C9" w:rsidP="004B42C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4B42C9">
        <w:rPr>
          <w:rFonts w:ascii="Arial" w:hAnsi="Arial" w:cs="Arial"/>
          <w:b/>
          <w:sz w:val="24"/>
          <w:szCs w:val="24"/>
          <w:lang w:val="es-AR"/>
        </w:rPr>
        <w:t xml:space="preserve">(E. E. Nº 2016-17-1-0009007, </w:t>
      </w:r>
      <w:proofErr w:type="spellStart"/>
      <w:r w:rsidRPr="004B42C9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4B42C9">
        <w:rPr>
          <w:rFonts w:ascii="Arial" w:hAnsi="Arial" w:cs="Arial"/>
          <w:b/>
          <w:sz w:val="24"/>
          <w:szCs w:val="24"/>
          <w:lang w:val="es-AR"/>
        </w:rPr>
        <w:t>. N° 7018/16)</w:t>
      </w:r>
    </w:p>
    <w:p w:rsidR="004B42C9" w:rsidRPr="004B42C9" w:rsidRDefault="004B42C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4B42C9" w:rsidRDefault="00573F9A" w:rsidP="004B42C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remitidas por la Administración Nacional de Correos relacionadas con la Licitación Pública N° 03/2016, convocada para la contratación de una empresa de vigilancia para sus oficinas a nivel nacional;</w:t>
      </w:r>
    </w:p>
    <w:p w:rsidR="004B42C9" w:rsidRDefault="00573F9A" w:rsidP="004B42C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3F9A"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ab/>
        <w:t>1)</w:t>
      </w:r>
      <w:r w:rsidRPr="00573F9A">
        <w:rPr>
          <w:rFonts w:ascii="Arial" w:hAnsi="Arial" w:cs="Arial"/>
          <w:b/>
          <w:sz w:val="24"/>
          <w:szCs w:val="24"/>
        </w:rPr>
        <w:t xml:space="preserve"> </w:t>
      </w:r>
      <w:r w:rsidR="00693688" w:rsidRPr="00693688">
        <w:rPr>
          <w:rFonts w:ascii="Arial" w:hAnsi="Arial" w:cs="Arial"/>
          <w:sz w:val="24"/>
          <w:szCs w:val="24"/>
        </w:rPr>
        <w:t>que por Resolució</w:t>
      </w:r>
      <w:r w:rsidR="00693688">
        <w:rPr>
          <w:rFonts w:ascii="Arial" w:hAnsi="Arial" w:cs="Arial"/>
          <w:sz w:val="24"/>
          <w:szCs w:val="24"/>
        </w:rPr>
        <w:t xml:space="preserve">n N° 241/2016 de fecha 10.08.16, el Directorio aprobó el Pliego de Condiciones Particulares para el llamado de la </w:t>
      </w:r>
      <w:r w:rsidR="004B42C9">
        <w:rPr>
          <w:rFonts w:ascii="Arial" w:hAnsi="Arial" w:cs="Arial"/>
          <w:sz w:val="24"/>
          <w:szCs w:val="24"/>
        </w:rPr>
        <w:t>L</w:t>
      </w:r>
      <w:r w:rsidR="00693688">
        <w:rPr>
          <w:rFonts w:ascii="Arial" w:hAnsi="Arial" w:cs="Arial"/>
          <w:sz w:val="24"/>
          <w:szCs w:val="24"/>
        </w:rPr>
        <w:t>icitación de referencia;</w:t>
      </w:r>
    </w:p>
    <w:p w:rsidR="004B42C9" w:rsidRDefault="00693688" w:rsidP="004B42C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93688"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cumplido el requisito legal de publicidad, con fecha 31.10.16 se realizó el acto de </w:t>
      </w:r>
      <w:r w:rsidRPr="0069368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pertura de ofertas al que se presentaron las siguientes cuatro firmas: </w:t>
      </w:r>
      <w:r w:rsidRPr="00693688">
        <w:rPr>
          <w:rFonts w:ascii="Arial" w:hAnsi="Arial" w:cs="Arial"/>
          <w:sz w:val="24"/>
          <w:szCs w:val="24"/>
        </w:rPr>
        <w:t xml:space="preserve">G4S </w:t>
      </w:r>
      <w:proofErr w:type="spellStart"/>
      <w:r w:rsidRPr="00693688">
        <w:rPr>
          <w:rFonts w:ascii="Arial" w:hAnsi="Arial" w:cs="Arial"/>
          <w:sz w:val="24"/>
          <w:szCs w:val="24"/>
        </w:rPr>
        <w:t>Secure</w:t>
      </w:r>
      <w:proofErr w:type="spellEnd"/>
      <w:r w:rsidRPr="006936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3688">
        <w:rPr>
          <w:rFonts w:ascii="Arial" w:hAnsi="Arial" w:cs="Arial"/>
          <w:sz w:val="24"/>
          <w:szCs w:val="24"/>
        </w:rPr>
        <w:t>Solutions</w:t>
      </w:r>
      <w:proofErr w:type="spellEnd"/>
      <w:r w:rsidRPr="00693688">
        <w:rPr>
          <w:rFonts w:ascii="Arial" w:hAnsi="Arial" w:cs="Arial"/>
          <w:sz w:val="24"/>
          <w:szCs w:val="24"/>
        </w:rPr>
        <w:t xml:space="preserve"> Uruguay S.A</w:t>
      </w:r>
      <w:r w:rsidR="004B42C9">
        <w:rPr>
          <w:rFonts w:ascii="Arial" w:hAnsi="Arial" w:cs="Arial"/>
          <w:sz w:val="24"/>
          <w:szCs w:val="24"/>
        </w:rPr>
        <w:t xml:space="preserve">., </w:t>
      </w:r>
      <w:proofErr w:type="spellStart"/>
      <w:r w:rsidR="004B42C9">
        <w:rPr>
          <w:rFonts w:ascii="Arial" w:hAnsi="Arial" w:cs="Arial"/>
          <w:sz w:val="24"/>
          <w:szCs w:val="24"/>
        </w:rPr>
        <w:t>Securitas</w:t>
      </w:r>
      <w:proofErr w:type="spellEnd"/>
      <w:r w:rsidR="004B42C9">
        <w:rPr>
          <w:rFonts w:ascii="Arial" w:hAnsi="Arial" w:cs="Arial"/>
          <w:sz w:val="24"/>
          <w:szCs w:val="24"/>
        </w:rPr>
        <w:t xml:space="preserve"> Uruguay S.A.,</w:t>
      </w:r>
      <w:r>
        <w:rPr>
          <w:rFonts w:ascii="Arial" w:hAnsi="Arial" w:cs="Arial"/>
          <w:sz w:val="24"/>
          <w:szCs w:val="24"/>
        </w:rPr>
        <w:t xml:space="preserve"> Nueva Fron</w:t>
      </w:r>
      <w:r w:rsidR="004B42C9">
        <w:rPr>
          <w:rFonts w:ascii="Arial" w:hAnsi="Arial" w:cs="Arial"/>
          <w:sz w:val="24"/>
          <w:szCs w:val="24"/>
        </w:rPr>
        <w:t>tera  S.A.</w:t>
      </w:r>
      <w:r>
        <w:rPr>
          <w:rFonts w:ascii="Arial" w:hAnsi="Arial" w:cs="Arial"/>
          <w:sz w:val="24"/>
          <w:szCs w:val="24"/>
        </w:rPr>
        <w:t xml:space="preserve"> y Juan Manuel Varela y María Carolina Varela (</w:t>
      </w:r>
      <w:proofErr w:type="spellStart"/>
      <w:r>
        <w:rPr>
          <w:rFonts w:ascii="Arial" w:hAnsi="Arial" w:cs="Arial"/>
          <w:sz w:val="24"/>
          <w:szCs w:val="24"/>
        </w:rPr>
        <w:t>Segor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:rsidR="004B42C9" w:rsidRDefault="00693688" w:rsidP="004B42C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93688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en dicho acto se observó que </w:t>
      </w:r>
      <w:proofErr w:type="spellStart"/>
      <w:r>
        <w:rPr>
          <w:rFonts w:ascii="Arial" w:hAnsi="Arial" w:cs="Arial"/>
          <w:sz w:val="24"/>
          <w:szCs w:val="24"/>
        </w:rPr>
        <w:t>Securitas</w:t>
      </w:r>
      <w:proofErr w:type="spellEnd"/>
      <w:r>
        <w:rPr>
          <w:rFonts w:ascii="Arial" w:hAnsi="Arial" w:cs="Arial"/>
          <w:sz w:val="24"/>
          <w:szCs w:val="24"/>
        </w:rPr>
        <w:t xml:space="preserve"> Uruguay S.A</w:t>
      </w:r>
      <w:r w:rsidR="004B42C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no presentó el Anexo V (Antecedentes)</w:t>
      </w:r>
      <w:r w:rsidR="00E056CA">
        <w:rPr>
          <w:rFonts w:ascii="Arial" w:hAnsi="Arial" w:cs="Arial"/>
          <w:sz w:val="24"/>
          <w:szCs w:val="24"/>
        </w:rPr>
        <w:t xml:space="preserve"> requerido en las bases del llamado</w:t>
      </w:r>
      <w:r>
        <w:rPr>
          <w:rFonts w:ascii="Arial" w:hAnsi="Arial" w:cs="Arial"/>
          <w:sz w:val="24"/>
          <w:szCs w:val="24"/>
        </w:rPr>
        <w:t>, por lo que se le conced</w:t>
      </w:r>
      <w:r w:rsidR="00E056CA">
        <w:rPr>
          <w:rFonts w:ascii="Arial" w:hAnsi="Arial" w:cs="Arial"/>
          <w:sz w:val="24"/>
          <w:szCs w:val="24"/>
        </w:rPr>
        <w:t>ió</w:t>
      </w:r>
      <w:r>
        <w:rPr>
          <w:rFonts w:ascii="Arial" w:hAnsi="Arial" w:cs="Arial"/>
          <w:sz w:val="24"/>
          <w:szCs w:val="24"/>
        </w:rPr>
        <w:t xml:space="preserve"> un plazo d</w:t>
      </w:r>
      <w:r w:rsidR="00E056CA">
        <w:rPr>
          <w:rFonts w:ascii="Arial" w:hAnsi="Arial" w:cs="Arial"/>
          <w:sz w:val="24"/>
          <w:szCs w:val="24"/>
        </w:rPr>
        <w:t>e dos días hábiles para hacerlo; asimismo, l</w:t>
      </w:r>
      <w:r>
        <w:rPr>
          <w:rFonts w:ascii="Arial" w:hAnsi="Arial" w:cs="Arial"/>
          <w:sz w:val="24"/>
          <w:szCs w:val="24"/>
        </w:rPr>
        <w:t xml:space="preserve">a representante de G4S </w:t>
      </w:r>
      <w:proofErr w:type="spellStart"/>
      <w:r>
        <w:rPr>
          <w:rFonts w:ascii="Arial" w:hAnsi="Arial" w:cs="Arial"/>
          <w:sz w:val="24"/>
          <w:szCs w:val="24"/>
        </w:rPr>
        <w:t>Sec</w:t>
      </w:r>
      <w:r w:rsidR="00E056CA">
        <w:rPr>
          <w:rFonts w:ascii="Arial" w:hAnsi="Arial" w:cs="Arial"/>
          <w:sz w:val="24"/>
          <w:szCs w:val="24"/>
        </w:rPr>
        <w:t>ure</w:t>
      </w:r>
      <w:proofErr w:type="spellEnd"/>
      <w:r w:rsidR="00E056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56CA">
        <w:rPr>
          <w:rFonts w:ascii="Arial" w:hAnsi="Arial" w:cs="Arial"/>
          <w:sz w:val="24"/>
          <w:szCs w:val="24"/>
        </w:rPr>
        <w:t>Solutions</w:t>
      </w:r>
      <w:proofErr w:type="spellEnd"/>
      <w:r w:rsidR="00E056CA">
        <w:rPr>
          <w:rFonts w:ascii="Arial" w:hAnsi="Arial" w:cs="Arial"/>
          <w:sz w:val="24"/>
          <w:szCs w:val="24"/>
        </w:rPr>
        <w:t xml:space="preserve"> Uruguay S.A</w:t>
      </w:r>
      <w:r w:rsidR="004B42C9">
        <w:rPr>
          <w:rFonts w:ascii="Arial" w:hAnsi="Arial" w:cs="Arial"/>
          <w:sz w:val="24"/>
          <w:szCs w:val="24"/>
        </w:rPr>
        <w:t>.</w:t>
      </w:r>
      <w:r w:rsidR="00E056CA">
        <w:rPr>
          <w:rFonts w:ascii="Arial" w:hAnsi="Arial" w:cs="Arial"/>
          <w:sz w:val="24"/>
          <w:szCs w:val="24"/>
        </w:rPr>
        <w:t xml:space="preserve"> señaló</w:t>
      </w:r>
      <w:r>
        <w:rPr>
          <w:rFonts w:ascii="Arial" w:hAnsi="Arial" w:cs="Arial"/>
          <w:sz w:val="24"/>
          <w:szCs w:val="24"/>
        </w:rPr>
        <w:t xml:space="preserve"> que la fórmula paramé</w:t>
      </w:r>
      <w:r w:rsidR="00E056CA">
        <w:rPr>
          <w:rFonts w:ascii="Arial" w:hAnsi="Arial" w:cs="Arial"/>
          <w:sz w:val="24"/>
          <w:szCs w:val="24"/>
        </w:rPr>
        <w:t>trica incluida en su</w:t>
      </w:r>
      <w:r>
        <w:rPr>
          <w:rFonts w:ascii="Arial" w:hAnsi="Arial" w:cs="Arial"/>
          <w:sz w:val="24"/>
          <w:szCs w:val="24"/>
        </w:rPr>
        <w:t xml:space="preserve"> oferta </w:t>
      </w:r>
      <w:r w:rsidR="00E056CA">
        <w:rPr>
          <w:rFonts w:ascii="Arial" w:hAnsi="Arial" w:cs="Arial"/>
          <w:sz w:val="24"/>
          <w:szCs w:val="24"/>
        </w:rPr>
        <w:t>contiene</w:t>
      </w:r>
      <w:r>
        <w:rPr>
          <w:rFonts w:ascii="Arial" w:hAnsi="Arial" w:cs="Arial"/>
          <w:sz w:val="24"/>
          <w:szCs w:val="24"/>
        </w:rPr>
        <w:t xml:space="preserve"> un error de </w:t>
      </w:r>
      <w:proofErr w:type="spellStart"/>
      <w:r>
        <w:rPr>
          <w:rFonts w:ascii="Arial" w:hAnsi="Arial" w:cs="Arial"/>
          <w:sz w:val="24"/>
          <w:szCs w:val="24"/>
        </w:rPr>
        <w:t>tipeo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E056CA">
        <w:rPr>
          <w:rFonts w:ascii="Arial" w:hAnsi="Arial" w:cs="Arial"/>
          <w:sz w:val="24"/>
          <w:szCs w:val="24"/>
        </w:rPr>
        <w:t xml:space="preserve">aclarando que la misma </w:t>
      </w:r>
      <w:r>
        <w:rPr>
          <w:rFonts w:ascii="Arial" w:hAnsi="Arial" w:cs="Arial"/>
          <w:sz w:val="24"/>
          <w:szCs w:val="24"/>
        </w:rPr>
        <w:t xml:space="preserve">corresponde </w:t>
      </w:r>
      <w:r w:rsidR="00E056C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la detallada en el Plie</w:t>
      </w:r>
      <w:r w:rsidR="00E056CA">
        <w:rPr>
          <w:rFonts w:ascii="Arial" w:hAnsi="Arial" w:cs="Arial"/>
          <w:sz w:val="24"/>
          <w:szCs w:val="24"/>
        </w:rPr>
        <w:t>go de Condiciones Particulares, dej</w:t>
      </w:r>
      <w:r w:rsidR="004B42C9">
        <w:rPr>
          <w:rFonts w:ascii="Arial" w:hAnsi="Arial" w:cs="Arial"/>
          <w:sz w:val="24"/>
          <w:szCs w:val="24"/>
        </w:rPr>
        <w:t>ándose constancia en el A</w:t>
      </w:r>
      <w:r w:rsidR="00E056CA">
        <w:rPr>
          <w:rFonts w:ascii="Arial" w:hAnsi="Arial" w:cs="Arial"/>
          <w:sz w:val="24"/>
          <w:szCs w:val="24"/>
        </w:rPr>
        <w:t>cta respectiva que,</w:t>
      </w:r>
      <w:r>
        <w:rPr>
          <w:rFonts w:ascii="Arial" w:hAnsi="Arial" w:cs="Arial"/>
          <w:sz w:val="24"/>
          <w:szCs w:val="24"/>
        </w:rPr>
        <w:t xml:space="preserve"> por el solo hecho de presentar la oferta, se entiende que la firma acepta los términos y condiciones establecidas en las bases del llamado, de conformidad </w:t>
      </w:r>
      <w:r>
        <w:rPr>
          <w:rFonts w:ascii="Arial" w:hAnsi="Arial" w:cs="Arial"/>
          <w:sz w:val="24"/>
          <w:szCs w:val="24"/>
        </w:rPr>
        <w:lastRenderedPageBreak/>
        <w:t>con lo establecido en los numerales 23 y 25 del Pli</w:t>
      </w:r>
      <w:r w:rsidR="00E056CA">
        <w:rPr>
          <w:rFonts w:ascii="Arial" w:hAnsi="Arial" w:cs="Arial"/>
          <w:sz w:val="24"/>
          <w:szCs w:val="24"/>
        </w:rPr>
        <w:t>ego de Condiciones Particulares; y e</w:t>
      </w:r>
      <w:r>
        <w:rPr>
          <w:rFonts w:ascii="Arial" w:hAnsi="Arial" w:cs="Arial"/>
          <w:sz w:val="24"/>
          <w:szCs w:val="24"/>
        </w:rPr>
        <w:t xml:space="preserve">l representante de </w:t>
      </w:r>
      <w:proofErr w:type="spellStart"/>
      <w:r>
        <w:rPr>
          <w:rFonts w:ascii="Arial" w:hAnsi="Arial" w:cs="Arial"/>
          <w:sz w:val="24"/>
          <w:szCs w:val="24"/>
        </w:rPr>
        <w:t>Segor</w:t>
      </w:r>
      <w:proofErr w:type="spellEnd"/>
      <w:r>
        <w:rPr>
          <w:rFonts w:ascii="Arial" w:hAnsi="Arial" w:cs="Arial"/>
          <w:sz w:val="24"/>
          <w:szCs w:val="24"/>
        </w:rPr>
        <w:t xml:space="preserve"> observó a la oferta de G4S</w:t>
      </w:r>
      <w:r w:rsidR="004B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2DB4">
        <w:rPr>
          <w:rFonts w:ascii="Arial" w:hAnsi="Arial" w:cs="Arial"/>
          <w:sz w:val="24"/>
          <w:szCs w:val="24"/>
        </w:rPr>
        <w:t>Secure</w:t>
      </w:r>
      <w:proofErr w:type="spellEnd"/>
      <w:r w:rsidR="004B2D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2DB4">
        <w:rPr>
          <w:rFonts w:ascii="Arial" w:hAnsi="Arial" w:cs="Arial"/>
          <w:sz w:val="24"/>
          <w:szCs w:val="24"/>
        </w:rPr>
        <w:t>Solutions</w:t>
      </w:r>
      <w:proofErr w:type="spellEnd"/>
      <w:r w:rsidR="004B2DB4">
        <w:rPr>
          <w:rFonts w:ascii="Arial" w:hAnsi="Arial" w:cs="Arial"/>
          <w:sz w:val="24"/>
          <w:szCs w:val="24"/>
        </w:rPr>
        <w:t xml:space="preserve"> Uruguay S.A</w:t>
      </w:r>
      <w:r w:rsidR="004B42C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por no aclarar expresamente en qué consiste el protocolo </w:t>
      </w:r>
      <w:r w:rsidR="004B42C9">
        <w:rPr>
          <w:rFonts w:ascii="Arial" w:hAnsi="Arial" w:cs="Arial"/>
          <w:sz w:val="24"/>
          <w:szCs w:val="24"/>
        </w:rPr>
        <w:t>de respuesta solicitado, según N</w:t>
      </w:r>
      <w:r>
        <w:rPr>
          <w:rFonts w:ascii="Arial" w:hAnsi="Arial" w:cs="Arial"/>
          <w:sz w:val="24"/>
          <w:szCs w:val="24"/>
        </w:rPr>
        <w:t>umeral 10 del Plie</w:t>
      </w:r>
      <w:r w:rsidR="00E056CA">
        <w:rPr>
          <w:rFonts w:ascii="Arial" w:hAnsi="Arial" w:cs="Arial"/>
          <w:sz w:val="24"/>
          <w:szCs w:val="24"/>
        </w:rPr>
        <w:t>go de Condiciones Particulares;</w:t>
      </w:r>
    </w:p>
    <w:p w:rsidR="004B42C9" w:rsidRDefault="00E056CA" w:rsidP="004B42C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056CA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485EC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dentro del plazo concedido por la Administración, con fecha 01.11.16 </w:t>
      </w:r>
      <w:proofErr w:type="spellStart"/>
      <w:r>
        <w:rPr>
          <w:rFonts w:ascii="Arial" w:hAnsi="Arial" w:cs="Arial"/>
          <w:sz w:val="24"/>
          <w:szCs w:val="24"/>
        </w:rPr>
        <w:t>Securitas</w:t>
      </w:r>
      <w:proofErr w:type="spellEnd"/>
      <w:r>
        <w:rPr>
          <w:rFonts w:ascii="Arial" w:hAnsi="Arial" w:cs="Arial"/>
          <w:sz w:val="24"/>
          <w:szCs w:val="24"/>
        </w:rPr>
        <w:t xml:space="preserve"> Uruguay S.A</w:t>
      </w:r>
      <w:r w:rsidR="004B42C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presentó la información solicitada en el acto de apertura;</w:t>
      </w:r>
    </w:p>
    <w:p w:rsidR="004B42C9" w:rsidRDefault="004B2DB4" w:rsidP="004B42C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B2DB4"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 xml:space="preserve">que con fecha 21.11.16 la Administración solicitó </w:t>
      </w:r>
      <w:r w:rsidR="00F17188">
        <w:rPr>
          <w:rFonts w:ascii="Arial" w:hAnsi="Arial" w:cs="Arial"/>
          <w:sz w:val="24"/>
          <w:szCs w:val="24"/>
        </w:rPr>
        <w:t xml:space="preserve">información </w:t>
      </w:r>
      <w:r>
        <w:rPr>
          <w:rFonts w:ascii="Arial" w:hAnsi="Arial" w:cs="Arial"/>
          <w:sz w:val="24"/>
          <w:szCs w:val="24"/>
        </w:rPr>
        <w:t xml:space="preserve">a G4S </w:t>
      </w:r>
      <w:proofErr w:type="spellStart"/>
      <w:r>
        <w:rPr>
          <w:rFonts w:ascii="Arial" w:hAnsi="Arial" w:cs="Arial"/>
          <w:sz w:val="24"/>
          <w:szCs w:val="24"/>
        </w:rPr>
        <w:t>Secure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Solutions</w:t>
      </w:r>
      <w:proofErr w:type="spellEnd"/>
      <w:r>
        <w:rPr>
          <w:rFonts w:ascii="Arial" w:hAnsi="Arial" w:cs="Arial"/>
          <w:sz w:val="24"/>
          <w:szCs w:val="24"/>
        </w:rPr>
        <w:t xml:space="preserve"> Uruguay S.A</w:t>
      </w:r>
      <w:r w:rsidR="004B42C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17188">
        <w:rPr>
          <w:rFonts w:ascii="Arial" w:hAnsi="Arial" w:cs="Arial"/>
          <w:sz w:val="24"/>
          <w:szCs w:val="24"/>
        </w:rPr>
        <w:t xml:space="preserve">respecto del </w:t>
      </w:r>
      <w:r>
        <w:rPr>
          <w:rFonts w:ascii="Arial" w:hAnsi="Arial" w:cs="Arial"/>
          <w:sz w:val="24"/>
          <w:szCs w:val="24"/>
        </w:rPr>
        <w:t xml:space="preserve">protocolo de respuesta </w:t>
      </w:r>
      <w:r w:rsidR="00F17188">
        <w:rPr>
          <w:rFonts w:ascii="Arial" w:hAnsi="Arial" w:cs="Arial"/>
          <w:sz w:val="24"/>
          <w:szCs w:val="24"/>
        </w:rPr>
        <w:t>del pulsador de pánico cotizado, otorgándole un plazo de dos días hábiles, presentando la referida firma el instructivo respectivo el 22.11.16;</w:t>
      </w:r>
    </w:p>
    <w:p w:rsidR="00485ECB" w:rsidRPr="00A45A57" w:rsidRDefault="004B2DB4" w:rsidP="004B42C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E056CA" w:rsidRPr="00E056CA">
        <w:rPr>
          <w:rFonts w:ascii="Arial" w:hAnsi="Arial" w:cs="Arial"/>
          <w:b/>
          <w:sz w:val="24"/>
          <w:szCs w:val="24"/>
        </w:rPr>
        <w:t>)</w:t>
      </w:r>
      <w:r w:rsidR="00485ECB">
        <w:rPr>
          <w:rFonts w:ascii="Arial" w:hAnsi="Arial" w:cs="Arial"/>
          <w:b/>
          <w:sz w:val="24"/>
          <w:szCs w:val="24"/>
        </w:rPr>
        <w:t xml:space="preserve"> </w:t>
      </w:r>
      <w:r w:rsidR="00485ECB" w:rsidRPr="00485ECB">
        <w:rPr>
          <w:rFonts w:ascii="Arial" w:hAnsi="Arial" w:cs="Arial"/>
          <w:sz w:val="24"/>
          <w:szCs w:val="24"/>
        </w:rPr>
        <w:t>que con fecha 02.12.16 se realizó un informe técnico de las</w:t>
      </w:r>
      <w:r w:rsidR="004B42C9">
        <w:rPr>
          <w:rFonts w:ascii="Arial" w:hAnsi="Arial" w:cs="Arial"/>
          <w:sz w:val="24"/>
          <w:szCs w:val="24"/>
        </w:rPr>
        <w:t xml:space="preserve"> ofertas recibidas, de acuerdo con el</w:t>
      </w:r>
      <w:r w:rsidR="00485ECB" w:rsidRPr="00485ECB">
        <w:rPr>
          <w:rFonts w:ascii="Arial" w:hAnsi="Arial" w:cs="Arial"/>
          <w:sz w:val="24"/>
          <w:szCs w:val="24"/>
        </w:rPr>
        <w:t xml:space="preserve"> cual </w:t>
      </w:r>
      <w:r w:rsidR="00485ECB">
        <w:rPr>
          <w:rFonts w:ascii="Arial" w:hAnsi="Arial" w:cs="Arial"/>
          <w:sz w:val="24"/>
          <w:szCs w:val="24"/>
        </w:rPr>
        <w:t>éstas</w:t>
      </w:r>
      <w:r w:rsidR="00485ECB" w:rsidRPr="00485ECB">
        <w:rPr>
          <w:rFonts w:ascii="Arial" w:hAnsi="Arial" w:cs="Arial"/>
          <w:sz w:val="24"/>
          <w:szCs w:val="24"/>
        </w:rPr>
        <w:t xml:space="preserve"> fueron evaluadas y puntuadas</w:t>
      </w:r>
      <w:r w:rsidR="00485ECB">
        <w:rPr>
          <w:rFonts w:ascii="Arial" w:hAnsi="Arial" w:cs="Arial"/>
          <w:sz w:val="24"/>
          <w:szCs w:val="24"/>
        </w:rPr>
        <w:t xml:space="preserve"> </w:t>
      </w:r>
      <w:r w:rsidR="00A9029D">
        <w:rPr>
          <w:rFonts w:ascii="Arial" w:hAnsi="Arial" w:cs="Arial"/>
          <w:sz w:val="24"/>
          <w:szCs w:val="24"/>
        </w:rPr>
        <w:t>de conformidad con</w:t>
      </w:r>
      <w:r w:rsidR="004B42C9">
        <w:rPr>
          <w:rFonts w:ascii="Arial" w:hAnsi="Arial" w:cs="Arial"/>
          <w:sz w:val="24"/>
          <w:szCs w:val="24"/>
        </w:rPr>
        <w:t xml:space="preserve"> los factores previstos en el N</w:t>
      </w:r>
      <w:r w:rsidR="00485ECB">
        <w:rPr>
          <w:rFonts w:ascii="Arial" w:hAnsi="Arial" w:cs="Arial"/>
          <w:sz w:val="24"/>
          <w:szCs w:val="24"/>
        </w:rPr>
        <w:t>umeral 12 del Pliego de Condiciones Particulares: antecedentes, capacidad técnica del personal superior y precio, confeccionándose el siguiente cuadro comparativo:</w:t>
      </w:r>
    </w:p>
    <w:tbl>
      <w:tblPr>
        <w:tblStyle w:val="Tablaconcuadrcula"/>
        <w:tblW w:w="8222" w:type="dxa"/>
        <w:tblInd w:w="108" w:type="dxa"/>
        <w:tblLook w:val="04A0" w:firstRow="1" w:lastRow="0" w:firstColumn="1" w:lastColumn="0" w:noHBand="0" w:noVBand="1"/>
      </w:tblPr>
      <w:tblGrid>
        <w:gridCol w:w="2229"/>
        <w:gridCol w:w="1154"/>
        <w:gridCol w:w="1850"/>
        <w:gridCol w:w="1571"/>
        <w:gridCol w:w="1418"/>
      </w:tblGrid>
      <w:tr w:rsidR="00485ECB" w:rsidTr="00A96AFE">
        <w:trPr>
          <w:trHeight w:val="471"/>
        </w:trPr>
        <w:tc>
          <w:tcPr>
            <w:tcW w:w="2229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PRECIO</w:t>
            </w:r>
          </w:p>
        </w:tc>
        <w:tc>
          <w:tcPr>
            <w:tcW w:w="1850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ANTECEDENTES</w:t>
            </w:r>
          </w:p>
        </w:tc>
        <w:tc>
          <w:tcPr>
            <w:tcW w:w="1571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FORMACIÓN SUPERIOR</w:t>
            </w:r>
          </w:p>
        </w:tc>
        <w:tc>
          <w:tcPr>
            <w:tcW w:w="1418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485ECB" w:rsidTr="00A96AFE">
        <w:trPr>
          <w:trHeight w:val="450"/>
        </w:trPr>
        <w:tc>
          <w:tcPr>
            <w:tcW w:w="2229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Segor</w:t>
            </w:r>
            <w:proofErr w:type="spellEnd"/>
          </w:p>
        </w:tc>
        <w:tc>
          <w:tcPr>
            <w:tcW w:w="1154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850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12,35</w:t>
            </w:r>
          </w:p>
        </w:tc>
        <w:tc>
          <w:tcPr>
            <w:tcW w:w="1571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97,35</w:t>
            </w:r>
          </w:p>
        </w:tc>
      </w:tr>
      <w:tr w:rsidR="00485ECB" w:rsidTr="00A96AFE">
        <w:trPr>
          <w:trHeight w:val="471"/>
        </w:trPr>
        <w:tc>
          <w:tcPr>
            <w:tcW w:w="2229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G4S</w:t>
            </w:r>
          </w:p>
        </w:tc>
        <w:tc>
          <w:tcPr>
            <w:tcW w:w="1154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73,96</w:t>
            </w:r>
          </w:p>
        </w:tc>
        <w:tc>
          <w:tcPr>
            <w:tcW w:w="1850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12,9</w:t>
            </w:r>
          </w:p>
        </w:tc>
        <w:tc>
          <w:tcPr>
            <w:tcW w:w="1571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91,86</w:t>
            </w:r>
          </w:p>
        </w:tc>
      </w:tr>
      <w:tr w:rsidR="00485ECB" w:rsidTr="00A96AFE">
        <w:trPr>
          <w:trHeight w:val="471"/>
        </w:trPr>
        <w:tc>
          <w:tcPr>
            <w:tcW w:w="2229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Nueva Frontera S.A</w:t>
            </w:r>
          </w:p>
        </w:tc>
        <w:tc>
          <w:tcPr>
            <w:tcW w:w="1154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76,82</w:t>
            </w:r>
          </w:p>
        </w:tc>
        <w:tc>
          <w:tcPr>
            <w:tcW w:w="1850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</w:t>
            </w:r>
          </w:p>
        </w:tc>
        <w:tc>
          <w:tcPr>
            <w:tcW w:w="1571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91,42</w:t>
            </w:r>
          </w:p>
        </w:tc>
      </w:tr>
      <w:tr w:rsidR="00485ECB" w:rsidTr="00A96AFE">
        <w:trPr>
          <w:trHeight w:val="471"/>
        </w:trPr>
        <w:tc>
          <w:tcPr>
            <w:tcW w:w="2229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Securitas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Uruguay S.A</w:t>
            </w:r>
          </w:p>
        </w:tc>
        <w:tc>
          <w:tcPr>
            <w:tcW w:w="1154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66,27</w:t>
            </w:r>
          </w:p>
        </w:tc>
        <w:tc>
          <w:tcPr>
            <w:tcW w:w="1850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12,15</w:t>
            </w:r>
          </w:p>
        </w:tc>
        <w:tc>
          <w:tcPr>
            <w:tcW w:w="1571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485ECB" w:rsidRPr="001621FB" w:rsidRDefault="00485ECB" w:rsidP="00485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83,42</w:t>
            </w:r>
          </w:p>
        </w:tc>
      </w:tr>
    </w:tbl>
    <w:p w:rsidR="00485ECB" w:rsidRDefault="00485ECB" w:rsidP="00485EC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96AFE" w:rsidRDefault="00E81477" w:rsidP="00A96AF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485ECB">
        <w:rPr>
          <w:rFonts w:ascii="Arial" w:hAnsi="Arial" w:cs="Arial"/>
          <w:b/>
          <w:sz w:val="24"/>
          <w:szCs w:val="24"/>
        </w:rPr>
        <w:t xml:space="preserve">) </w:t>
      </w:r>
      <w:r w:rsidR="00EA19E3">
        <w:rPr>
          <w:rFonts w:ascii="Arial" w:hAnsi="Arial" w:cs="Arial"/>
          <w:sz w:val="24"/>
          <w:szCs w:val="24"/>
        </w:rPr>
        <w:t xml:space="preserve">que, </w:t>
      </w:r>
      <w:r w:rsidR="00485ECB">
        <w:rPr>
          <w:rFonts w:ascii="Arial" w:hAnsi="Arial" w:cs="Arial"/>
          <w:sz w:val="24"/>
          <w:szCs w:val="24"/>
        </w:rPr>
        <w:t>de conformidad con lo informado por la oficina técnica, con fecha 06.12.16 la Comisión Asesora de Adjudic</w:t>
      </w:r>
      <w:r w:rsidR="00A96AFE">
        <w:rPr>
          <w:rFonts w:ascii="Arial" w:hAnsi="Arial" w:cs="Arial"/>
          <w:sz w:val="24"/>
          <w:szCs w:val="24"/>
        </w:rPr>
        <w:t>aciones recomendó adjudicar la L</w:t>
      </w:r>
      <w:r w:rsidR="00485ECB">
        <w:rPr>
          <w:rFonts w:ascii="Arial" w:hAnsi="Arial" w:cs="Arial"/>
          <w:sz w:val="24"/>
          <w:szCs w:val="24"/>
        </w:rPr>
        <w:t xml:space="preserve">icitación de referencia a Juan Manuel Varela y María </w:t>
      </w:r>
      <w:r w:rsidR="00485ECB">
        <w:rPr>
          <w:rFonts w:ascii="Arial" w:hAnsi="Arial" w:cs="Arial"/>
          <w:sz w:val="24"/>
          <w:szCs w:val="24"/>
        </w:rPr>
        <w:lastRenderedPageBreak/>
        <w:t>Carolina Varela (</w:t>
      </w:r>
      <w:proofErr w:type="spellStart"/>
      <w:r w:rsidR="00485ECB">
        <w:rPr>
          <w:rFonts w:ascii="Arial" w:hAnsi="Arial" w:cs="Arial"/>
          <w:sz w:val="24"/>
          <w:szCs w:val="24"/>
        </w:rPr>
        <w:t>Segor</w:t>
      </w:r>
      <w:proofErr w:type="spellEnd"/>
      <w:r w:rsidR="00485ECB">
        <w:rPr>
          <w:rFonts w:ascii="Arial" w:hAnsi="Arial" w:cs="Arial"/>
          <w:sz w:val="24"/>
          <w:szCs w:val="24"/>
        </w:rPr>
        <w:t>), por haber obtenido la mejor calificación, de acuerdo</w:t>
      </w:r>
      <w:r w:rsidR="00A96AFE">
        <w:rPr>
          <w:rFonts w:ascii="Arial" w:hAnsi="Arial" w:cs="Arial"/>
          <w:sz w:val="24"/>
          <w:szCs w:val="24"/>
        </w:rPr>
        <w:t xml:space="preserve"> con el</w:t>
      </w:r>
      <w:r w:rsidR="00EA19E3">
        <w:rPr>
          <w:rFonts w:ascii="Arial" w:hAnsi="Arial" w:cs="Arial"/>
          <w:sz w:val="24"/>
          <w:szCs w:val="24"/>
        </w:rPr>
        <w:t xml:space="preserve"> siguiente detalle: precio valor hora con arma: $ 236,68 IVA incluido; precio valor hora sin arma: $</w:t>
      </w:r>
      <w:r w:rsidR="00A96AFE">
        <w:rPr>
          <w:rFonts w:ascii="Arial" w:hAnsi="Arial" w:cs="Arial"/>
          <w:sz w:val="24"/>
          <w:szCs w:val="24"/>
        </w:rPr>
        <w:t xml:space="preserve"> </w:t>
      </w:r>
      <w:r w:rsidR="00EA19E3">
        <w:rPr>
          <w:rFonts w:ascii="Arial" w:hAnsi="Arial" w:cs="Arial"/>
          <w:sz w:val="24"/>
          <w:szCs w:val="24"/>
        </w:rPr>
        <w:t>212,28 IVA incluido;</w:t>
      </w:r>
    </w:p>
    <w:p w:rsidR="00A96AFE" w:rsidRDefault="00E81477" w:rsidP="00A96AF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EA19E3" w:rsidRPr="00EA19E3">
        <w:rPr>
          <w:rFonts w:ascii="Arial" w:hAnsi="Arial" w:cs="Arial"/>
          <w:b/>
          <w:sz w:val="24"/>
          <w:szCs w:val="24"/>
        </w:rPr>
        <w:t>)</w:t>
      </w:r>
      <w:r w:rsidR="00EA19E3">
        <w:rPr>
          <w:rFonts w:ascii="Arial" w:hAnsi="Arial" w:cs="Arial"/>
          <w:b/>
          <w:sz w:val="24"/>
          <w:szCs w:val="24"/>
        </w:rPr>
        <w:t xml:space="preserve"> </w:t>
      </w:r>
      <w:r w:rsidR="00EA19E3">
        <w:rPr>
          <w:rFonts w:ascii="Arial" w:hAnsi="Arial" w:cs="Arial"/>
          <w:sz w:val="24"/>
          <w:szCs w:val="24"/>
        </w:rPr>
        <w:t>que por Resolución N° 379/2016 de fecha 07.12.16, el Directorio puso de manifies</w:t>
      </w:r>
      <w:r w:rsidR="00A96AFE">
        <w:rPr>
          <w:rFonts w:ascii="Arial" w:hAnsi="Arial" w:cs="Arial"/>
          <w:sz w:val="24"/>
          <w:szCs w:val="24"/>
        </w:rPr>
        <w:t>to los recaudos de la presente L</w:t>
      </w:r>
      <w:r w:rsidR="00EA19E3">
        <w:rPr>
          <w:rFonts w:ascii="Arial" w:hAnsi="Arial" w:cs="Arial"/>
          <w:sz w:val="24"/>
          <w:szCs w:val="24"/>
        </w:rPr>
        <w:t>icitación por el término de 5 días hábiles, no recibiéndose observaciones por los oferentes;</w:t>
      </w:r>
    </w:p>
    <w:p w:rsidR="00A96AFE" w:rsidRDefault="00E81477" w:rsidP="00A96AF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EA19E3" w:rsidRPr="00EA19E3">
        <w:rPr>
          <w:rFonts w:ascii="Arial" w:hAnsi="Arial" w:cs="Arial"/>
          <w:b/>
          <w:sz w:val="24"/>
          <w:szCs w:val="24"/>
        </w:rPr>
        <w:t>)</w:t>
      </w:r>
      <w:r w:rsidR="00EA19E3">
        <w:rPr>
          <w:rFonts w:ascii="Arial" w:hAnsi="Arial" w:cs="Arial"/>
          <w:sz w:val="24"/>
          <w:szCs w:val="24"/>
        </w:rPr>
        <w:t xml:space="preserve"> que por </w:t>
      </w:r>
      <w:r w:rsidR="00EA19E3" w:rsidRPr="00EA19E3">
        <w:rPr>
          <w:rFonts w:ascii="Arial" w:hAnsi="Arial" w:cs="Arial"/>
          <w:sz w:val="24"/>
          <w:szCs w:val="24"/>
        </w:rPr>
        <w:t>Resolución N° 406/2016 de fecha 20.12</w:t>
      </w:r>
      <w:r w:rsidR="00A96AFE">
        <w:rPr>
          <w:rFonts w:ascii="Arial" w:hAnsi="Arial" w:cs="Arial"/>
          <w:sz w:val="24"/>
          <w:szCs w:val="24"/>
        </w:rPr>
        <w:t>.16, el Directorio adjudicó la L</w:t>
      </w:r>
      <w:r w:rsidR="00EA19E3" w:rsidRPr="00EA19E3">
        <w:rPr>
          <w:rFonts w:ascii="Arial" w:hAnsi="Arial" w:cs="Arial"/>
          <w:sz w:val="24"/>
          <w:szCs w:val="24"/>
        </w:rPr>
        <w:t>icitación de referencia en la forma recomendada por la Comisión Asesora de Adjudicaciones</w:t>
      </w:r>
      <w:r w:rsidR="00A96AFE">
        <w:rPr>
          <w:rFonts w:ascii="Arial" w:hAnsi="Arial" w:cs="Arial"/>
          <w:sz w:val="24"/>
          <w:szCs w:val="24"/>
        </w:rPr>
        <w:t>;</w:t>
      </w:r>
    </w:p>
    <w:p w:rsidR="00EA19E3" w:rsidRDefault="00A9029D" w:rsidP="00A96AF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9029D">
        <w:rPr>
          <w:rFonts w:ascii="Arial" w:hAnsi="Arial" w:cs="Arial"/>
          <w:b/>
          <w:sz w:val="24"/>
          <w:szCs w:val="24"/>
        </w:rPr>
        <w:t>10)</w:t>
      </w:r>
      <w:r>
        <w:rPr>
          <w:rFonts w:ascii="Arial" w:hAnsi="Arial" w:cs="Arial"/>
          <w:sz w:val="24"/>
          <w:szCs w:val="24"/>
        </w:rPr>
        <w:t xml:space="preserve"> que </w:t>
      </w:r>
      <w:r w:rsidR="008232B7">
        <w:rPr>
          <w:rFonts w:ascii="Arial" w:hAnsi="Arial" w:cs="Arial"/>
          <w:sz w:val="24"/>
          <w:szCs w:val="24"/>
        </w:rPr>
        <w:t>no surg</w:t>
      </w:r>
      <w:r>
        <w:rPr>
          <w:rFonts w:ascii="Arial" w:hAnsi="Arial" w:cs="Arial"/>
          <w:sz w:val="24"/>
          <w:szCs w:val="24"/>
        </w:rPr>
        <w:t>e</w:t>
      </w:r>
      <w:r w:rsidR="008232B7">
        <w:rPr>
          <w:rFonts w:ascii="Arial" w:hAnsi="Arial" w:cs="Arial"/>
          <w:sz w:val="24"/>
          <w:szCs w:val="24"/>
        </w:rPr>
        <w:t xml:space="preserve"> de las actuaciones informe </w:t>
      </w:r>
      <w:r w:rsidR="00E01FE8">
        <w:rPr>
          <w:rFonts w:ascii="Arial" w:hAnsi="Arial" w:cs="Arial"/>
          <w:sz w:val="24"/>
          <w:szCs w:val="24"/>
        </w:rPr>
        <w:t xml:space="preserve">respecto a la existencia de </w:t>
      </w:r>
      <w:r w:rsidR="008232B7">
        <w:rPr>
          <w:rFonts w:ascii="Arial" w:hAnsi="Arial" w:cs="Arial"/>
          <w:sz w:val="24"/>
          <w:szCs w:val="24"/>
        </w:rPr>
        <w:t>disponibilidad presupuestal para</w:t>
      </w:r>
      <w:r w:rsidR="001A4D93">
        <w:rPr>
          <w:rFonts w:ascii="Arial" w:hAnsi="Arial" w:cs="Arial"/>
          <w:sz w:val="24"/>
          <w:szCs w:val="24"/>
        </w:rPr>
        <w:t xml:space="preserve"> atender el presente gasto</w:t>
      </w:r>
      <w:r w:rsidR="00EA19E3" w:rsidRPr="00EA19E3">
        <w:rPr>
          <w:rFonts w:ascii="Arial" w:hAnsi="Arial" w:cs="Arial"/>
          <w:sz w:val="24"/>
          <w:szCs w:val="24"/>
        </w:rPr>
        <w:t>;</w:t>
      </w:r>
    </w:p>
    <w:p w:rsidR="00A96AFE" w:rsidRDefault="008232B7" w:rsidP="00A96AF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232B7">
        <w:rPr>
          <w:rFonts w:ascii="Arial" w:hAnsi="Arial" w:cs="Arial"/>
          <w:b/>
          <w:sz w:val="24"/>
          <w:szCs w:val="24"/>
        </w:rPr>
        <w:t>CONSIDERANDO:</w:t>
      </w:r>
      <w:r w:rsidR="00A96AFE">
        <w:rPr>
          <w:rFonts w:ascii="Arial" w:hAnsi="Arial" w:cs="Arial"/>
          <w:b/>
          <w:sz w:val="24"/>
          <w:szCs w:val="24"/>
        </w:rPr>
        <w:t xml:space="preserve"> </w:t>
      </w:r>
      <w:r w:rsidR="00BA78A5">
        <w:rPr>
          <w:rFonts w:ascii="Arial" w:hAnsi="Arial" w:cs="Arial"/>
          <w:b/>
          <w:sz w:val="24"/>
          <w:szCs w:val="24"/>
        </w:rPr>
        <w:t>1</w:t>
      </w:r>
      <w:r w:rsidR="00CC3AF5" w:rsidRPr="00CC3AF5">
        <w:rPr>
          <w:rFonts w:ascii="Arial" w:hAnsi="Arial" w:cs="Arial"/>
          <w:b/>
          <w:sz w:val="24"/>
          <w:szCs w:val="24"/>
        </w:rPr>
        <w:t>)</w:t>
      </w:r>
      <w:r w:rsidR="00A96AFE">
        <w:rPr>
          <w:rFonts w:ascii="Arial" w:hAnsi="Arial" w:cs="Arial"/>
          <w:sz w:val="24"/>
          <w:szCs w:val="24"/>
        </w:rPr>
        <w:t xml:space="preserve"> que el A</w:t>
      </w:r>
      <w:r w:rsidR="00CC3AF5">
        <w:rPr>
          <w:rFonts w:ascii="Arial" w:hAnsi="Arial" w:cs="Arial"/>
          <w:sz w:val="24"/>
          <w:szCs w:val="24"/>
        </w:rPr>
        <w:t>rt</w:t>
      </w:r>
      <w:r w:rsidR="00A96AFE">
        <w:rPr>
          <w:rFonts w:ascii="Arial" w:hAnsi="Arial" w:cs="Arial"/>
          <w:sz w:val="24"/>
          <w:szCs w:val="24"/>
        </w:rPr>
        <w:t>ículo</w:t>
      </w:r>
      <w:r w:rsidR="00CC3AF5">
        <w:rPr>
          <w:rFonts w:ascii="Arial" w:hAnsi="Arial" w:cs="Arial"/>
          <w:sz w:val="24"/>
          <w:szCs w:val="24"/>
        </w:rPr>
        <w:t xml:space="preserve"> 65 del TOCAF permite que la Administración otorgue a los oferentes un plazo de dos días hábiles “para salvar los defectos, carencias formales o errores evi</w:t>
      </w:r>
      <w:r w:rsidR="00A96AFE">
        <w:rPr>
          <w:rFonts w:ascii="Arial" w:hAnsi="Arial" w:cs="Arial"/>
          <w:sz w:val="24"/>
          <w:szCs w:val="24"/>
        </w:rPr>
        <w:t>dentes o de escasa importancia”;</w:t>
      </w:r>
    </w:p>
    <w:p w:rsidR="00CC3AF5" w:rsidRDefault="00BA78A5" w:rsidP="00A96AFE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CC3AF5" w:rsidRPr="00CC3AF5">
        <w:rPr>
          <w:rFonts w:ascii="Arial" w:hAnsi="Arial" w:cs="Arial"/>
          <w:b/>
          <w:sz w:val="24"/>
          <w:szCs w:val="24"/>
        </w:rPr>
        <w:t>)</w:t>
      </w:r>
      <w:r w:rsidR="00CC3AF5" w:rsidRPr="00CC3AF5">
        <w:rPr>
          <w:rFonts w:ascii="Arial" w:hAnsi="Arial" w:cs="Arial"/>
          <w:sz w:val="24"/>
          <w:szCs w:val="24"/>
        </w:rPr>
        <w:t xml:space="preserve"> </w:t>
      </w:r>
      <w:r w:rsidR="00CC3AF5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la omisión de la empresa </w:t>
      </w:r>
      <w:proofErr w:type="spellStart"/>
      <w:r>
        <w:rPr>
          <w:rFonts w:ascii="Arial" w:hAnsi="Arial" w:cs="Arial"/>
          <w:sz w:val="24"/>
          <w:szCs w:val="24"/>
        </w:rPr>
        <w:t>Securitas</w:t>
      </w:r>
      <w:proofErr w:type="spellEnd"/>
      <w:r>
        <w:rPr>
          <w:rFonts w:ascii="Arial" w:hAnsi="Arial" w:cs="Arial"/>
          <w:sz w:val="24"/>
          <w:szCs w:val="24"/>
        </w:rPr>
        <w:t>, al</w:t>
      </w:r>
      <w:r w:rsidR="00CC3AF5">
        <w:rPr>
          <w:rFonts w:ascii="Arial" w:hAnsi="Arial" w:cs="Arial"/>
          <w:sz w:val="24"/>
          <w:szCs w:val="24"/>
        </w:rPr>
        <w:t xml:space="preserve"> no cumplir con la presentación de los Antecedentes exigidos por el Pliego, no configura nin</w:t>
      </w:r>
      <w:r w:rsidR="00A96AFE">
        <w:rPr>
          <w:rFonts w:ascii="Arial" w:hAnsi="Arial" w:cs="Arial"/>
          <w:sz w:val="24"/>
          <w:szCs w:val="24"/>
        </w:rPr>
        <w:t>guna de las hipótesis de dicho A</w:t>
      </w:r>
      <w:r w:rsidR="00CC3AF5">
        <w:rPr>
          <w:rFonts w:ascii="Arial" w:hAnsi="Arial" w:cs="Arial"/>
          <w:sz w:val="24"/>
          <w:szCs w:val="24"/>
        </w:rPr>
        <w:t xml:space="preserve">rtículo, </w:t>
      </w:r>
      <w:r>
        <w:rPr>
          <w:rFonts w:ascii="Arial" w:hAnsi="Arial" w:cs="Arial"/>
          <w:sz w:val="24"/>
          <w:szCs w:val="24"/>
        </w:rPr>
        <w:t>por lo que no debió concedérsele el plazo para</w:t>
      </w:r>
      <w:r w:rsidR="00533EB9">
        <w:rPr>
          <w:rFonts w:ascii="Arial" w:hAnsi="Arial" w:cs="Arial"/>
          <w:sz w:val="24"/>
          <w:szCs w:val="24"/>
        </w:rPr>
        <w:t xml:space="preserve"> presentarlos, </w:t>
      </w:r>
      <w:r w:rsidR="00CC3AF5">
        <w:rPr>
          <w:rFonts w:ascii="Arial" w:hAnsi="Arial" w:cs="Arial"/>
          <w:sz w:val="24"/>
          <w:szCs w:val="24"/>
        </w:rPr>
        <w:t>máxime cuando los mismos son considerados en la etapa de evaluación de las ofertas lo que violentó asimismo el principio de igualdad de l</w:t>
      </w:r>
      <w:r w:rsidR="00A96AFE">
        <w:rPr>
          <w:rFonts w:ascii="Arial" w:hAnsi="Arial" w:cs="Arial"/>
          <w:sz w:val="24"/>
          <w:szCs w:val="24"/>
        </w:rPr>
        <w:t>os oferentes consagrado por el A</w:t>
      </w:r>
      <w:r w:rsidR="00CC3AF5">
        <w:rPr>
          <w:rFonts w:ascii="Arial" w:hAnsi="Arial" w:cs="Arial"/>
          <w:sz w:val="24"/>
          <w:szCs w:val="24"/>
        </w:rPr>
        <w:t>rt</w:t>
      </w:r>
      <w:r w:rsidR="00A96AFE">
        <w:rPr>
          <w:rFonts w:ascii="Arial" w:hAnsi="Arial" w:cs="Arial"/>
          <w:sz w:val="24"/>
          <w:szCs w:val="24"/>
        </w:rPr>
        <w:t>ículo</w:t>
      </w:r>
      <w:r w:rsidR="00CC3AF5">
        <w:rPr>
          <w:rFonts w:ascii="Arial" w:hAnsi="Arial" w:cs="Arial"/>
          <w:sz w:val="24"/>
          <w:szCs w:val="24"/>
        </w:rPr>
        <w:t xml:space="preserve"> 149 del TOCAF; </w:t>
      </w:r>
    </w:p>
    <w:p w:rsidR="008232B7" w:rsidRPr="00BA6B82" w:rsidRDefault="008232B7" w:rsidP="00A96AF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BA6B82">
        <w:rPr>
          <w:rFonts w:ascii="Arial" w:eastAsia="Times New Roman" w:hAnsi="Arial" w:cs="Arial"/>
          <w:b/>
          <w:bCs/>
          <w:sz w:val="24"/>
          <w:szCs w:val="20"/>
          <w:lang w:val="es-ES" w:eastAsia="es-ES"/>
        </w:rPr>
        <w:t xml:space="preserve">ATENTO: </w:t>
      </w:r>
      <w:r w:rsidRPr="00BA6B82">
        <w:rPr>
          <w:rFonts w:ascii="Arial" w:eastAsia="Times New Roman" w:hAnsi="Arial" w:cs="Arial"/>
          <w:sz w:val="24"/>
          <w:szCs w:val="20"/>
          <w:lang w:val="es-ES" w:eastAsia="es-ES"/>
        </w:rPr>
        <w:t>a lo exp</w:t>
      </w:r>
      <w:r w:rsidR="00A96AFE">
        <w:rPr>
          <w:rFonts w:ascii="Arial" w:eastAsia="Times New Roman" w:hAnsi="Arial" w:cs="Arial"/>
          <w:sz w:val="24"/>
          <w:szCs w:val="20"/>
          <w:lang w:val="es-ES" w:eastAsia="es-ES"/>
        </w:rPr>
        <w:t>uesto y a lo dispuesto por el  Artículo 211 L</w:t>
      </w:r>
      <w:r w:rsidRPr="00BA6B82">
        <w:rPr>
          <w:rFonts w:ascii="Arial" w:eastAsia="Times New Roman" w:hAnsi="Arial" w:cs="Arial"/>
          <w:sz w:val="24"/>
          <w:szCs w:val="20"/>
          <w:lang w:val="es-ES" w:eastAsia="es-ES"/>
        </w:rPr>
        <w:t>iteral B) de la Constitución de la República;</w:t>
      </w:r>
    </w:p>
    <w:p w:rsidR="00A96AFE" w:rsidRDefault="00A96AFE" w:rsidP="00A96AF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</w:pPr>
    </w:p>
    <w:p w:rsidR="008232B7" w:rsidRPr="00BA6B82" w:rsidRDefault="008232B7" w:rsidP="00A96AF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</w:pPr>
      <w:r w:rsidRPr="00BA6B8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EL TRIBUNAL ACUERDA</w:t>
      </w:r>
    </w:p>
    <w:p w:rsidR="008232B7" w:rsidRDefault="008232B7" w:rsidP="00A96AFE">
      <w:pPr>
        <w:pStyle w:val="Textoindependiente"/>
      </w:pPr>
      <w:r w:rsidRPr="004A2BE7">
        <w:rPr>
          <w:rFonts w:cs="Arial"/>
          <w:b/>
        </w:rPr>
        <w:t>1)</w:t>
      </w:r>
      <w:r>
        <w:rPr>
          <w:rFonts w:cs="Arial"/>
        </w:rPr>
        <w:t xml:space="preserve"> </w:t>
      </w:r>
      <w:r w:rsidR="008363C2">
        <w:rPr>
          <w:rFonts w:cs="Arial"/>
        </w:rPr>
        <w:t>Observar el gasto por l</w:t>
      </w:r>
      <w:r w:rsidR="00533EB9">
        <w:rPr>
          <w:rFonts w:cs="Arial"/>
        </w:rPr>
        <w:t>o expresado en el Considerando 2</w:t>
      </w:r>
      <w:r w:rsidR="008363C2">
        <w:rPr>
          <w:rFonts w:cs="Arial"/>
        </w:rPr>
        <w:t>);</w:t>
      </w:r>
    </w:p>
    <w:p w:rsidR="008232B7" w:rsidRPr="00053412" w:rsidRDefault="008232B7" w:rsidP="00A96AFE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053412">
        <w:rPr>
          <w:rFonts w:ascii="Arial" w:eastAsia="Times New Roman" w:hAnsi="Arial" w:cs="Arial"/>
          <w:b/>
          <w:sz w:val="24"/>
          <w:szCs w:val="20"/>
          <w:lang w:val="es-MX" w:eastAsia="es-ES"/>
        </w:rPr>
        <w:t>2)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Comunicar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al Contador Delegado; y</w:t>
      </w:r>
    </w:p>
    <w:p w:rsidR="00693688" w:rsidRDefault="008232B7" w:rsidP="00A96AFE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053412">
        <w:rPr>
          <w:rFonts w:ascii="Arial" w:eastAsia="Times New Roman" w:hAnsi="Arial" w:cs="Arial"/>
          <w:b/>
          <w:sz w:val="24"/>
          <w:szCs w:val="20"/>
          <w:lang w:val="es-MX" w:eastAsia="es-ES"/>
        </w:rPr>
        <w:t>3)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Devolver las actuaciones.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   </w:t>
      </w:r>
    </w:p>
    <w:p w:rsidR="00A96AFE" w:rsidRDefault="00A96AFE" w:rsidP="00A96AFE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A96AFE" w:rsidRDefault="00A96AFE" w:rsidP="00A96AFE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A96AFE" w:rsidRDefault="00A96AFE" w:rsidP="00A96AFE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A96AFE" w:rsidRDefault="00A96AFE" w:rsidP="00A96AFE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A96AFE" w:rsidRDefault="00A96AFE" w:rsidP="00A96AFE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A96AFE" w:rsidRPr="00693688" w:rsidRDefault="00A96AFE" w:rsidP="00A96AFE">
      <w:pPr>
        <w:spacing w:after="0" w:line="360" w:lineRule="auto"/>
        <w:ind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>dc</w:t>
      </w:r>
      <w:bookmarkStart w:id="0" w:name="_GoBack"/>
      <w:bookmarkEnd w:id="0"/>
      <w:proofErr w:type="gramEnd"/>
    </w:p>
    <w:sectPr w:rsidR="00A96AFE" w:rsidRPr="00693688" w:rsidSect="00A96AFE">
      <w:footerReference w:type="default" r:id="rId8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AFE" w:rsidRDefault="00A96AFE" w:rsidP="00A96AFE">
      <w:pPr>
        <w:spacing w:after="0" w:line="240" w:lineRule="auto"/>
      </w:pPr>
      <w:r>
        <w:separator/>
      </w:r>
    </w:p>
  </w:endnote>
  <w:endnote w:type="continuationSeparator" w:id="0">
    <w:p w:rsidR="00A96AFE" w:rsidRDefault="00A96AFE" w:rsidP="00A9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595308"/>
      <w:docPartObj>
        <w:docPartGallery w:val="Page Numbers (Bottom of Page)"/>
        <w:docPartUnique/>
      </w:docPartObj>
    </w:sdtPr>
    <w:sdtContent>
      <w:p w:rsidR="00A96AFE" w:rsidRDefault="00A96AF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6AFE">
          <w:rPr>
            <w:noProof/>
            <w:lang w:val="es-ES"/>
          </w:rPr>
          <w:t>4</w:t>
        </w:r>
        <w:r>
          <w:fldChar w:fldCharType="end"/>
        </w:r>
      </w:p>
    </w:sdtContent>
  </w:sdt>
  <w:p w:rsidR="00A96AFE" w:rsidRDefault="00A96A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AFE" w:rsidRDefault="00A96AFE" w:rsidP="00A96AFE">
      <w:pPr>
        <w:spacing w:after="0" w:line="240" w:lineRule="auto"/>
      </w:pPr>
      <w:r>
        <w:separator/>
      </w:r>
    </w:p>
  </w:footnote>
  <w:footnote w:type="continuationSeparator" w:id="0">
    <w:p w:rsidR="00A96AFE" w:rsidRDefault="00A96AFE" w:rsidP="00A96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44"/>
    <w:rsid w:val="0005507B"/>
    <w:rsid w:val="000962A6"/>
    <w:rsid w:val="000C33C6"/>
    <w:rsid w:val="00130655"/>
    <w:rsid w:val="00161CA7"/>
    <w:rsid w:val="001621FB"/>
    <w:rsid w:val="001A1C33"/>
    <w:rsid w:val="001A4D93"/>
    <w:rsid w:val="00244158"/>
    <w:rsid w:val="00274CE3"/>
    <w:rsid w:val="00285FC8"/>
    <w:rsid w:val="00294985"/>
    <w:rsid w:val="00365301"/>
    <w:rsid w:val="003F292C"/>
    <w:rsid w:val="00434E9B"/>
    <w:rsid w:val="00485ECB"/>
    <w:rsid w:val="00493E36"/>
    <w:rsid w:val="004B2DB4"/>
    <w:rsid w:val="004B42C9"/>
    <w:rsid w:val="00513A42"/>
    <w:rsid w:val="00533EB9"/>
    <w:rsid w:val="005725C3"/>
    <w:rsid w:val="00573F9A"/>
    <w:rsid w:val="005D5544"/>
    <w:rsid w:val="00693688"/>
    <w:rsid w:val="006C4274"/>
    <w:rsid w:val="00770B83"/>
    <w:rsid w:val="007C6B8B"/>
    <w:rsid w:val="008232B7"/>
    <w:rsid w:val="00825A35"/>
    <w:rsid w:val="008363C2"/>
    <w:rsid w:val="008D0A44"/>
    <w:rsid w:val="00A45A57"/>
    <w:rsid w:val="00A9029D"/>
    <w:rsid w:val="00A96AFE"/>
    <w:rsid w:val="00B1113B"/>
    <w:rsid w:val="00B833ED"/>
    <w:rsid w:val="00B855C0"/>
    <w:rsid w:val="00BA6F96"/>
    <w:rsid w:val="00BA78A5"/>
    <w:rsid w:val="00BF221C"/>
    <w:rsid w:val="00C6449E"/>
    <w:rsid w:val="00CC3AF5"/>
    <w:rsid w:val="00CF7ADD"/>
    <w:rsid w:val="00D17DA0"/>
    <w:rsid w:val="00E01FE8"/>
    <w:rsid w:val="00E056CA"/>
    <w:rsid w:val="00E81477"/>
    <w:rsid w:val="00E91E58"/>
    <w:rsid w:val="00E92070"/>
    <w:rsid w:val="00EA19E3"/>
    <w:rsid w:val="00F17188"/>
    <w:rsid w:val="00F62D2B"/>
    <w:rsid w:val="00F6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0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semiHidden/>
    <w:rsid w:val="008232B7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232B7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A96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6AFE"/>
  </w:style>
  <w:style w:type="paragraph" w:styleId="Piedepgina">
    <w:name w:val="footer"/>
    <w:basedOn w:val="Normal"/>
    <w:link w:val="PiedepginaCar"/>
    <w:uiPriority w:val="99"/>
    <w:unhideWhenUsed/>
    <w:rsid w:val="00A96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0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semiHidden/>
    <w:rsid w:val="008232B7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232B7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A96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6AFE"/>
  </w:style>
  <w:style w:type="paragraph" w:styleId="Piedepgina">
    <w:name w:val="footer"/>
    <w:basedOn w:val="Normal"/>
    <w:link w:val="PiedepginaCar"/>
    <w:uiPriority w:val="99"/>
    <w:unhideWhenUsed/>
    <w:rsid w:val="00A96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557EC-5414-4FE0-B430-8926BB58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3893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2</cp:revision>
  <cp:lastPrinted>2017-01-23T16:04:00Z</cp:lastPrinted>
  <dcterms:created xsi:type="dcterms:W3CDTF">2017-01-23T16:04:00Z</dcterms:created>
  <dcterms:modified xsi:type="dcterms:W3CDTF">2017-01-23T16:04:00Z</dcterms:modified>
</cp:coreProperties>
</file>