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4BE" w:rsidRPr="00161683" w:rsidRDefault="008364BE" w:rsidP="008364BE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  <w:lang w:val="es-ES_tradnl"/>
        </w:rPr>
        <w:t>RES.</w:t>
      </w:r>
      <w:r>
        <w:rPr>
          <w:rFonts w:ascii="Arial" w:hAnsi="Arial" w:cs="Arial"/>
          <w:b/>
          <w:sz w:val="24"/>
          <w:szCs w:val="24"/>
        </w:rPr>
        <w:t>N°</w:t>
      </w:r>
      <w:r>
        <w:rPr>
          <w:rFonts w:ascii="Arial" w:hAnsi="Arial" w:cs="Arial"/>
          <w:b/>
          <w:sz w:val="24"/>
          <w:szCs w:val="24"/>
        </w:rPr>
        <w:t xml:space="preserve"> 73</w:t>
      </w:r>
      <w:r>
        <w:rPr>
          <w:rFonts w:ascii="Arial" w:hAnsi="Arial" w:cs="Arial"/>
          <w:b/>
          <w:sz w:val="24"/>
          <w:szCs w:val="24"/>
          <w:lang w:val="es-ES_tradnl"/>
        </w:rPr>
        <w:t>/17</w:t>
      </w:r>
    </w:p>
    <w:p w:rsidR="008364BE" w:rsidRDefault="008364BE" w:rsidP="008364B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8364BE" w:rsidRPr="004746D1" w:rsidRDefault="008364BE" w:rsidP="008364B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8364BE" w:rsidRPr="004746D1" w:rsidRDefault="008364BE" w:rsidP="008364BE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8364BE" w:rsidRPr="004746D1" w:rsidRDefault="008364BE" w:rsidP="008364B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8364BE" w:rsidRPr="004746D1" w:rsidRDefault="008364BE" w:rsidP="008364BE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8364BE" w:rsidRPr="004746D1" w:rsidRDefault="008364BE" w:rsidP="008364B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 xml:space="preserve">EN SESION DE FECHA </w:t>
      </w:r>
      <w:r>
        <w:rPr>
          <w:rFonts w:ascii="Arial" w:hAnsi="Arial" w:cs="Arial"/>
          <w:b/>
          <w:sz w:val="24"/>
          <w:szCs w:val="24"/>
          <w:lang w:val="es-ES_tradnl"/>
        </w:rPr>
        <w:t>11 DE ENERO DE 2017</w:t>
      </w:r>
    </w:p>
    <w:p w:rsidR="008364BE" w:rsidRPr="004746D1" w:rsidRDefault="008364BE" w:rsidP="008364B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8364BE" w:rsidRPr="004746D1" w:rsidRDefault="008364BE" w:rsidP="008364B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(</w:t>
      </w:r>
      <w:proofErr w:type="spellStart"/>
      <w:r>
        <w:rPr>
          <w:rFonts w:ascii="Arial" w:hAnsi="Arial" w:cs="Arial"/>
          <w:b/>
          <w:sz w:val="24"/>
          <w:szCs w:val="24"/>
          <w:lang w:val="es-ES_tradnl"/>
        </w:rPr>
        <w:t>E.E.Nº</w:t>
      </w:r>
      <w:proofErr w:type="spellEnd"/>
      <w:r>
        <w:rPr>
          <w:rFonts w:ascii="Arial" w:hAnsi="Arial" w:cs="Arial"/>
          <w:b/>
          <w:sz w:val="24"/>
          <w:szCs w:val="24"/>
          <w:lang w:val="es-ES_tradnl"/>
        </w:rPr>
        <w:t xml:space="preserve"> 2016-17-1-0008736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 xml:space="preserve">, </w:t>
      </w:r>
      <w:proofErr w:type="spellStart"/>
      <w:r w:rsidRPr="004746D1">
        <w:rPr>
          <w:rFonts w:ascii="Arial" w:hAnsi="Arial" w:cs="Arial"/>
          <w:b/>
          <w:sz w:val="24"/>
          <w:szCs w:val="24"/>
          <w:lang w:val="es-ES_tradnl"/>
        </w:rPr>
        <w:t>E</w:t>
      </w:r>
      <w:r>
        <w:rPr>
          <w:rFonts w:ascii="Arial" w:hAnsi="Arial" w:cs="Arial"/>
          <w:b/>
          <w:sz w:val="24"/>
          <w:szCs w:val="24"/>
          <w:lang w:val="es-ES_tradnl"/>
        </w:rPr>
        <w:t>nt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.</w:t>
      </w:r>
      <w:r>
        <w:rPr>
          <w:rFonts w:ascii="Arial" w:hAnsi="Arial" w:cs="Arial"/>
          <w:b/>
          <w:sz w:val="24"/>
          <w:szCs w:val="24"/>
          <w:lang w:val="es-ES_tradnl"/>
        </w:rPr>
        <w:t>N°</w:t>
      </w:r>
      <w:proofErr w:type="spellEnd"/>
      <w:r w:rsidRPr="004746D1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b/>
          <w:sz w:val="24"/>
          <w:szCs w:val="24"/>
          <w:lang w:val="es-ES_tradnl"/>
        </w:rPr>
        <w:t>6813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/</w:t>
      </w:r>
      <w:r>
        <w:rPr>
          <w:rFonts w:ascii="Arial" w:hAnsi="Arial" w:cs="Arial"/>
          <w:b/>
          <w:sz w:val="24"/>
          <w:szCs w:val="24"/>
          <w:lang w:val="es-ES_tradnl"/>
        </w:rPr>
        <w:t>16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)</w:t>
      </w:r>
    </w:p>
    <w:p w:rsidR="008364BE" w:rsidRDefault="008364BE" w:rsidP="008364BE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es-ES"/>
        </w:rPr>
      </w:pPr>
    </w:p>
    <w:p w:rsidR="008364BE" w:rsidRDefault="008364BE" w:rsidP="008364BE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es-ES"/>
        </w:rPr>
      </w:pPr>
    </w:p>
    <w:p w:rsidR="00511E9E" w:rsidRDefault="00511E9E" w:rsidP="008364BE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>VISTO: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8364BE">
        <w:rPr>
          <w:rFonts w:ascii="Arial" w:hAnsi="Arial" w:cs="Arial"/>
          <w:sz w:val="24"/>
          <w:szCs w:val="24"/>
          <w:lang w:val="es-ES"/>
        </w:rPr>
        <w:t>est</w:t>
      </w:r>
      <w:r>
        <w:rPr>
          <w:rFonts w:ascii="Arial" w:hAnsi="Arial" w:cs="Arial"/>
          <w:sz w:val="24"/>
          <w:szCs w:val="24"/>
          <w:lang w:val="es-ES"/>
        </w:rPr>
        <w:t>as actuaciones remitidas por la Adminis</w:t>
      </w:r>
      <w:r w:rsidR="008364BE">
        <w:rPr>
          <w:rFonts w:ascii="Arial" w:hAnsi="Arial" w:cs="Arial"/>
          <w:sz w:val="24"/>
          <w:szCs w:val="24"/>
          <w:lang w:val="es-ES"/>
        </w:rPr>
        <w:t>tración Nacional de Educación Pú</w:t>
      </w:r>
      <w:r>
        <w:rPr>
          <w:rFonts w:ascii="Arial" w:hAnsi="Arial" w:cs="Arial"/>
          <w:sz w:val="24"/>
          <w:szCs w:val="24"/>
          <w:lang w:val="es-ES"/>
        </w:rPr>
        <w:t>blica (Consejo de Educación Secundaria)</w:t>
      </w:r>
      <w:r w:rsidR="008364BE">
        <w:rPr>
          <w:rFonts w:ascii="Arial" w:hAnsi="Arial" w:cs="Arial"/>
          <w:sz w:val="24"/>
          <w:szCs w:val="24"/>
          <w:lang w:val="es-ES"/>
        </w:rPr>
        <w:t>,</w:t>
      </w:r>
      <w:r>
        <w:rPr>
          <w:rFonts w:ascii="Arial" w:hAnsi="Arial" w:cs="Arial"/>
          <w:sz w:val="24"/>
          <w:szCs w:val="24"/>
          <w:lang w:val="es-ES"/>
        </w:rPr>
        <w:t xml:space="preserve"> relacionadas con la ampliación de la Licitación </w:t>
      </w:r>
      <w:proofErr w:type="gramStart"/>
      <w:r>
        <w:rPr>
          <w:rFonts w:ascii="Arial" w:hAnsi="Arial" w:cs="Arial"/>
          <w:sz w:val="24"/>
          <w:szCs w:val="24"/>
          <w:lang w:val="es-ES"/>
        </w:rPr>
        <w:t>Publica</w:t>
      </w:r>
      <w:proofErr w:type="gramEnd"/>
      <w:r>
        <w:rPr>
          <w:rFonts w:ascii="Arial" w:hAnsi="Arial" w:cs="Arial"/>
          <w:sz w:val="24"/>
          <w:szCs w:val="24"/>
          <w:lang w:val="es-ES"/>
        </w:rPr>
        <w:t xml:space="preserve"> Nº 19/11 para la  contratación de empresas de limpieza para locales educativos de Montevideo, área Metropolitana (Canelones y San José); </w:t>
      </w:r>
    </w:p>
    <w:p w:rsidR="00511E9E" w:rsidRDefault="00511E9E" w:rsidP="008364BE">
      <w:pPr>
        <w:pStyle w:val="Textoindependiente"/>
        <w:ind w:firstLine="851"/>
      </w:pPr>
      <w:r>
        <w:rPr>
          <w:b/>
          <w:bCs/>
          <w:lang w:val="es-ES"/>
        </w:rPr>
        <w:t>RESULTANDO:</w:t>
      </w:r>
      <w:r>
        <w:rPr>
          <w:lang w:val="es-ES"/>
        </w:rPr>
        <w:t xml:space="preserve"> </w:t>
      </w:r>
      <w:r>
        <w:rPr>
          <w:b/>
          <w:bCs/>
          <w:lang w:val="es-ES"/>
        </w:rPr>
        <w:t>1)</w:t>
      </w:r>
      <w:r>
        <w:rPr>
          <w:lang w:val="es-ES"/>
        </w:rPr>
        <w:t xml:space="preserve"> </w:t>
      </w:r>
      <w:r w:rsidR="008364BE">
        <w:t>que el A</w:t>
      </w:r>
      <w:r>
        <w:t>rtícu</w:t>
      </w:r>
      <w:r w:rsidR="008364BE">
        <w:t xml:space="preserve">lo 7 del Pliego de Condiciones              -Vigencia del Contrato- </w:t>
      </w:r>
      <w:r>
        <w:t>estableció que la</w:t>
      </w:r>
      <w:r w:rsidR="008364BE">
        <w:t xml:space="preserve"> contratación será  hasta el 31/</w:t>
      </w:r>
      <w:r>
        <w:t>12</w:t>
      </w:r>
      <w:r w:rsidR="008364BE">
        <w:t>/</w:t>
      </w:r>
      <w:r>
        <w:t>2012, prorrogable hasta por un máximo de cuatro períodos, a partir de 1</w:t>
      </w:r>
      <w:r w:rsidR="008364BE">
        <w:t>º/0</w:t>
      </w:r>
      <w:r>
        <w:t>2</w:t>
      </w:r>
      <w:r w:rsidR="008364BE">
        <w:t>/</w:t>
      </w:r>
      <w:r>
        <w:t xml:space="preserve">2013, salvo comunicación en contrario; </w:t>
      </w:r>
    </w:p>
    <w:p w:rsidR="008364BE" w:rsidRDefault="00511E9E" w:rsidP="008364BE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8364BE">
        <w:rPr>
          <w:rFonts w:ascii="Arial" w:hAnsi="Arial" w:cs="Arial"/>
          <w:b/>
          <w:sz w:val="24"/>
          <w:szCs w:val="24"/>
          <w:lang w:val="es-ES"/>
        </w:rPr>
        <w:t>2)</w:t>
      </w:r>
      <w:r w:rsidR="008364BE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que</w:t>
      </w:r>
      <w:r>
        <w:rPr>
          <w:rFonts w:ascii="Arial" w:hAnsi="Arial" w:cs="Arial"/>
          <w:sz w:val="24"/>
          <w:szCs w:val="24"/>
        </w:rPr>
        <w:t xml:space="preserve"> el Director  General del Consejo de Educación Secundaria, con  fecha 18</w:t>
      </w:r>
      <w:r w:rsidR="008364BE">
        <w:rPr>
          <w:rFonts w:ascii="Arial" w:hAnsi="Arial" w:cs="Arial"/>
          <w:sz w:val="24"/>
          <w:szCs w:val="24"/>
        </w:rPr>
        <w:t>/0</w:t>
      </w:r>
      <w:r>
        <w:rPr>
          <w:rFonts w:ascii="Arial" w:hAnsi="Arial" w:cs="Arial"/>
          <w:sz w:val="24"/>
          <w:szCs w:val="24"/>
        </w:rPr>
        <w:t>1</w:t>
      </w:r>
      <w:r w:rsidR="008364BE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12, dispuso adjudicar los servicios  a Jorge Rebollo, La Casa de la Mujer, Frederick SRL, Negar SA, Acuarela SRL y Javier Michelena, por un monto de hasta </w:t>
      </w:r>
      <w:r w:rsidR="008364B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$</w:t>
      </w:r>
      <w:r w:rsidR="008364B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30.300.000; </w:t>
      </w:r>
    </w:p>
    <w:p w:rsidR="008364BE" w:rsidRPr="008364BE" w:rsidRDefault="008364BE" w:rsidP="008364BE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8364BE">
        <w:rPr>
          <w:rFonts w:ascii="Arial" w:hAnsi="Arial" w:cs="Arial"/>
          <w:b/>
          <w:bCs/>
          <w:sz w:val="24"/>
          <w:szCs w:val="24"/>
        </w:rPr>
        <w:t>3)</w:t>
      </w:r>
      <w:r w:rsidR="00511E9E" w:rsidRPr="008364BE">
        <w:rPr>
          <w:rFonts w:ascii="Arial" w:hAnsi="Arial" w:cs="Arial"/>
          <w:sz w:val="24"/>
          <w:szCs w:val="24"/>
        </w:rPr>
        <w:t xml:space="preserve"> q</w:t>
      </w:r>
      <w:r>
        <w:rPr>
          <w:rFonts w:ascii="Arial" w:hAnsi="Arial" w:cs="Arial"/>
          <w:sz w:val="24"/>
          <w:szCs w:val="24"/>
        </w:rPr>
        <w:t xml:space="preserve">ue en sesión de fecha 15/02/12, </w:t>
      </w:r>
      <w:r w:rsidR="00511E9E" w:rsidRPr="008364BE">
        <w:rPr>
          <w:rFonts w:ascii="Arial" w:hAnsi="Arial" w:cs="Arial"/>
          <w:sz w:val="24"/>
          <w:szCs w:val="24"/>
        </w:rPr>
        <w:t xml:space="preserve">este </w:t>
      </w:r>
      <w:r>
        <w:rPr>
          <w:rFonts w:ascii="Arial" w:hAnsi="Arial" w:cs="Arial"/>
          <w:sz w:val="24"/>
          <w:szCs w:val="24"/>
        </w:rPr>
        <w:t>T</w:t>
      </w:r>
      <w:r w:rsidR="00511E9E" w:rsidRPr="008364BE">
        <w:rPr>
          <w:rFonts w:ascii="Arial" w:hAnsi="Arial" w:cs="Arial"/>
          <w:sz w:val="24"/>
          <w:szCs w:val="24"/>
        </w:rPr>
        <w:t>ribunal</w:t>
      </w:r>
      <w:r>
        <w:rPr>
          <w:rFonts w:ascii="Arial" w:hAnsi="Arial" w:cs="Arial"/>
          <w:sz w:val="24"/>
          <w:szCs w:val="24"/>
        </w:rPr>
        <w:t xml:space="preserve"> observó el gasto debido a que n</w:t>
      </w:r>
      <w:r w:rsidR="00511E9E" w:rsidRPr="008364BE">
        <w:rPr>
          <w:rFonts w:ascii="Arial" w:hAnsi="Arial" w:cs="Arial"/>
          <w:sz w:val="24"/>
          <w:szCs w:val="24"/>
        </w:rPr>
        <w:t>o fue dispuesto por el Ordenador primario</w:t>
      </w:r>
      <w:r>
        <w:rPr>
          <w:rFonts w:ascii="Arial" w:hAnsi="Arial" w:cs="Arial"/>
          <w:sz w:val="24"/>
          <w:szCs w:val="24"/>
        </w:rPr>
        <w:t xml:space="preserve"> </w:t>
      </w:r>
      <w:r w:rsidR="00511E9E" w:rsidRPr="008364BE">
        <w:rPr>
          <w:rFonts w:ascii="Arial" w:hAnsi="Arial" w:cs="Arial"/>
          <w:sz w:val="24"/>
          <w:szCs w:val="24"/>
        </w:rPr>
        <w:t>como hubiera correspondido</w:t>
      </w:r>
      <w:r>
        <w:rPr>
          <w:rFonts w:ascii="Arial" w:hAnsi="Arial" w:cs="Arial"/>
          <w:sz w:val="24"/>
          <w:szCs w:val="24"/>
        </w:rPr>
        <w:t>,</w:t>
      </w:r>
      <w:r w:rsidR="00511E9E" w:rsidRPr="008364BE">
        <w:rPr>
          <w:rFonts w:ascii="Arial" w:hAnsi="Arial" w:cs="Arial"/>
          <w:sz w:val="24"/>
          <w:szCs w:val="24"/>
        </w:rPr>
        <w:t xml:space="preserve"> atento al monto adjudicado y posteriormente, por Resolución Nº 95 de fecha 29</w:t>
      </w:r>
      <w:r>
        <w:rPr>
          <w:rFonts w:ascii="Arial" w:hAnsi="Arial" w:cs="Arial"/>
          <w:sz w:val="24"/>
          <w:szCs w:val="24"/>
        </w:rPr>
        <w:t>/02/</w:t>
      </w:r>
      <w:r w:rsidR="00511E9E" w:rsidRPr="008364BE">
        <w:rPr>
          <w:rFonts w:ascii="Arial" w:hAnsi="Arial" w:cs="Arial"/>
          <w:sz w:val="24"/>
          <w:szCs w:val="24"/>
        </w:rPr>
        <w:t>12, el Consejo Directivo Central reiteró el gasto, siendo mantenida la observación por este Tribunal, en su Acuerdo de fecha</w:t>
      </w:r>
      <w:r w:rsidRPr="008364BE">
        <w:rPr>
          <w:rFonts w:ascii="Arial" w:hAnsi="Arial" w:cs="Arial"/>
          <w:sz w:val="24"/>
          <w:szCs w:val="24"/>
        </w:rPr>
        <w:t xml:space="preserve"> 0</w:t>
      </w:r>
      <w:r w:rsidR="00511E9E" w:rsidRPr="008364BE">
        <w:rPr>
          <w:rFonts w:ascii="Arial" w:hAnsi="Arial" w:cs="Arial"/>
          <w:sz w:val="24"/>
          <w:szCs w:val="24"/>
        </w:rPr>
        <w:t>2</w:t>
      </w:r>
      <w:r w:rsidRPr="008364BE">
        <w:rPr>
          <w:rFonts w:ascii="Arial" w:hAnsi="Arial" w:cs="Arial"/>
          <w:sz w:val="24"/>
          <w:szCs w:val="24"/>
        </w:rPr>
        <w:t>/0</w:t>
      </w:r>
      <w:r w:rsidR="00511E9E" w:rsidRPr="008364BE">
        <w:rPr>
          <w:rFonts w:ascii="Arial" w:hAnsi="Arial" w:cs="Arial"/>
          <w:sz w:val="24"/>
          <w:szCs w:val="24"/>
        </w:rPr>
        <w:t>5</w:t>
      </w:r>
      <w:r w:rsidRPr="008364BE">
        <w:rPr>
          <w:rFonts w:ascii="Arial" w:hAnsi="Arial" w:cs="Arial"/>
          <w:sz w:val="24"/>
          <w:szCs w:val="24"/>
        </w:rPr>
        <w:t>/</w:t>
      </w:r>
      <w:r w:rsidR="00511E9E" w:rsidRPr="008364BE">
        <w:rPr>
          <w:rFonts w:ascii="Arial" w:hAnsi="Arial" w:cs="Arial"/>
          <w:sz w:val="24"/>
          <w:szCs w:val="24"/>
        </w:rPr>
        <w:t xml:space="preserve">12; </w:t>
      </w:r>
    </w:p>
    <w:p w:rsidR="008364BE" w:rsidRDefault="00511E9E" w:rsidP="008364BE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8364BE">
        <w:rPr>
          <w:rFonts w:ascii="Arial" w:hAnsi="Arial" w:cs="Arial"/>
          <w:b/>
          <w:bCs/>
          <w:sz w:val="24"/>
          <w:szCs w:val="24"/>
        </w:rPr>
        <w:t xml:space="preserve">4) </w:t>
      </w:r>
      <w:r w:rsidRPr="008364BE">
        <w:rPr>
          <w:rFonts w:ascii="Arial" w:hAnsi="Arial" w:cs="Arial"/>
          <w:sz w:val="24"/>
          <w:szCs w:val="24"/>
        </w:rPr>
        <w:t>que por nota de fecha 16</w:t>
      </w:r>
      <w:r w:rsidR="008364BE">
        <w:rPr>
          <w:rFonts w:ascii="Arial" w:hAnsi="Arial" w:cs="Arial"/>
          <w:sz w:val="24"/>
          <w:szCs w:val="24"/>
        </w:rPr>
        <w:t>/</w:t>
      </w:r>
      <w:r w:rsidRPr="008364BE">
        <w:rPr>
          <w:rFonts w:ascii="Arial" w:hAnsi="Arial" w:cs="Arial"/>
          <w:sz w:val="24"/>
          <w:szCs w:val="24"/>
        </w:rPr>
        <w:t>11</w:t>
      </w:r>
      <w:r w:rsidR="008364BE">
        <w:rPr>
          <w:rFonts w:ascii="Arial" w:hAnsi="Arial" w:cs="Arial"/>
          <w:sz w:val="24"/>
          <w:szCs w:val="24"/>
        </w:rPr>
        <w:t>/</w:t>
      </w:r>
      <w:r w:rsidRPr="008364BE">
        <w:rPr>
          <w:rFonts w:ascii="Arial" w:hAnsi="Arial" w:cs="Arial"/>
          <w:sz w:val="24"/>
          <w:szCs w:val="24"/>
        </w:rPr>
        <w:t>16,  se da cuenta que, la contrataci</w:t>
      </w:r>
      <w:r w:rsidR="008364BE">
        <w:rPr>
          <w:rFonts w:ascii="Arial" w:hAnsi="Arial" w:cs="Arial"/>
          <w:sz w:val="24"/>
          <w:szCs w:val="24"/>
        </w:rPr>
        <w:t>ón de referencia finaliza el 31/</w:t>
      </w:r>
      <w:r w:rsidRPr="008364BE">
        <w:rPr>
          <w:rFonts w:ascii="Arial" w:hAnsi="Arial" w:cs="Arial"/>
          <w:sz w:val="24"/>
          <w:szCs w:val="24"/>
        </w:rPr>
        <w:t>12</w:t>
      </w:r>
      <w:r w:rsidR="008364BE">
        <w:rPr>
          <w:rFonts w:ascii="Arial" w:hAnsi="Arial" w:cs="Arial"/>
          <w:sz w:val="24"/>
          <w:szCs w:val="24"/>
        </w:rPr>
        <w:t>/16, por lo cual se considera</w:t>
      </w:r>
      <w:r w:rsidRPr="008364BE">
        <w:rPr>
          <w:rFonts w:ascii="Arial" w:hAnsi="Arial" w:cs="Arial"/>
          <w:sz w:val="24"/>
          <w:szCs w:val="24"/>
        </w:rPr>
        <w:t xml:space="preserve"> en esta oportunidad</w:t>
      </w:r>
      <w:r w:rsidR="008364BE">
        <w:rPr>
          <w:rFonts w:ascii="Arial" w:hAnsi="Arial" w:cs="Arial"/>
          <w:sz w:val="24"/>
          <w:szCs w:val="24"/>
        </w:rPr>
        <w:t>, que</w:t>
      </w:r>
      <w:r w:rsidRPr="008364BE">
        <w:rPr>
          <w:rFonts w:ascii="Arial" w:hAnsi="Arial" w:cs="Arial"/>
          <w:sz w:val="24"/>
          <w:szCs w:val="24"/>
        </w:rPr>
        <w:t xml:space="preserve"> se puede disponer de una ampliación de hasta un  </w:t>
      </w:r>
      <w:r w:rsidRPr="008364BE">
        <w:rPr>
          <w:rFonts w:ascii="Arial" w:hAnsi="Arial" w:cs="Arial"/>
          <w:sz w:val="24"/>
          <w:szCs w:val="24"/>
        </w:rPr>
        <w:lastRenderedPageBreak/>
        <w:t>100%, de dicha licitación, fundamentada en  que el servicio de limpieza es imprescindible y por ello no puede ser interrumpido</w:t>
      </w:r>
      <w:r w:rsidR="008364BE">
        <w:rPr>
          <w:rFonts w:ascii="Arial" w:hAnsi="Arial" w:cs="Arial"/>
          <w:sz w:val="24"/>
          <w:szCs w:val="24"/>
        </w:rPr>
        <w:t>,</w:t>
      </w:r>
      <w:r w:rsidRPr="008364BE">
        <w:rPr>
          <w:rFonts w:ascii="Arial" w:hAnsi="Arial" w:cs="Arial"/>
          <w:sz w:val="24"/>
          <w:szCs w:val="24"/>
        </w:rPr>
        <w:t xml:space="preserve"> y solicitando la conformidad de los adjudicatarios;</w:t>
      </w:r>
    </w:p>
    <w:p w:rsidR="00E45E7C" w:rsidRDefault="00511E9E" w:rsidP="00E45E7C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8364BE">
        <w:rPr>
          <w:rFonts w:ascii="Arial" w:hAnsi="Arial" w:cs="Arial"/>
          <w:b/>
          <w:bCs/>
          <w:sz w:val="24"/>
          <w:szCs w:val="24"/>
        </w:rPr>
        <w:t>5)</w:t>
      </w:r>
      <w:r w:rsidRPr="008364BE">
        <w:rPr>
          <w:rFonts w:ascii="Arial" w:hAnsi="Arial" w:cs="Arial"/>
          <w:sz w:val="24"/>
          <w:szCs w:val="24"/>
        </w:rPr>
        <w:t xml:space="preserve"> que consultadas las empresas Jorge Rebollo, La Casa de la Mujer, Frederick SRL, </w:t>
      </w:r>
      <w:proofErr w:type="spellStart"/>
      <w:r w:rsidRPr="008364BE">
        <w:rPr>
          <w:rFonts w:ascii="Arial" w:hAnsi="Arial" w:cs="Arial"/>
          <w:sz w:val="24"/>
          <w:szCs w:val="24"/>
        </w:rPr>
        <w:t>Negur</w:t>
      </w:r>
      <w:proofErr w:type="spellEnd"/>
      <w:r w:rsidRPr="008364BE">
        <w:rPr>
          <w:rFonts w:ascii="Arial" w:hAnsi="Arial" w:cs="Arial"/>
          <w:sz w:val="24"/>
          <w:szCs w:val="24"/>
        </w:rPr>
        <w:t xml:space="preserve"> SA y </w:t>
      </w:r>
      <w:proofErr w:type="spellStart"/>
      <w:r w:rsidRPr="008364BE">
        <w:rPr>
          <w:rFonts w:ascii="Arial" w:hAnsi="Arial" w:cs="Arial"/>
          <w:sz w:val="24"/>
          <w:szCs w:val="24"/>
        </w:rPr>
        <w:t>Acquarrella</w:t>
      </w:r>
      <w:proofErr w:type="spellEnd"/>
      <w:r w:rsidRPr="008364BE">
        <w:rPr>
          <w:rFonts w:ascii="Arial" w:hAnsi="Arial" w:cs="Arial"/>
          <w:sz w:val="24"/>
          <w:szCs w:val="24"/>
        </w:rPr>
        <w:t xml:space="preserve"> SRL</w:t>
      </w:r>
      <w:r w:rsidR="00E45E7C">
        <w:rPr>
          <w:rFonts w:ascii="Arial" w:hAnsi="Arial" w:cs="Arial"/>
          <w:sz w:val="24"/>
          <w:szCs w:val="24"/>
        </w:rPr>
        <w:t>,</w:t>
      </w:r>
      <w:r w:rsidRPr="008364BE">
        <w:rPr>
          <w:rFonts w:ascii="Arial" w:hAnsi="Arial" w:cs="Arial"/>
          <w:sz w:val="24"/>
          <w:szCs w:val="24"/>
        </w:rPr>
        <w:t xml:space="preserve"> acerca del interés en seguir prestando el servicio, en los mismos términos y condiciones contractuales, dan su consentimiento; </w:t>
      </w:r>
    </w:p>
    <w:p w:rsidR="00E45E7C" w:rsidRDefault="00511E9E" w:rsidP="00E45E7C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8364BE">
        <w:rPr>
          <w:rFonts w:ascii="Arial" w:hAnsi="Arial" w:cs="Arial"/>
          <w:b/>
          <w:bCs/>
          <w:sz w:val="24"/>
          <w:szCs w:val="24"/>
        </w:rPr>
        <w:t xml:space="preserve">6) </w:t>
      </w:r>
      <w:r w:rsidRPr="008364BE">
        <w:rPr>
          <w:rFonts w:ascii="Arial" w:hAnsi="Arial" w:cs="Arial"/>
          <w:sz w:val="24"/>
          <w:szCs w:val="24"/>
        </w:rPr>
        <w:t>que la División Hacienda, por informe de fecha 16</w:t>
      </w:r>
      <w:r w:rsidR="00E45E7C">
        <w:rPr>
          <w:rFonts w:ascii="Arial" w:hAnsi="Arial" w:cs="Arial"/>
          <w:sz w:val="24"/>
          <w:szCs w:val="24"/>
        </w:rPr>
        <w:t>/</w:t>
      </w:r>
      <w:r w:rsidRPr="008364BE">
        <w:rPr>
          <w:rFonts w:ascii="Arial" w:hAnsi="Arial" w:cs="Arial"/>
          <w:sz w:val="24"/>
          <w:szCs w:val="24"/>
        </w:rPr>
        <w:t>11</w:t>
      </w:r>
      <w:r w:rsidR="00E45E7C">
        <w:rPr>
          <w:rFonts w:ascii="Arial" w:hAnsi="Arial" w:cs="Arial"/>
          <w:sz w:val="24"/>
          <w:szCs w:val="24"/>
        </w:rPr>
        <w:t>/</w:t>
      </w:r>
      <w:r w:rsidRPr="008364BE">
        <w:rPr>
          <w:rFonts w:ascii="Arial" w:hAnsi="Arial" w:cs="Arial"/>
          <w:sz w:val="24"/>
          <w:szCs w:val="24"/>
        </w:rPr>
        <w:t xml:space="preserve">16, prevé la existencia de disponibilidad presupuestal si se realiza una distribución similar a la operada en el presente ejercicio en los programas 604 “Educación Media básica-Tecnología” y 605 “Educación Media superior Tecnología”,  Proyecto 207 “Mejoramiento de los aprendizajes”, Finan. 1.1 Rentas Generales, </w:t>
      </w:r>
      <w:proofErr w:type="spellStart"/>
      <w:r w:rsidRPr="008364BE">
        <w:rPr>
          <w:rFonts w:ascii="Arial" w:hAnsi="Arial" w:cs="Arial"/>
          <w:sz w:val="24"/>
          <w:szCs w:val="24"/>
        </w:rPr>
        <w:t>Dec</w:t>
      </w:r>
      <w:proofErr w:type="spellEnd"/>
      <w:r w:rsidRPr="008364BE">
        <w:rPr>
          <w:rFonts w:ascii="Arial" w:hAnsi="Arial" w:cs="Arial"/>
          <w:sz w:val="24"/>
          <w:szCs w:val="24"/>
        </w:rPr>
        <w:t xml:space="preserve">. 24/99, Inc.25, Prog.03, </w:t>
      </w:r>
      <w:r w:rsidR="00E45E7C">
        <w:rPr>
          <w:rFonts w:ascii="Arial" w:hAnsi="Arial" w:cs="Arial"/>
          <w:sz w:val="24"/>
          <w:szCs w:val="24"/>
        </w:rPr>
        <w:t>E</w:t>
      </w:r>
      <w:r w:rsidRPr="008364BE">
        <w:rPr>
          <w:rFonts w:ascii="Arial" w:hAnsi="Arial" w:cs="Arial"/>
          <w:sz w:val="24"/>
          <w:szCs w:val="24"/>
        </w:rPr>
        <w:t>jercicio 2017;</w:t>
      </w:r>
    </w:p>
    <w:p w:rsidR="00511E9E" w:rsidRPr="00E45E7C" w:rsidRDefault="00511E9E" w:rsidP="00E45E7C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8364BE">
        <w:rPr>
          <w:rFonts w:ascii="Arial" w:hAnsi="Arial" w:cs="Arial"/>
          <w:b/>
          <w:bCs/>
          <w:sz w:val="24"/>
          <w:szCs w:val="24"/>
        </w:rPr>
        <w:t>7)</w:t>
      </w:r>
      <w:r w:rsidRPr="008364BE">
        <w:rPr>
          <w:rFonts w:ascii="Arial" w:hAnsi="Arial" w:cs="Arial"/>
          <w:sz w:val="24"/>
          <w:szCs w:val="24"/>
        </w:rPr>
        <w:t xml:space="preserve"> que el Consejo de Educación Secundaria, por Resolución Nº 120, Acta Nº 52, de fecha 28</w:t>
      </w:r>
      <w:r w:rsidR="00E45E7C">
        <w:rPr>
          <w:rFonts w:ascii="Arial" w:hAnsi="Arial" w:cs="Arial"/>
          <w:sz w:val="24"/>
          <w:szCs w:val="24"/>
        </w:rPr>
        <w:t>/</w:t>
      </w:r>
      <w:r w:rsidRPr="008364BE">
        <w:rPr>
          <w:rFonts w:ascii="Arial" w:hAnsi="Arial" w:cs="Arial"/>
          <w:sz w:val="24"/>
          <w:szCs w:val="24"/>
        </w:rPr>
        <w:t>11</w:t>
      </w:r>
      <w:r w:rsidR="00E45E7C">
        <w:rPr>
          <w:rFonts w:ascii="Arial" w:hAnsi="Arial" w:cs="Arial"/>
          <w:sz w:val="24"/>
          <w:szCs w:val="24"/>
        </w:rPr>
        <w:t xml:space="preserve">/16, </w:t>
      </w:r>
      <w:r w:rsidRPr="008364BE">
        <w:rPr>
          <w:rFonts w:ascii="Arial" w:hAnsi="Arial" w:cs="Arial"/>
          <w:sz w:val="24"/>
          <w:szCs w:val="24"/>
        </w:rPr>
        <w:t>dispone autorizar por el periodo de hasta 6 meses la contratación con las firmas Jorge Rebollo</w:t>
      </w:r>
      <w:r w:rsidRPr="00E45E7C">
        <w:rPr>
          <w:rFonts w:ascii="Arial" w:hAnsi="Arial" w:cs="Arial"/>
          <w:sz w:val="24"/>
          <w:szCs w:val="24"/>
        </w:rPr>
        <w:t xml:space="preserve">, La Casa de la Mujer, Frederick SRL, </w:t>
      </w:r>
      <w:proofErr w:type="spellStart"/>
      <w:r w:rsidRPr="00E45E7C">
        <w:rPr>
          <w:rFonts w:ascii="Arial" w:hAnsi="Arial" w:cs="Arial"/>
          <w:sz w:val="24"/>
          <w:szCs w:val="24"/>
        </w:rPr>
        <w:t>Negur</w:t>
      </w:r>
      <w:proofErr w:type="spellEnd"/>
      <w:r w:rsidRPr="00E45E7C">
        <w:rPr>
          <w:rFonts w:ascii="Arial" w:hAnsi="Arial" w:cs="Arial"/>
          <w:sz w:val="24"/>
          <w:szCs w:val="24"/>
        </w:rPr>
        <w:t xml:space="preserve"> SA y </w:t>
      </w:r>
      <w:proofErr w:type="spellStart"/>
      <w:r w:rsidRPr="00E45E7C">
        <w:rPr>
          <w:rFonts w:ascii="Arial" w:hAnsi="Arial" w:cs="Arial"/>
          <w:sz w:val="24"/>
          <w:szCs w:val="24"/>
        </w:rPr>
        <w:t>Acquarrella</w:t>
      </w:r>
      <w:proofErr w:type="spellEnd"/>
      <w:r w:rsidRPr="00E45E7C">
        <w:rPr>
          <w:rFonts w:ascii="Arial" w:hAnsi="Arial" w:cs="Arial"/>
          <w:sz w:val="24"/>
          <w:szCs w:val="24"/>
        </w:rPr>
        <w:t xml:space="preserve"> SRL, hasta tanto se concrete un nuevo llamado a licitación pública  y encomendar a la Comisión Asesora de Adjudicaciones la elaboración del Pliego de Condiciones que regirá el  nuevo llamado;</w:t>
      </w:r>
    </w:p>
    <w:p w:rsidR="00511E9E" w:rsidRPr="00E45E7C" w:rsidRDefault="00511E9E" w:rsidP="00E45E7C">
      <w:pPr>
        <w:pStyle w:val="Textoindependiente"/>
        <w:ind w:firstLine="851"/>
      </w:pPr>
      <w:r w:rsidRPr="00E45E7C">
        <w:rPr>
          <w:b/>
          <w:bCs/>
        </w:rPr>
        <w:t>CONSIDERANDO:</w:t>
      </w:r>
      <w:r w:rsidRPr="00E45E7C">
        <w:t xml:space="preserve"> </w:t>
      </w:r>
      <w:r w:rsidRPr="00E45E7C">
        <w:rPr>
          <w:b/>
          <w:bCs/>
        </w:rPr>
        <w:t>1)</w:t>
      </w:r>
      <w:r w:rsidRPr="00E45E7C">
        <w:t xml:space="preserve"> que la referida  ampliación encuadra dentro de lo dispuesto por el </w:t>
      </w:r>
      <w:r w:rsidR="00E45E7C">
        <w:t>A</w:t>
      </w:r>
      <w:r w:rsidRPr="00E45E7C">
        <w:t>rt</w:t>
      </w:r>
      <w:r w:rsidR="00E45E7C">
        <w:t>ículo</w:t>
      </w:r>
      <w:r w:rsidRPr="00E45E7C">
        <w:t xml:space="preserve"> 74 del TOCAF habiéndose obtenido la conformidad de las empresas contratistas, y respetado el porcentaje máximo de ampliación autorizado; </w:t>
      </w:r>
    </w:p>
    <w:p w:rsidR="00511E9E" w:rsidRPr="008364BE" w:rsidRDefault="00511E9E" w:rsidP="00E45E7C">
      <w:pPr>
        <w:pStyle w:val="Textoindependiente"/>
        <w:ind w:firstLine="2977"/>
      </w:pPr>
      <w:r w:rsidRPr="00E45E7C">
        <w:rPr>
          <w:b/>
          <w:bCs/>
        </w:rPr>
        <w:t>2)</w:t>
      </w:r>
      <w:r w:rsidR="00E45E7C">
        <w:t xml:space="preserve"> que</w:t>
      </w:r>
      <w:r w:rsidRPr="00E45E7C">
        <w:t xml:space="preserve"> no obstante ello, el gasto proveniente</w:t>
      </w:r>
      <w:r w:rsidRPr="008364BE">
        <w:t xml:space="preserve"> de la presente ampliación deriva  de un procedimiento oportunamente observado por este Tribunal por razones no subsanables, las que irradian sus efectos al presente;   </w:t>
      </w:r>
    </w:p>
    <w:p w:rsidR="00511E9E" w:rsidRPr="008364BE" w:rsidRDefault="00511E9E" w:rsidP="00E45E7C">
      <w:pPr>
        <w:pStyle w:val="Textoindependiente"/>
        <w:ind w:firstLine="851"/>
      </w:pPr>
      <w:r w:rsidRPr="008364BE">
        <w:rPr>
          <w:b/>
          <w:bCs/>
        </w:rPr>
        <w:t>ATENTO:</w:t>
      </w:r>
      <w:r w:rsidRPr="008364BE">
        <w:t xml:space="preserve"> a lo expuesto precedentemente y a lo dispuesto por el </w:t>
      </w:r>
      <w:r w:rsidR="00E45E7C">
        <w:t>Artículo. 211 L</w:t>
      </w:r>
      <w:r w:rsidRPr="008364BE">
        <w:t>it</w:t>
      </w:r>
      <w:r w:rsidR="00E45E7C">
        <w:t>eral</w:t>
      </w:r>
      <w:r w:rsidRPr="008364BE">
        <w:t xml:space="preserve"> B) de la Constitución de la Republica;</w:t>
      </w:r>
    </w:p>
    <w:p w:rsidR="00511E9E" w:rsidRPr="008364BE" w:rsidRDefault="00511E9E">
      <w:pPr>
        <w:pStyle w:val="Textoindependiente"/>
      </w:pPr>
    </w:p>
    <w:p w:rsidR="00511E9E" w:rsidRPr="008364BE" w:rsidRDefault="00511E9E">
      <w:pPr>
        <w:pStyle w:val="Textoindependiente"/>
        <w:jc w:val="center"/>
        <w:rPr>
          <w:b/>
          <w:bCs/>
        </w:rPr>
      </w:pPr>
      <w:r w:rsidRPr="008364BE">
        <w:rPr>
          <w:b/>
          <w:bCs/>
        </w:rPr>
        <w:t>EL TRIBUNAL ACUERDA</w:t>
      </w:r>
    </w:p>
    <w:p w:rsidR="00511E9E" w:rsidRPr="008364BE" w:rsidRDefault="00511E9E">
      <w:pPr>
        <w:pStyle w:val="Textoindependiente"/>
        <w:jc w:val="left"/>
      </w:pPr>
      <w:r w:rsidRPr="008364BE">
        <w:rPr>
          <w:b/>
          <w:bCs/>
        </w:rPr>
        <w:t>1)</w:t>
      </w:r>
      <w:r w:rsidRPr="008364BE">
        <w:t xml:space="preserve"> Observar el gasto por lo expresado en el considerando 2);  y</w:t>
      </w:r>
    </w:p>
    <w:p w:rsidR="00511E9E" w:rsidRPr="008364BE" w:rsidRDefault="00511E9E">
      <w:pPr>
        <w:pStyle w:val="Textoindependiente"/>
        <w:jc w:val="left"/>
      </w:pPr>
      <w:r w:rsidRPr="008364BE">
        <w:rPr>
          <w:b/>
          <w:bCs/>
        </w:rPr>
        <w:t>2)</w:t>
      </w:r>
      <w:r w:rsidRPr="008364BE">
        <w:t xml:space="preserve"> Devolver las actuaciones a  la Administración actuante.</w:t>
      </w:r>
    </w:p>
    <w:p w:rsidR="00511E9E" w:rsidRDefault="00511E9E">
      <w:pPr>
        <w:pStyle w:val="Textoindependiente"/>
        <w:jc w:val="left"/>
      </w:pPr>
    </w:p>
    <w:p w:rsidR="00E45E7C" w:rsidRDefault="00E45E7C">
      <w:pPr>
        <w:pStyle w:val="Textoindependiente"/>
        <w:jc w:val="left"/>
      </w:pPr>
    </w:p>
    <w:p w:rsidR="00E45E7C" w:rsidRPr="008364BE" w:rsidRDefault="00E45E7C">
      <w:pPr>
        <w:pStyle w:val="Textoindependiente"/>
        <w:jc w:val="left"/>
      </w:pPr>
      <w:proofErr w:type="spellStart"/>
      <w:proofErr w:type="gramStart"/>
      <w:r>
        <w:t>lc</w:t>
      </w:r>
      <w:proofErr w:type="spellEnd"/>
      <w:proofErr w:type="gramEnd"/>
    </w:p>
    <w:p w:rsidR="00511E9E" w:rsidRPr="008364BE" w:rsidRDefault="00511E9E">
      <w:pPr>
        <w:pStyle w:val="Textoindependiente"/>
        <w:spacing w:line="240" w:lineRule="auto"/>
        <w:jc w:val="left"/>
        <w:rPr>
          <w:sz w:val="20"/>
          <w:szCs w:val="20"/>
        </w:rPr>
      </w:pPr>
    </w:p>
    <w:sectPr w:rsidR="00511E9E" w:rsidRPr="008364BE" w:rsidSect="00C96CFC">
      <w:pgSz w:w="11906" w:h="16838" w:code="9"/>
      <w:pgMar w:top="3175" w:right="1701" w:bottom="1361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B4D2F"/>
    <w:multiLevelType w:val="hybridMultilevel"/>
    <w:tmpl w:val="F886DD94"/>
    <w:lvl w:ilvl="0" w:tplc="380A0011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380A0019">
      <w:start w:val="1"/>
      <w:numFmt w:val="lowerLetter"/>
      <w:lvlText w:val="%2."/>
      <w:lvlJc w:val="left"/>
      <w:pPr>
        <w:ind w:left="1648" w:hanging="360"/>
      </w:pPr>
      <w:rPr>
        <w:rFonts w:ascii="Times New Roman" w:hAnsi="Times New Roman" w:cs="Times New Roman"/>
      </w:rPr>
    </w:lvl>
    <w:lvl w:ilvl="2" w:tplc="380A001B">
      <w:start w:val="1"/>
      <w:numFmt w:val="lowerRoman"/>
      <w:lvlText w:val="%3."/>
      <w:lvlJc w:val="right"/>
      <w:pPr>
        <w:ind w:left="2368" w:hanging="180"/>
      </w:pPr>
      <w:rPr>
        <w:rFonts w:ascii="Times New Roman" w:hAnsi="Times New Roman" w:cs="Times New Roman"/>
      </w:rPr>
    </w:lvl>
    <w:lvl w:ilvl="3" w:tplc="380A000F">
      <w:start w:val="1"/>
      <w:numFmt w:val="decimal"/>
      <w:lvlText w:val="%4."/>
      <w:lvlJc w:val="left"/>
      <w:pPr>
        <w:ind w:left="3088" w:hanging="360"/>
      </w:pPr>
      <w:rPr>
        <w:rFonts w:ascii="Times New Roman" w:hAnsi="Times New Roman" w:cs="Times New Roman"/>
      </w:rPr>
    </w:lvl>
    <w:lvl w:ilvl="4" w:tplc="380A0019">
      <w:start w:val="1"/>
      <w:numFmt w:val="lowerLetter"/>
      <w:lvlText w:val="%5."/>
      <w:lvlJc w:val="left"/>
      <w:pPr>
        <w:ind w:left="3808" w:hanging="360"/>
      </w:pPr>
      <w:rPr>
        <w:rFonts w:ascii="Times New Roman" w:hAnsi="Times New Roman" w:cs="Times New Roman"/>
      </w:rPr>
    </w:lvl>
    <w:lvl w:ilvl="5" w:tplc="380A001B">
      <w:start w:val="1"/>
      <w:numFmt w:val="lowerRoman"/>
      <w:lvlText w:val="%6."/>
      <w:lvlJc w:val="right"/>
      <w:pPr>
        <w:ind w:left="4528" w:hanging="180"/>
      </w:pPr>
      <w:rPr>
        <w:rFonts w:ascii="Times New Roman" w:hAnsi="Times New Roman" w:cs="Times New Roman"/>
      </w:rPr>
    </w:lvl>
    <w:lvl w:ilvl="6" w:tplc="380A000F">
      <w:start w:val="1"/>
      <w:numFmt w:val="decimal"/>
      <w:lvlText w:val="%7."/>
      <w:lvlJc w:val="left"/>
      <w:pPr>
        <w:ind w:left="5248" w:hanging="360"/>
      </w:pPr>
      <w:rPr>
        <w:rFonts w:ascii="Times New Roman" w:hAnsi="Times New Roman" w:cs="Times New Roman"/>
      </w:rPr>
    </w:lvl>
    <w:lvl w:ilvl="7" w:tplc="380A0019">
      <w:start w:val="1"/>
      <w:numFmt w:val="lowerLetter"/>
      <w:lvlText w:val="%8."/>
      <w:lvlJc w:val="left"/>
      <w:pPr>
        <w:ind w:left="5968" w:hanging="360"/>
      </w:pPr>
      <w:rPr>
        <w:rFonts w:ascii="Times New Roman" w:hAnsi="Times New Roman" w:cs="Times New Roman"/>
      </w:rPr>
    </w:lvl>
    <w:lvl w:ilvl="8" w:tplc="380A001B">
      <w:start w:val="1"/>
      <w:numFmt w:val="lowerRoman"/>
      <w:lvlText w:val="%9."/>
      <w:lvlJc w:val="right"/>
      <w:pPr>
        <w:ind w:left="6688" w:hanging="18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E9E"/>
    <w:rsid w:val="00511E9E"/>
    <w:rsid w:val="008364BE"/>
    <w:rsid w:val="00C96CFC"/>
    <w:rsid w:val="00E4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val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pPr>
      <w:spacing w:after="0" w:line="360" w:lineRule="auto"/>
      <w:jc w:val="both"/>
    </w:pPr>
    <w:rPr>
      <w:rFonts w:ascii="Arial" w:hAnsi="Arial" w:cs="Arial"/>
      <w:sz w:val="24"/>
      <w:szCs w:val="24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Pr>
      <w:rFonts w:ascii="Arial" w:hAnsi="Arial" w:cs="Arial"/>
      <w:sz w:val="24"/>
      <w:szCs w:val="24"/>
      <w:lang w:val="es-MX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val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pPr>
      <w:spacing w:after="0" w:line="360" w:lineRule="auto"/>
      <w:jc w:val="both"/>
    </w:pPr>
    <w:rPr>
      <w:rFonts w:ascii="Arial" w:hAnsi="Arial" w:cs="Arial"/>
      <w:sz w:val="24"/>
      <w:szCs w:val="24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Pr>
      <w:rFonts w:ascii="Arial" w:hAnsi="Arial" w:cs="Arial"/>
      <w:sz w:val="24"/>
      <w:szCs w:val="24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543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Nº 2016-1-17-8736</vt:lpstr>
    </vt:vector>
  </TitlesOfParts>
  <Company>Tribunal de Cuentas</Company>
  <LinksUpToDate>false</LinksUpToDate>
  <CharactersWithSpaces>3543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Nº 2016-1-17-8736</dc:title>
  <dc:creator>Alicia Fernandez</dc:creator>
  <cp:lastModifiedBy>Tribunal1</cp:lastModifiedBy>
  <cp:revision>3</cp:revision>
  <cp:lastPrinted>2017-01-14T17:59:00Z</cp:lastPrinted>
  <dcterms:created xsi:type="dcterms:W3CDTF">2017-01-14T17:58:00Z</dcterms:created>
  <dcterms:modified xsi:type="dcterms:W3CDTF">2017-01-14T17:59:00Z</dcterms:modified>
</cp:coreProperties>
</file>