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9F2" w:rsidRPr="00786EEB" w:rsidRDefault="00DA69F2" w:rsidP="00DA69F2">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4041</w:t>
      </w:r>
      <w:r w:rsidRPr="00786EEB">
        <w:rPr>
          <w:rFonts w:ascii="Arial" w:hAnsi="Arial" w:cs="Arial"/>
          <w:b/>
          <w:sz w:val="28"/>
          <w:szCs w:val="28"/>
          <w:lang w:val="es-ES_tradnl"/>
        </w:rPr>
        <w:t>/16</w:t>
      </w:r>
    </w:p>
    <w:p w:rsidR="00DA69F2" w:rsidRDefault="00DA69F2" w:rsidP="00D2507C">
      <w:pPr>
        <w:tabs>
          <w:tab w:val="center" w:pos="4253"/>
        </w:tabs>
        <w:suppressAutoHyphens/>
        <w:jc w:val="right"/>
        <w:rPr>
          <w:rFonts w:ascii="Arial" w:hAnsi="Arial" w:cs="Arial"/>
          <w:b/>
          <w:lang w:val="es-ES_tradnl"/>
        </w:rPr>
      </w:pPr>
    </w:p>
    <w:p w:rsidR="00DA69F2" w:rsidRPr="00762B34" w:rsidRDefault="00DA69F2">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DA69F2" w:rsidRPr="00762B34" w:rsidRDefault="00DA69F2">
      <w:pPr>
        <w:tabs>
          <w:tab w:val="left" w:pos="-720"/>
        </w:tabs>
        <w:suppressAutoHyphens/>
        <w:jc w:val="center"/>
        <w:rPr>
          <w:rFonts w:ascii="Arial" w:hAnsi="Arial" w:cs="Arial"/>
          <w:b/>
          <w:lang w:val="es-ES_tradnl"/>
        </w:rPr>
      </w:pPr>
    </w:p>
    <w:p w:rsidR="00DA69F2" w:rsidRPr="00762B34" w:rsidRDefault="00DA69F2">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DA69F2" w:rsidRPr="00762B34" w:rsidRDefault="00DA69F2">
      <w:pPr>
        <w:tabs>
          <w:tab w:val="left" w:pos="-720"/>
        </w:tabs>
        <w:suppressAutoHyphens/>
        <w:jc w:val="center"/>
        <w:rPr>
          <w:rFonts w:ascii="Arial" w:hAnsi="Arial" w:cs="Arial"/>
          <w:b/>
          <w:lang w:val="es-ES_tradnl"/>
        </w:rPr>
      </w:pPr>
    </w:p>
    <w:p w:rsidR="00DA69F2" w:rsidRPr="00762B34" w:rsidRDefault="00DA69F2">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16 DE NOVIEMBRE </w:t>
      </w:r>
      <w:r>
        <w:rPr>
          <w:rFonts w:ascii="Helvetica" w:hAnsi="Helvetica"/>
          <w:b/>
          <w:lang w:val="es-ES_tradnl"/>
        </w:rPr>
        <w:t>DE 2016</w:t>
      </w:r>
    </w:p>
    <w:p w:rsidR="00DA69F2" w:rsidRPr="00762B34" w:rsidRDefault="00DA69F2">
      <w:pPr>
        <w:tabs>
          <w:tab w:val="center" w:pos="4253"/>
        </w:tabs>
        <w:suppressAutoHyphens/>
        <w:jc w:val="center"/>
        <w:rPr>
          <w:rFonts w:ascii="Arial" w:hAnsi="Arial" w:cs="Arial"/>
          <w:b/>
          <w:lang w:val="es-ES_tradnl"/>
        </w:rPr>
      </w:pPr>
    </w:p>
    <w:p w:rsidR="00DA69F2" w:rsidRPr="00A05034" w:rsidRDefault="00DA69F2" w:rsidP="00DA69F2">
      <w:pPr>
        <w:tabs>
          <w:tab w:val="center" w:pos="4253"/>
        </w:tabs>
        <w:suppressAutoHyphens/>
        <w:jc w:val="center"/>
        <w:rPr>
          <w:rFonts w:ascii="Arial" w:hAnsi="Arial" w:cs="Arial"/>
          <w:b/>
          <w:lang w:val="es-UY"/>
        </w:rPr>
      </w:pPr>
      <w:r w:rsidRPr="00A05034">
        <w:rPr>
          <w:rFonts w:ascii="Arial" w:hAnsi="Arial" w:cs="Arial"/>
          <w:b/>
          <w:lang w:val="es-UY"/>
        </w:rPr>
        <w:t xml:space="preserve">(E. E. Nº </w:t>
      </w:r>
      <w:r w:rsidRPr="00DA69F2">
        <w:rPr>
          <w:rFonts w:ascii="Arial" w:hAnsi="Arial" w:cs="Arial"/>
          <w:b/>
          <w:bCs/>
        </w:rPr>
        <w:t>2016-17-1-0004545</w:t>
      </w:r>
      <w:r w:rsidRPr="00A05034">
        <w:rPr>
          <w:rFonts w:ascii="Arial" w:hAnsi="Arial" w:cs="Arial"/>
          <w:b/>
          <w:lang w:val="es-UY"/>
        </w:rPr>
        <w:t xml:space="preserve">, </w:t>
      </w:r>
      <w:proofErr w:type="spellStart"/>
      <w:r w:rsidRPr="00A05034">
        <w:rPr>
          <w:rFonts w:ascii="Arial" w:hAnsi="Arial" w:cs="Arial"/>
          <w:b/>
          <w:lang w:val="es-UY"/>
        </w:rPr>
        <w:t>Ent</w:t>
      </w:r>
      <w:proofErr w:type="spellEnd"/>
      <w:r w:rsidRPr="00A05034">
        <w:rPr>
          <w:rFonts w:ascii="Arial" w:hAnsi="Arial" w:cs="Arial"/>
          <w:b/>
          <w:lang w:val="es-UY"/>
        </w:rPr>
        <w:t>. N°</w:t>
      </w:r>
      <w:r w:rsidR="00D2507C">
        <w:rPr>
          <w:rFonts w:ascii="Arial" w:hAnsi="Arial" w:cs="Arial"/>
          <w:b/>
          <w:lang w:val="es-UY"/>
        </w:rPr>
        <w:t xml:space="preserve"> </w:t>
      </w:r>
      <w:r w:rsidRPr="00DA69F2">
        <w:rPr>
          <w:rFonts w:ascii="Arial" w:hAnsi="Arial" w:cs="Arial"/>
          <w:b/>
          <w:bCs/>
          <w:lang w:val="pt-BR"/>
        </w:rPr>
        <w:t>3463/16</w:t>
      </w:r>
      <w:r w:rsidRPr="00A05034">
        <w:rPr>
          <w:rFonts w:ascii="Arial" w:hAnsi="Arial" w:cs="Arial"/>
          <w:b/>
          <w:lang w:val="es-UY"/>
        </w:rPr>
        <w:t>)</w:t>
      </w:r>
    </w:p>
    <w:p w:rsidR="00B124A4" w:rsidRPr="00DA69F2" w:rsidRDefault="00B124A4" w:rsidP="00B124A4">
      <w:pPr>
        <w:tabs>
          <w:tab w:val="center" w:pos="4253"/>
        </w:tabs>
        <w:suppressAutoHyphens/>
        <w:jc w:val="center"/>
        <w:rPr>
          <w:rFonts w:ascii="Arial" w:hAnsi="Arial" w:cs="Arial"/>
          <w:b/>
          <w:spacing w:val="-3"/>
          <w:lang w:val="es-UY"/>
        </w:rPr>
      </w:pPr>
    </w:p>
    <w:p w:rsidR="00200051" w:rsidRPr="00DA69F2" w:rsidRDefault="00B124A4" w:rsidP="00DA69F2">
      <w:pPr>
        <w:spacing w:line="360" w:lineRule="auto"/>
        <w:ind w:firstLine="851"/>
        <w:jc w:val="both"/>
        <w:rPr>
          <w:rFonts w:ascii="Arial" w:hAnsi="Arial" w:cs="Arial"/>
        </w:rPr>
      </w:pPr>
      <w:r>
        <w:rPr>
          <w:rFonts w:ascii="Arial" w:hAnsi="Arial" w:cs="Arial"/>
          <w:b/>
        </w:rPr>
        <w:t>VISTO:</w:t>
      </w:r>
      <w:r>
        <w:rPr>
          <w:rFonts w:ascii="Arial" w:hAnsi="Arial" w:cs="Arial"/>
        </w:rPr>
        <w:t xml:space="preserve"> la Rendición de Cuentas y Balance de Ejecución Presupuestal de la Intendencia de Montevideo correspondiente al Ejercicio 201</w:t>
      </w:r>
      <w:r w:rsidR="005F1950">
        <w:rPr>
          <w:rFonts w:ascii="Arial" w:hAnsi="Arial" w:cs="Arial"/>
        </w:rPr>
        <w:t>5</w:t>
      </w:r>
      <w:r>
        <w:rPr>
          <w:rFonts w:ascii="Arial" w:hAnsi="Arial" w:cs="Arial"/>
        </w:rPr>
        <w:t>;</w:t>
      </w:r>
    </w:p>
    <w:p w:rsidR="00200051" w:rsidRPr="00DA69F2" w:rsidRDefault="00B124A4" w:rsidP="00DA69F2">
      <w:pPr>
        <w:spacing w:line="360" w:lineRule="auto"/>
        <w:ind w:firstLine="851"/>
        <w:jc w:val="both"/>
        <w:rPr>
          <w:rFonts w:ascii="Arial" w:hAnsi="Arial" w:cs="Arial"/>
        </w:rPr>
      </w:pPr>
      <w:r w:rsidRPr="00A017F5">
        <w:rPr>
          <w:rFonts w:ascii="Arial" w:hAnsi="Arial" w:cs="Arial"/>
          <w:b/>
        </w:rPr>
        <w:t xml:space="preserve">RESULTANDO: </w:t>
      </w:r>
      <w:r w:rsidRPr="00A017F5">
        <w:rPr>
          <w:rFonts w:ascii="Arial" w:hAnsi="Arial" w:cs="Arial"/>
        </w:rP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200051" w:rsidRPr="00DA69F2" w:rsidRDefault="00B124A4" w:rsidP="00DA69F2">
      <w:pPr>
        <w:spacing w:line="360" w:lineRule="auto"/>
        <w:ind w:firstLine="851"/>
        <w:jc w:val="both"/>
        <w:rPr>
          <w:rFonts w:ascii="Arial" w:hAnsi="Arial" w:cs="Arial"/>
        </w:rPr>
      </w:pPr>
      <w:r>
        <w:rPr>
          <w:rFonts w:ascii="Arial" w:hAnsi="Arial" w:cs="Arial"/>
          <w:b/>
        </w:rPr>
        <w:t xml:space="preserve">CONSIDERANDO: </w:t>
      </w:r>
      <w:r>
        <w:rPr>
          <w:rFonts w:ascii="Arial" w:hAnsi="Arial" w:cs="Arial"/>
        </w:rPr>
        <w:t>que las conclusiones y evidencias obtenidas son las que se expresan en el Informe de Auditoría, que incluye Dictamen e Informe a la Administración;</w:t>
      </w:r>
    </w:p>
    <w:p w:rsidR="00B124A4" w:rsidRDefault="00B124A4" w:rsidP="00DA69F2">
      <w:pPr>
        <w:spacing w:line="360" w:lineRule="auto"/>
        <w:ind w:firstLine="851"/>
        <w:jc w:val="both"/>
        <w:rPr>
          <w:rFonts w:ascii="Arial" w:hAnsi="Arial" w:cs="Arial"/>
        </w:rPr>
      </w:pPr>
      <w:r>
        <w:rPr>
          <w:rFonts w:ascii="Arial" w:hAnsi="Arial" w:cs="Arial"/>
          <w:b/>
        </w:rPr>
        <w:t xml:space="preserve">ATENTO: </w:t>
      </w:r>
      <w:r>
        <w:rPr>
          <w:rFonts w:ascii="Arial" w:hAnsi="Arial" w:cs="Arial"/>
        </w:rPr>
        <w:t>a lo dispuesto por el Artículo 211 Literal C) de la Constitución de la República;</w:t>
      </w:r>
    </w:p>
    <w:p w:rsidR="00B124A4" w:rsidRDefault="00B124A4" w:rsidP="00B124A4">
      <w:pPr>
        <w:spacing w:line="360" w:lineRule="auto"/>
        <w:jc w:val="center"/>
        <w:rPr>
          <w:rFonts w:ascii="Arial" w:hAnsi="Arial" w:cs="Arial"/>
          <w:b/>
        </w:rPr>
      </w:pPr>
      <w:r>
        <w:rPr>
          <w:rFonts w:ascii="Arial" w:hAnsi="Arial" w:cs="Arial"/>
          <w:b/>
        </w:rPr>
        <w:t>EL TRIBUNAL ACUERDA</w:t>
      </w:r>
    </w:p>
    <w:p w:rsidR="00B124A4" w:rsidRDefault="00B124A4" w:rsidP="00DA69F2">
      <w:pPr>
        <w:numPr>
          <w:ilvl w:val="0"/>
          <w:numId w:val="1"/>
        </w:numPr>
        <w:tabs>
          <w:tab w:val="clear" w:pos="720"/>
          <w:tab w:val="num" w:pos="360"/>
          <w:tab w:val="num" w:pos="426"/>
        </w:tabs>
        <w:spacing w:line="360" w:lineRule="auto"/>
        <w:ind w:left="426" w:hanging="426"/>
        <w:jc w:val="both"/>
        <w:rPr>
          <w:rFonts w:ascii="Arial" w:hAnsi="Arial" w:cs="Arial"/>
        </w:rPr>
      </w:pPr>
      <w:r>
        <w:rPr>
          <w:rFonts w:ascii="Arial" w:hAnsi="Arial" w:cs="Arial"/>
        </w:rPr>
        <w:t>Expedirse en los términos del Informe de Auditoría que se adjunta</w:t>
      </w:r>
      <w:r w:rsidR="00D2507C">
        <w:rPr>
          <w:rFonts w:ascii="Arial" w:hAnsi="Arial" w:cs="Arial"/>
        </w:rPr>
        <w:t>;</w:t>
      </w:r>
    </w:p>
    <w:p w:rsidR="00B124A4" w:rsidRDefault="00B124A4" w:rsidP="00DA69F2">
      <w:pPr>
        <w:numPr>
          <w:ilvl w:val="0"/>
          <w:numId w:val="1"/>
        </w:numPr>
        <w:tabs>
          <w:tab w:val="clear" w:pos="720"/>
          <w:tab w:val="num" w:pos="360"/>
          <w:tab w:val="num" w:pos="426"/>
        </w:tabs>
        <w:spacing w:line="360" w:lineRule="auto"/>
        <w:ind w:left="426" w:hanging="426"/>
        <w:jc w:val="both"/>
        <w:rPr>
          <w:rFonts w:ascii="Arial" w:hAnsi="Arial" w:cs="Arial"/>
        </w:rPr>
      </w:pPr>
      <w:r>
        <w:rPr>
          <w:rFonts w:ascii="Arial" w:hAnsi="Arial" w:cs="Arial"/>
        </w:rPr>
        <w:t>Comunicar la presente Resolución a la Intendencia de Montevideo y a los Contadores Delegados</w:t>
      </w:r>
      <w:r w:rsidR="00D2507C">
        <w:rPr>
          <w:rFonts w:ascii="Arial" w:hAnsi="Arial" w:cs="Arial"/>
        </w:rPr>
        <w:t>;</w:t>
      </w:r>
    </w:p>
    <w:p w:rsidR="00B124A4" w:rsidRDefault="00B124A4" w:rsidP="00DA69F2">
      <w:pPr>
        <w:numPr>
          <w:ilvl w:val="0"/>
          <w:numId w:val="1"/>
        </w:numPr>
        <w:tabs>
          <w:tab w:val="clear" w:pos="720"/>
          <w:tab w:val="num" w:pos="360"/>
          <w:tab w:val="num" w:pos="426"/>
        </w:tabs>
        <w:spacing w:line="360" w:lineRule="auto"/>
        <w:ind w:left="426" w:hanging="426"/>
        <w:jc w:val="both"/>
        <w:rPr>
          <w:rFonts w:ascii="Arial" w:hAnsi="Arial" w:cs="Arial"/>
        </w:rPr>
      </w:pPr>
      <w:r>
        <w:rPr>
          <w:rFonts w:ascii="Arial" w:hAnsi="Arial" w:cs="Arial"/>
        </w:rPr>
        <w:t>Oficiar al Ministerio del Interior</w:t>
      </w:r>
      <w:r w:rsidR="00D2507C">
        <w:rPr>
          <w:rFonts w:ascii="Arial" w:hAnsi="Arial" w:cs="Arial"/>
        </w:rPr>
        <w:t>;</w:t>
      </w:r>
    </w:p>
    <w:p w:rsidR="00B124A4" w:rsidRDefault="00B124A4" w:rsidP="00DA69F2">
      <w:pPr>
        <w:numPr>
          <w:ilvl w:val="0"/>
          <w:numId w:val="1"/>
        </w:numPr>
        <w:tabs>
          <w:tab w:val="clear" w:pos="720"/>
          <w:tab w:val="num" w:pos="360"/>
          <w:tab w:val="num" w:pos="426"/>
        </w:tabs>
        <w:spacing w:line="360" w:lineRule="auto"/>
        <w:ind w:left="426" w:hanging="426"/>
        <w:jc w:val="both"/>
        <w:rPr>
          <w:rFonts w:ascii="Arial" w:hAnsi="Arial" w:cs="Arial"/>
        </w:rPr>
      </w:pPr>
      <w:r>
        <w:rPr>
          <w:rFonts w:ascii="Arial" w:hAnsi="Arial" w:cs="Arial"/>
        </w:rPr>
        <w:t>Dar cuenta a la Asamblea General</w:t>
      </w:r>
      <w:r w:rsidR="00D2507C">
        <w:rPr>
          <w:rFonts w:ascii="Arial" w:hAnsi="Arial" w:cs="Arial"/>
        </w:rPr>
        <w:t>;</w:t>
      </w:r>
    </w:p>
    <w:p w:rsidR="00B124A4" w:rsidRDefault="00B124A4" w:rsidP="00DA69F2">
      <w:pPr>
        <w:numPr>
          <w:ilvl w:val="0"/>
          <w:numId w:val="1"/>
        </w:numPr>
        <w:tabs>
          <w:tab w:val="clear" w:pos="720"/>
          <w:tab w:val="num" w:pos="360"/>
          <w:tab w:val="num" w:pos="426"/>
        </w:tabs>
        <w:spacing w:line="360" w:lineRule="auto"/>
        <w:ind w:left="426" w:hanging="426"/>
        <w:jc w:val="both"/>
        <w:rPr>
          <w:rFonts w:ascii="Arial" w:hAnsi="Arial" w:cs="Arial"/>
        </w:rPr>
      </w:pPr>
      <w:r>
        <w:rPr>
          <w:rFonts w:ascii="Arial" w:hAnsi="Arial" w:cs="Arial"/>
        </w:rPr>
        <w:t>Devolver los antecedentes a la Junta Departamental de Montevideo.</w:t>
      </w:r>
    </w:p>
    <w:p w:rsidR="00B124A4" w:rsidRPr="00DA69F2" w:rsidRDefault="00DA69F2" w:rsidP="00DA69F2">
      <w:pPr>
        <w:tabs>
          <w:tab w:val="num" w:pos="426"/>
        </w:tabs>
        <w:spacing w:line="360" w:lineRule="auto"/>
        <w:ind w:left="426" w:hanging="426"/>
        <w:jc w:val="both"/>
        <w:rPr>
          <w:rFonts w:ascii="Arial" w:hAnsi="Arial" w:cs="Arial"/>
          <w:sz w:val="20"/>
          <w:szCs w:val="20"/>
        </w:rPr>
      </w:pPr>
      <w:r w:rsidRPr="00DA69F2">
        <w:rPr>
          <w:rFonts w:ascii="Arial" w:hAnsi="Arial" w:cs="Arial"/>
          <w:sz w:val="20"/>
          <w:szCs w:val="20"/>
        </w:rPr>
        <w:t>CLC</w:t>
      </w:r>
    </w:p>
    <w:p w:rsidR="00ED2384" w:rsidRDefault="00ED2384" w:rsidP="00B124A4">
      <w:pPr>
        <w:spacing w:line="360" w:lineRule="auto"/>
        <w:jc w:val="both"/>
        <w:rPr>
          <w:rFonts w:ascii="Arial" w:hAnsi="Arial" w:cs="Arial"/>
        </w:rPr>
      </w:pPr>
    </w:p>
    <w:p w:rsidR="00AE3F06" w:rsidRDefault="00AE3F06" w:rsidP="00ED2384">
      <w:pPr>
        <w:spacing w:line="360" w:lineRule="auto"/>
        <w:rPr>
          <w:rFonts w:ascii="Arial" w:hAnsi="Arial" w:cs="Arial"/>
          <w:sz w:val="18"/>
          <w:szCs w:val="18"/>
        </w:rPr>
      </w:pPr>
    </w:p>
    <w:p w:rsidR="00A05034" w:rsidRPr="00135AD3" w:rsidRDefault="00A05034" w:rsidP="00D2507C">
      <w:pPr>
        <w:pStyle w:val="Ttulo1"/>
        <w:keepNext/>
        <w:spacing w:before="240" w:after="240" w:line="240" w:lineRule="auto"/>
        <w:jc w:val="center"/>
        <w:rPr>
          <w:bCs/>
          <w:kern w:val="32"/>
          <w:sz w:val="28"/>
          <w:szCs w:val="28"/>
        </w:rPr>
      </w:pPr>
      <w:bookmarkStart w:id="1" w:name="_Toc71366619"/>
      <w:bookmarkStart w:id="2" w:name="_Toc76280777"/>
      <w:bookmarkStart w:id="3" w:name="_Toc264991738"/>
      <w:bookmarkStart w:id="4" w:name="_Toc268088410"/>
      <w:bookmarkStart w:id="5" w:name="_Toc268522285"/>
      <w:bookmarkStart w:id="6" w:name="_Toc277345228"/>
      <w:bookmarkStart w:id="7" w:name="_Toc400369718"/>
      <w:bookmarkStart w:id="8" w:name="_Toc239140086"/>
      <w:r w:rsidRPr="00135AD3">
        <w:rPr>
          <w:bCs/>
          <w:kern w:val="32"/>
          <w:sz w:val="28"/>
          <w:szCs w:val="28"/>
        </w:rPr>
        <w:lastRenderedPageBreak/>
        <w:t>DICTAMEN</w:t>
      </w:r>
      <w:bookmarkEnd w:id="1"/>
      <w:bookmarkEnd w:id="2"/>
      <w:bookmarkEnd w:id="3"/>
      <w:bookmarkEnd w:id="4"/>
      <w:bookmarkEnd w:id="5"/>
      <w:bookmarkEnd w:id="6"/>
      <w:bookmarkEnd w:id="7"/>
    </w:p>
    <w:p w:rsidR="00A05034" w:rsidRPr="00D2507C" w:rsidRDefault="00A05034" w:rsidP="00D2507C">
      <w:pPr>
        <w:pStyle w:val="Textoindependiente"/>
        <w:spacing w:after="0" w:line="360" w:lineRule="auto"/>
        <w:jc w:val="both"/>
        <w:rPr>
          <w:rFonts w:ascii="Arial" w:hAnsi="Arial" w:cs="Arial"/>
        </w:rPr>
      </w:pPr>
      <w:r w:rsidRPr="00D2507C">
        <w:rPr>
          <w:rFonts w:ascii="Arial" w:hAnsi="Arial" w:cs="Arial"/>
        </w:rPr>
        <w:t>El Tribunal de Cuentas ha examinado la Rendición de Cuentas y el Balance de Ejecución Presupuestal de la Intendencia de Montevideo, que  comprenden los siguientes estados: de Ejecución Presupuestal con relación a los Recursos y a los Créditos, Resultado del Ejercicio, Resultados acumulados y otros estados complementarios, correspondiente al ejercicio finalizado el 31/12/2015.</w:t>
      </w:r>
    </w:p>
    <w:p w:rsidR="00A05034" w:rsidRPr="00D2507C" w:rsidRDefault="00A05034" w:rsidP="00D2507C">
      <w:pPr>
        <w:pStyle w:val="Textoindependiente"/>
        <w:spacing w:after="0" w:line="360" w:lineRule="auto"/>
        <w:jc w:val="both"/>
        <w:rPr>
          <w:rFonts w:ascii="Arial" w:hAnsi="Arial" w:cs="Arial"/>
        </w:rPr>
      </w:pPr>
      <w:r w:rsidRPr="00D2507C">
        <w:rPr>
          <w:rFonts w:ascii="Arial" w:hAnsi="Arial" w:cs="Arial"/>
        </w:rPr>
        <w:t>También se presentan, en caso de corresponder, los incumplimientos legales constatados por el Tribunal de Cuentas en el curso de la auditoría efectuada.</w:t>
      </w:r>
    </w:p>
    <w:p w:rsidR="00A05034" w:rsidRDefault="00A05034" w:rsidP="00D2507C">
      <w:pPr>
        <w:spacing w:line="360" w:lineRule="auto"/>
        <w:jc w:val="both"/>
        <w:rPr>
          <w:rFonts w:ascii="Arial" w:hAnsi="Arial" w:cs="Arial"/>
        </w:rPr>
      </w:pPr>
    </w:p>
    <w:p w:rsidR="00A05034" w:rsidRPr="00D2507C" w:rsidRDefault="00A05034" w:rsidP="00D2507C">
      <w:pPr>
        <w:pStyle w:val="Subttulo"/>
        <w:rPr>
          <w:rFonts w:ascii="Arial" w:hAnsi="Arial" w:cs="Arial"/>
          <w:bCs/>
        </w:rPr>
      </w:pPr>
      <w:r w:rsidRPr="00D2507C">
        <w:rPr>
          <w:rFonts w:ascii="Arial" w:hAnsi="Arial" w:cs="Arial"/>
          <w:bCs/>
        </w:rPr>
        <w:t>Responsabilidad de la Dirección de la Intendencia</w:t>
      </w:r>
    </w:p>
    <w:p w:rsidR="00A05034" w:rsidRPr="00D2507C" w:rsidRDefault="00A05034" w:rsidP="00D2507C">
      <w:pPr>
        <w:pStyle w:val="Textoindependiente"/>
        <w:spacing w:after="0" w:line="360" w:lineRule="auto"/>
        <w:jc w:val="both"/>
        <w:rPr>
          <w:rFonts w:ascii="Arial" w:hAnsi="Arial" w:cs="Arial"/>
        </w:rPr>
      </w:pPr>
      <w:r w:rsidRPr="00D2507C">
        <w:rPr>
          <w:rFonts w:ascii="Arial" w:hAnsi="Arial" w:cs="Arial"/>
        </w:rPr>
        <w:t>La Dirección de la Intendencia es responsable por la preparación y la razonable presentación de estos estados de ejecución presupuestal de acuerdo con la normativa vigente y con la Resolución de este Tribunal de fecha 28/01/2004.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A05034" w:rsidRDefault="00A05034" w:rsidP="00D2507C">
      <w:pPr>
        <w:pStyle w:val="Textoindependiente"/>
        <w:spacing w:after="0" w:line="360" w:lineRule="auto"/>
        <w:rPr>
          <w:rFonts w:cs="Arial"/>
          <w:highlight w:val="yellow"/>
        </w:rPr>
      </w:pPr>
    </w:p>
    <w:p w:rsidR="00A05034" w:rsidRDefault="00A05034" w:rsidP="00D2507C">
      <w:pPr>
        <w:pStyle w:val="Subttulo"/>
        <w:rPr>
          <w:rFonts w:ascii="Arial" w:hAnsi="Arial" w:cs="Arial"/>
          <w:bCs/>
        </w:rPr>
      </w:pPr>
      <w:r>
        <w:rPr>
          <w:rFonts w:ascii="Arial" w:hAnsi="Arial" w:cs="Arial"/>
          <w:bCs/>
        </w:rPr>
        <w:t>Responsabilidad del auditor</w:t>
      </w:r>
    </w:p>
    <w:p w:rsidR="00A05034" w:rsidRDefault="00A05034" w:rsidP="00D2507C">
      <w:pPr>
        <w:pStyle w:val="Textonormal"/>
        <w:widowControl/>
        <w:tabs>
          <w:tab w:val="clear" w:pos="-720"/>
        </w:tabs>
        <w:suppressAutoHyphens w:val="0"/>
        <w:spacing w:line="360" w:lineRule="auto"/>
        <w:rPr>
          <w:rFonts w:ascii="Arial" w:hAnsi="Arial" w:cs="Arial"/>
          <w:spacing w:val="0"/>
          <w:lang w:val="es-ES"/>
        </w:rPr>
      </w:pPr>
      <w:r>
        <w:rPr>
          <w:rFonts w:ascii="Arial" w:hAnsi="Arial" w:cs="Arial"/>
          <w:spacing w:val="0"/>
          <w:lang w:val="es-ES"/>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p>
    <w:p w:rsidR="00A05034" w:rsidRDefault="00A05034" w:rsidP="00D2507C">
      <w:pPr>
        <w:pStyle w:val="Textoindependiente"/>
        <w:spacing w:after="0" w:line="360" w:lineRule="auto"/>
        <w:jc w:val="both"/>
        <w:rPr>
          <w:rFonts w:ascii="Arial" w:hAnsi="Arial" w:cs="Arial"/>
        </w:rPr>
      </w:pPr>
      <w:r w:rsidRPr="00D2507C">
        <w:rPr>
          <w:rFonts w:ascii="Arial" w:hAnsi="Arial" w:cs="Arial"/>
        </w:rPr>
        <w:t>Estas normas requieren que se cumpla con los requisitos éticos, se planifique y se realice la auditoría para obtener seguridad razonable acerca de si los estados contables están libres de errores significativos.</w:t>
      </w:r>
    </w:p>
    <w:p w:rsidR="00D2507C" w:rsidRPr="00D2507C" w:rsidRDefault="00D2507C" w:rsidP="00D2507C">
      <w:pPr>
        <w:pStyle w:val="Textoindependiente"/>
        <w:spacing w:after="0" w:line="360" w:lineRule="auto"/>
        <w:jc w:val="both"/>
        <w:rPr>
          <w:rFonts w:ascii="Arial" w:hAnsi="Arial" w:cs="Arial"/>
        </w:rPr>
      </w:pPr>
    </w:p>
    <w:p w:rsidR="00A05034" w:rsidRPr="00D2507C" w:rsidRDefault="00A05034" w:rsidP="00D2507C">
      <w:pPr>
        <w:pStyle w:val="Textoindependiente"/>
        <w:spacing w:after="0" w:line="360" w:lineRule="auto"/>
        <w:jc w:val="both"/>
        <w:rPr>
          <w:rFonts w:ascii="Arial" w:hAnsi="Arial" w:cs="Arial"/>
        </w:rPr>
      </w:pPr>
      <w:r w:rsidRPr="00D2507C">
        <w:rPr>
          <w:rFonts w:ascii="Arial" w:hAnsi="Arial"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ejecución presupuestal.</w:t>
      </w:r>
    </w:p>
    <w:p w:rsidR="00A05034" w:rsidRPr="00D2507C" w:rsidRDefault="00A05034" w:rsidP="00D2507C">
      <w:pPr>
        <w:pStyle w:val="Textoindependiente"/>
        <w:spacing w:after="0" w:line="360" w:lineRule="auto"/>
        <w:jc w:val="both"/>
        <w:rPr>
          <w:rFonts w:ascii="Arial" w:hAnsi="Arial" w:cs="Arial"/>
          <w:bCs/>
        </w:rPr>
      </w:pPr>
      <w:r w:rsidRPr="00D2507C">
        <w:rPr>
          <w:rFonts w:ascii="Arial" w:hAnsi="Arial" w:cs="Arial"/>
          <w:bCs/>
        </w:rPr>
        <w:t>Se considera que la evidencia de auditoría obtenida brinda una base suficiente y apropiada para sustentar la opinión.</w:t>
      </w:r>
    </w:p>
    <w:p w:rsidR="00A05034" w:rsidRDefault="00A05034" w:rsidP="00D2507C">
      <w:pPr>
        <w:pStyle w:val="Textoindependiente"/>
        <w:spacing w:after="0" w:line="360" w:lineRule="auto"/>
        <w:rPr>
          <w:rFonts w:cs="Arial"/>
          <w:bCs/>
        </w:rPr>
      </w:pPr>
    </w:p>
    <w:p w:rsidR="00A05034" w:rsidRPr="00D2507C" w:rsidRDefault="00A05034" w:rsidP="00D2507C">
      <w:pPr>
        <w:pStyle w:val="Subttulo"/>
        <w:rPr>
          <w:rFonts w:ascii="Arial" w:hAnsi="Arial" w:cs="Arial"/>
          <w:kern w:val="0"/>
        </w:rPr>
      </w:pPr>
      <w:r w:rsidRPr="00D2507C">
        <w:rPr>
          <w:rFonts w:ascii="Arial" w:hAnsi="Arial" w:cs="Arial"/>
          <w:kern w:val="0"/>
        </w:rPr>
        <w:t>Opinión</w:t>
      </w:r>
    </w:p>
    <w:p w:rsidR="00A05034" w:rsidRPr="00D2507C" w:rsidRDefault="00A05034" w:rsidP="00D2507C">
      <w:pPr>
        <w:pStyle w:val="Textoindependiente"/>
        <w:spacing w:after="0" w:line="360" w:lineRule="auto"/>
        <w:jc w:val="both"/>
        <w:rPr>
          <w:rFonts w:ascii="Arial" w:hAnsi="Arial" w:cs="Arial"/>
        </w:rPr>
      </w:pPr>
      <w:r w:rsidRPr="00D2507C">
        <w:rPr>
          <w:rFonts w:ascii="Arial" w:hAnsi="Arial" w:cs="Arial"/>
        </w:rPr>
        <w:t xml:space="preserve">En opinión del Tribunal de Cuentas, el Balance de Ejecución Presupuestal mencionado presenta razonablemente, en todos sus aspectos importantes, la </w:t>
      </w:r>
    </w:p>
    <w:p w:rsidR="00A05034" w:rsidRPr="00D2507C" w:rsidRDefault="00A05034" w:rsidP="00D2507C">
      <w:pPr>
        <w:pStyle w:val="Textoindependiente"/>
        <w:spacing w:after="0" w:line="360" w:lineRule="auto"/>
        <w:jc w:val="both"/>
        <w:rPr>
          <w:rFonts w:ascii="Arial" w:hAnsi="Arial" w:cs="Arial"/>
        </w:rPr>
      </w:pPr>
      <w:proofErr w:type="gramStart"/>
      <w:r w:rsidRPr="00D2507C">
        <w:rPr>
          <w:rFonts w:ascii="Arial" w:hAnsi="Arial" w:cs="Arial"/>
        </w:rPr>
        <w:t>ejecución</w:t>
      </w:r>
      <w:proofErr w:type="gramEnd"/>
      <w:r w:rsidRPr="00D2507C">
        <w:rPr>
          <w:rFonts w:ascii="Arial" w:hAnsi="Arial" w:cs="Arial"/>
        </w:rPr>
        <w:t xml:space="preserve"> presupuestal de la Intendencia de Montevideo correspondiente al ejercicio finalizado el 31/12/2015, de acuerdo a las normas establecidas en el TOCAF y la Resolución de este Tribunal de fecha 28/01/2004.</w:t>
      </w:r>
    </w:p>
    <w:p w:rsidR="00A05034" w:rsidRPr="00D2507C" w:rsidRDefault="00A05034" w:rsidP="00D2507C">
      <w:pPr>
        <w:pStyle w:val="Textoindependiente"/>
        <w:spacing w:after="0" w:line="360" w:lineRule="auto"/>
        <w:jc w:val="both"/>
        <w:rPr>
          <w:rFonts w:ascii="Arial" w:hAnsi="Arial" w:cs="Arial"/>
        </w:rPr>
      </w:pPr>
    </w:p>
    <w:p w:rsidR="00A05034" w:rsidRPr="00D2507C" w:rsidRDefault="00A05034" w:rsidP="00D2507C">
      <w:pPr>
        <w:pStyle w:val="Textoindependiente"/>
        <w:spacing w:after="0" w:line="360" w:lineRule="auto"/>
        <w:jc w:val="both"/>
        <w:rPr>
          <w:rFonts w:ascii="Arial" w:hAnsi="Arial" w:cs="Arial"/>
        </w:rPr>
      </w:pPr>
      <w:r w:rsidRPr="00D2507C">
        <w:rPr>
          <w:rFonts w:ascii="Arial" w:hAnsi="Arial" w:cs="Arial"/>
        </w:rPr>
        <w:t>Con relación al cumplimiento de la normativa vigente, en el curso de la auditoría realizada, se ha constatado que:</w:t>
      </w:r>
    </w:p>
    <w:p w:rsidR="00A05034" w:rsidRDefault="00A05034" w:rsidP="00D2507C">
      <w:pPr>
        <w:pStyle w:val="Textoindependiente"/>
        <w:spacing w:after="0" w:line="360" w:lineRule="auto"/>
        <w:rPr>
          <w:rFonts w:cs="Arial"/>
        </w:rPr>
      </w:pPr>
    </w:p>
    <w:p w:rsidR="00A05034" w:rsidRDefault="00A05034" w:rsidP="00D2507C">
      <w:pPr>
        <w:spacing w:line="360" w:lineRule="auto"/>
        <w:jc w:val="both"/>
        <w:rPr>
          <w:rFonts w:ascii="Arial" w:hAnsi="Arial" w:cs="Arial"/>
        </w:rPr>
      </w:pPr>
      <w:r>
        <w:rPr>
          <w:rFonts w:ascii="Arial" w:hAnsi="Arial" w:cs="Arial"/>
          <w:b/>
          <w:color w:val="000000"/>
        </w:rPr>
        <w:t>1</w:t>
      </w:r>
      <w:r w:rsidRPr="000062FC">
        <w:rPr>
          <w:rFonts w:ascii="Arial" w:hAnsi="Arial" w:cs="Arial"/>
          <w:b/>
          <w:color w:val="000000"/>
        </w:rPr>
        <w:t xml:space="preserve">- Artículo </w:t>
      </w:r>
      <w:r w:rsidRPr="000062FC">
        <w:rPr>
          <w:rFonts w:ascii="Arial" w:hAnsi="Arial" w:cs="Arial"/>
          <w:b/>
        </w:rPr>
        <w:t>86 de la Constitución de la República y Presupuesto Quinquenal 2011-2015 de la Intendencia:</w:t>
      </w:r>
      <w:r>
        <w:rPr>
          <w:rFonts w:ascii="Arial" w:hAnsi="Arial" w:cs="Arial"/>
        </w:rPr>
        <w:t xml:space="preserve"> D</w:t>
      </w:r>
      <w:r w:rsidRPr="000062FC">
        <w:rPr>
          <w:rFonts w:ascii="Arial" w:hAnsi="Arial" w:cs="Arial"/>
        </w:rPr>
        <w:t>urante el Ejercicio  2015 no se dio cumplimiento a la estructura orgánica establecida en la instancia presupuestal, al no respetarse en su totalidad la estructura de escalafones y cargos funcionales aprobados.</w:t>
      </w:r>
    </w:p>
    <w:p w:rsidR="00A05034" w:rsidRPr="001B59ED" w:rsidRDefault="00A05034" w:rsidP="00D2507C">
      <w:pPr>
        <w:widowControl w:val="0"/>
        <w:spacing w:line="360" w:lineRule="auto"/>
        <w:jc w:val="both"/>
        <w:rPr>
          <w:rFonts w:ascii="Arial" w:hAnsi="Arial" w:cs="Arial"/>
          <w:b/>
          <w:bCs/>
        </w:rPr>
      </w:pPr>
      <w:r>
        <w:rPr>
          <w:rFonts w:ascii="Arial" w:hAnsi="Arial" w:cs="Arial"/>
          <w:b/>
          <w:bCs/>
        </w:rPr>
        <w:t xml:space="preserve">2- Artículo 211 Literal B) de la Constitución de la República, Artículos 13, 14,  15, </w:t>
      </w:r>
      <w:r w:rsidRPr="00BB1E53">
        <w:rPr>
          <w:rFonts w:ascii="Arial" w:hAnsi="Arial" w:cs="Arial"/>
          <w:b/>
          <w:bCs/>
        </w:rPr>
        <w:t>16</w:t>
      </w:r>
      <w:r>
        <w:rPr>
          <w:rFonts w:ascii="Arial" w:hAnsi="Arial" w:cs="Arial"/>
          <w:b/>
          <w:bCs/>
        </w:rPr>
        <w:t xml:space="preserve"> y 132 Inciso 2</w:t>
      </w:r>
      <w:r w:rsidRPr="00BB1E53">
        <w:rPr>
          <w:rFonts w:ascii="Arial" w:hAnsi="Arial" w:cs="Arial"/>
          <w:b/>
          <w:bCs/>
        </w:rPr>
        <w:t xml:space="preserve"> del TOCAF</w:t>
      </w:r>
      <w:r w:rsidRPr="00BB1E53">
        <w:rPr>
          <w:rFonts w:ascii="Arial" w:hAnsi="Arial" w:cs="Arial"/>
          <w:b/>
        </w:rPr>
        <w:t xml:space="preserve"> y</w:t>
      </w:r>
      <w:r>
        <w:rPr>
          <w:rFonts w:ascii="Arial" w:hAnsi="Arial" w:cs="Arial"/>
          <w:b/>
        </w:rPr>
        <w:t xml:space="preserve"> Artículo 13 de la Resolución de la Intendencia Nº 1.155/</w:t>
      </w:r>
      <w:r w:rsidRPr="00A05A0B">
        <w:rPr>
          <w:rFonts w:ascii="Arial" w:hAnsi="Arial" w:cs="Arial"/>
          <w:b/>
        </w:rPr>
        <w:t>97 de 14/04/97</w:t>
      </w:r>
      <w:r w:rsidRPr="00A05A0B">
        <w:rPr>
          <w:rFonts w:ascii="Arial" w:hAnsi="Arial" w:cs="Arial"/>
          <w:b/>
          <w:bCs/>
        </w:rPr>
        <w:t xml:space="preserve">: </w:t>
      </w:r>
      <w:r w:rsidRPr="00A05A0B">
        <w:rPr>
          <w:rFonts w:ascii="Arial" w:hAnsi="Arial" w:cs="Arial"/>
          <w:bCs/>
        </w:rPr>
        <w:t>Durante</w:t>
      </w:r>
      <w:r w:rsidRPr="00A05A0B">
        <w:rPr>
          <w:rFonts w:ascii="Arial" w:hAnsi="Arial" w:cs="Arial"/>
        </w:rPr>
        <w:t xml:space="preserve"> el </w:t>
      </w:r>
      <w:r>
        <w:rPr>
          <w:rFonts w:ascii="Arial" w:hAnsi="Arial" w:cs="Arial"/>
        </w:rPr>
        <w:t>E</w:t>
      </w:r>
      <w:r w:rsidRPr="00A05A0B">
        <w:rPr>
          <w:rFonts w:ascii="Arial" w:hAnsi="Arial" w:cs="Arial"/>
        </w:rPr>
        <w:t>jercicio 2015 algunos de los gastos realizados con Fondos Fijos fueron observados por el Contador Delegado actuante por contravenir dichas disposiciones.</w:t>
      </w:r>
    </w:p>
    <w:p w:rsidR="00A05034" w:rsidRDefault="00A05034" w:rsidP="00D2507C">
      <w:pPr>
        <w:widowControl w:val="0"/>
        <w:spacing w:line="360" w:lineRule="auto"/>
        <w:jc w:val="both"/>
        <w:rPr>
          <w:rFonts w:ascii="Arial" w:hAnsi="Arial" w:cs="Arial"/>
        </w:rPr>
      </w:pPr>
      <w:r>
        <w:rPr>
          <w:rFonts w:ascii="Arial" w:hAnsi="Arial" w:cs="Arial"/>
          <w:b/>
          <w:bCs/>
        </w:rPr>
        <w:t xml:space="preserve">3- Artículo 211 Literal B) de la Constitución de la República, Artículos 13, 15 y 33 del TOCAF: </w:t>
      </w:r>
      <w:r>
        <w:rPr>
          <w:rFonts w:ascii="Arial" w:hAnsi="Arial" w:cs="Arial"/>
        </w:rPr>
        <w:t>Durante</w:t>
      </w:r>
      <w:r>
        <w:rPr>
          <w:rFonts w:ascii="Arial" w:hAnsi="Arial" w:cs="Arial"/>
          <w:b/>
          <w:bCs/>
        </w:rPr>
        <w:t xml:space="preserve"> </w:t>
      </w:r>
      <w:r>
        <w:rPr>
          <w:rFonts w:ascii="Arial" w:hAnsi="Arial" w:cs="Arial"/>
        </w:rPr>
        <w:t>el Ejercicio 2015 el Contador Delegado actuante observó algunos de los gastos realizados tanto con Organizaciones no Gubernamentales, como de arrendamientos de servicios contratados, por incumplimiento de lo dispuesto en dichas normas.</w:t>
      </w:r>
    </w:p>
    <w:p w:rsidR="00A05034" w:rsidRDefault="00A05034" w:rsidP="00D2507C">
      <w:pPr>
        <w:widowControl w:val="0"/>
        <w:tabs>
          <w:tab w:val="left" w:pos="284"/>
        </w:tabs>
        <w:spacing w:line="360" w:lineRule="auto"/>
        <w:jc w:val="both"/>
        <w:rPr>
          <w:rFonts w:ascii="Arial" w:hAnsi="Arial" w:cs="Arial"/>
        </w:rPr>
      </w:pPr>
      <w:r>
        <w:rPr>
          <w:rFonts w:ascii="Arial" w:hAnsi="Arial" w:cs="Arial"/>
          <w:b/>
          <w:bCs/>
        </w:rPr>
        <w:t>4- Artículo 211 Literal B) de la Constitución de la República, Artículos 15 y 33 del TOCAF:</w:t>
      </w:r>
      <w:r>
        <w:rPr>
          <w:rFonts w:ascii="Arial" w:hAnsi="Arial" w:cs="Arial"/>
        </w:rPr>
        <w:t xml:space="preserve"> La Comuna efectuó Contratos de Donación Modal que </w:t>
      </w:r>
      <w:r>
        <w:rPr>
          <w:rFonts w:ascii="Arial" w:hAnsi="Arial" w:cs="Arial"/>
          <w:lang w:val="es-MX"/>
        </w:rPr>
        <w:t>no contienen los elementos que la legislación aplicable establece para su calificación como tales, incurriendo en incumplimiento de lo</w:t>
      </w:r>
      <w:r>
        <w:rPr>
          <w:rFonts w:ascii="Arial" w:hAnsi="Arial" w:cs="Arial"/>
        </w:rPr>
        <w:t>s procedimientos de contratación establecidos por el TOCAF. Los mismos fueron observados por el Contador Delegado.</w:t>
      </w:r>
    </w:p>
    <w:p w:rsidR="00A05034" w:rsidRPr="00D2507C" w:rsidRDefault="00A05034" w:rsidP="00D2507C">
      <w:pPr>
        <w:pStyle w:val="Textoindependiente"/>
        <w:spacing w:after="0" w:line="360" w:lineRule="auto"/>
        <w:jc w:val="both"/>
        <w:rPr>
          <w:rFonts w:ascii="Arial" w:hAnsi="Arial" w:cs="Arial"/>
        </w:rPr>
      </w:pPr>
      <w:r w:rsidRPr="00D2507C">
        <w:rPr>
          <w:rFonts w:ascii="Arial" w:hAnsi="Arial" w:cs="Arial"/>
          <w:b/>
          <w:bCs/>
        </w:rPr>
        <w:t>5- Artículo 211 Literal B) de la Constitución de la República, Artículo 15 del TOCAF, Artículo 44 inc. C de</w:t>
      </w:r>
      <w:r w:rsidRPr="00D2507C">
        <w:rPr>
          <w:rStyle w:val="field-content"/>
          <w:rFonts w:ascii="Arial" w:hAnsi="Arial" w:cs="Arial"/>
          <w:b/>
        </w:rPr>
        <w:t xml:space="preserve"> la Ley Nº 9.515, Artículo 97 del Decreto  Nº 95/91 y Artículo 48 de la Resolución Nº 662/07 de la DGI</w:t>
      </w:r>
      <w:r w:rsidRPr="00D2507C">
        <w:rPr>
          <w:rStyle w:val="field-content"/>
          <w:rFonts w:ascii="Arial" w:hAnsi="Arial" w:cs="Arial"/>
        </w:rPr>
        <w:t xml:space="preserve">: </w:t>
      </w:r>
      <w:r w:rsidRPr="00D2507C">
        <w:rPr>
          <w:rFonts w:ascii="Arial" w:hAnsi="Arial" w:cs="Arial"/>
        </w:rPr>
        <w:t xml:space="preserve">El pago de haberes fue observado por los </w:t>
      </w:r>
      <w:proofErr w:type="spellStart"/>
      <w:r w:rsidRPr="00D2507C">
        <w:rPr>
          <w:rFonts w:ascii="Arial" w:hAnsi="Arial" w:cs="Arial"/>
        </w:rPr>
        <w:t>Cres</w:t>
      </w:r>
      <w:proofErr w:type="spellEnd"/>
      <w:r w:rsidRPr="00D2507C">
        <w:rPr>
          <w:rFonts w:ascii="Arial" w:hAnsi="Arial" w:cs="Arial"/>
        </w:rPr>
        <w:t>. Delegados en el Ejercicio 2015, por contravenir los artículos mencionados.</w:t>
      </w:r>
      <w:r w:rsidRPr="00D2507C">
        <w:rPr>
          <w:rStyle w:val="field-content"/>
          <w:rFonts w:ascii="Arial" w:hAnsi="Arial" w:cs="Arial"/>
        </w:rPr>
        <w:t xml:space="preserve"> Asimismo, e</w:t>
      </w:r>
      <w:r w:rsidRPr="00D2507C">
        <w:rPr>
          <w:rFonts w:ascii="Arial" w:hAnsi="Arial" w:cs="Arial"/>
        </w:rPr>
        <w:t>n las resoluciones de reiteración relativas a retribuciones, no consta identificación de gastos reiterados con el importe correspondiente.</w:t>
      </w:r>
    </w:p>
    <w:p w:rsidR="00A05034" w:rsidRDefault="00A05034" w:rsidP="00D2507C">
      <w:pPr>
        <w:spacing w:line="360" w:lineRule="auto"/>
        <w:jc w:val="both"/>
        <w:rPr>
          <w:rFonts w:ascii="Arial" w:hAnsi="Arial" w:cs="Arial"/>
        </w:rPr>
      </w:pPr>
      <w:r>
        <w:rPr>
          <w:rFonts w:ascii="Arial" w:hAnsi="Arial" w:cs="Arial"/>
          <w:b/>
          <w:color w:val="000000"/>
        </w:rPr>
        <w:t xml:space="preserve">6- </w:t>
      </w:r>
      <w:r>
        <w:rPr>
          <w:rFonts w:ascii="Arial" w:hAnsi="Arial" w:cs="Arial"/>
          <w:b/>
        </w:rPr>
        <w:t>Artículo 297 de la Constitución de la República, Artículos 93 y 94 del Código Tributario, Artículos 236 a 241 de la Ley Nº 13.637,</w:t>
      </w:r>
      <w:r>
        <w:rPr>
          <w:rFonts w:ascii="Arial" w:hAnsi="Arial" w:cs="Arial"/>
          <w:b/>
          <w:color w:val="FF0000"/>
        </w:rPr>
        <w:t xml:space="preserve"> </w:t>
      </w:r>
      <w:r>
        <w:rPr>
          <w:rFonts w:ascii="Arial" w:hAnsi="Arial" w:cs="Arial"/>
          <w:b/>
        </w:rPr>
        <w:t>Artículo 470 de la Ley Nº 17.930 y Artículo 775 de la Ley Nº 18.719</w:t>
      </w:r>
      <w:r w:rsidRPr="00BB1E53">
        <w:rPr>
          <w:rFonts w:ascii="Arial" w:hAnsi="Arial" w:cs="Arial"/>
          <w:b/>
        </w:rPr>
        <w:t>:</w:t>
      </w:r>
      <w:r w:rsidRPr="00BB1E53">
        <w:rPr>
          <w:rFonts w:ascii="Arial" w:hAnsi="Arial" w:cs="Arial"/>
        </w:rPr>
        <w:t xml:space="preserve"> Las multas por mora en el pago de la Contribución Inmobiliaria Rural aplicadas por la Comuna no se ajustaron a lo est</w:t>
      </w:r>
      <w:r w:rsidR="00D2507C">
        <w:rPr>
          <w:rFonts w:ascii="Arial" w:hAnsi="Arial" w:cs="Arial"/>
        </w:rPr>
        <w:t>ablecido en las citadas normas.</w:t>
      </w:r>
    </w:p>
    <w:p w:rsidR="00D2507C" w:rsidRDefault="00D2507C" w:rsidP="00D2507C">
      <w:pPr>
        <w:spacing w:line="360" w:lineRule="auto"/>
        <w:jc w:val="both"/>
        <w:rPr>
          <w:rFonts w:ascii="Arial" w:hAnsi="Arial" w:cs="Arial"/>
        </w:rPr>
      </w:pPr>
    </w:p>
    <w:p w:rsidR="00D2507C" w:rsidRDefault="00D2507C" w:rsidP="00D2507C">
      <w:pPr>
        <w:spacing w:line="360" w:lineRule="auto"/>
        <w:jc w:val="both"/>
        <w:rPr>
          <w:rFonts w:ascii="Arial" w:hAnsi="Arial" w:cs="Arial"/>
          <w:b/>
          <w:bCs/>
          <w:highlight w:val="yellow"/>
        </w:rPr>
      </w:pPr>
    </w:p>
    <w:p w:rsidR="00A05034" w:rsidRDefault="00A05034" w:rsidP="00D2507C">
      <w:pPr>
        <w:widowControl w:val="0"/>
        <w:tabs>
          <w:tab w:val="left" w:pos="284"/>
        </w:tabs>
        <w:spacing w:line="360" w:lineRule="auto"/>
        <w:jc w:val="both"/>
        <w:rPr>
          <w:rFonts w:ascii="Arial" w:hAnsi="Arial" w:cs="Arial"/>
        </w:rPr>
      </w:pPr>
      <w:r>
        <w:rPr>
          <w:rFonts w:ascii="Arial" w:hAnsi="Arial" w:cs="Arial"/>
          <w:b/>
          <w:bCs/>
        </w:rPr>
        <w:t>7</w:t>
      </w:r>
      <w:r w:rsidRPr="00BB40F9">
        <w:rPr>
          <w:rFonts w:ascii="Arial" w:hAnsi="Arial" w:cs="Arial"/>
          <w:b/>
          <w:bCs/>
        </w:rPr>
        <w:t xml:space="preserve">- </w:t>
      </w:r>
      <w:r w:rsidRPr="00BB40F9">
        <w:rPr>
          <w:rFonts w:ascii="Arial" w:hAnsi="Arial" w:cs="Arial"/>
          <w:b/>
        </w:rPr>
        <w:t>Artículos 16 y 89 del TOCAF, Resolución del Tribunal de Cuentas de fecha 09/07/96 y</w:t>
      </w:r>
      <w:r w:rsidRPr="00BB40F9">
        <w:rPr>
          <w:rFonts w:ascii="Arial" w:hAnsi="Arial" w:cs="Arial"/>
          <w:b/>
          <w:bCs/>
        </w:rPr>
        <w:t xml:space="preserve"> Resolución de la Intendencia Nº 1.155/97 de 14/04/97</w:t>
      </w:r>
      <w:r w:rsidRPr="00BB40F9">
        <w:rPr>
          <w:rFonts w:ascii="Arial" w:hAnsi="Arial" w:cs="Arial"/>
          <w:b/>
        </w:rPr>
        <w:t xml:space="preserve">: </w:t>
      </w:r>
      <w:r w:rsidRPr="00BB40F9">
        <w:rPr>
          <w:rFonts w:ascii="Arial" w:hAnsi="Arial" w:cs="Arial"/>
        </w:rPr>
        <w:t>Los gastos relativos a la Comisión Administradora del Mercado Modelo (CAMM) referentes a sueldos del personal, fueron imputados en su mayoría (96%) como gastos de funcionamiento y no como retribuciones personales. La  Resolución del Tribunal de Cuentas establece que la CAMM cumple una actividad municipal en bienes de propiedad municipal, en la que se perciben recursos municipales, por lo tanto todo el régimen de funcionamiento de la misma debe ser bajo la normativa del Derecho Público, con todas las consecuencias que de ello se derivan.</w:t>
      </w:r>
      <w:r w:rsidRPr="00BB40F9">
        <w:rPr>
          <w:rFonts w:ascii="Arial" w:hAnsi="Arial" w:cs="Arial"/>
          <w:b/>
          <w:bCs/>
        </w:rPr>
        <w:t xml:space="preserve"> </w:t>
      </w:r>
      <w:r w:rsidRPr="00BB40F9">
        <w:rPr>
          <w:rFonts w:ascii="Arial" w:hAnsi="Arial" w:cs="Arial"/>
          <w:bCs/>
        </w:rPr>
        <w:t>Asimismo, se pagaron retribuciones personales con fondos fijos del Mercado Modelo, contraviniendo la Resolución de la Intendencia.</w:t>
      </w:r>
    </w:p>
    <w:p w:rsidR="00A05034" w:rsidRPr="00ED1587" w:rsidRDefault="00A05034" w:rsidP="00D2507C">
      <w:pPr>
        <w:spacing w:line="360" w:lineRule="auto"/>
        <w:jc w:val="both"/>
        <w:rPr>
          <w:rFonts w:ascii="Arial" w:hAnsi="Arial" w:cs="Arial"/>
          <w:b/>
          <w:bCs/>
        </w:rPr>
      </w:pPr>
      <w:r>
        <w:rPr>
          <w:rFonts w:ascii="Arial" w:hAnsi="Arial" w:cs="Arial"/>
          <w:b/>
          <w:bCs/>
        </w:rPr>
        <w:t xml:space="preserve">8- </w:t>
      </w:r>
      <w:r w:rsidRPr="00ED1587">
        <w:rPr>
          <w:rFonts w:ascii="Arial" w:hAnsi="Arial" w:cs="Arial"/>
          <w:b/>
          <w:bCs/>
        </w:rPr>
        <w:t>Art</w:t>
      </w:r>
      <w:r>
        <w:rPr>
          <w:rFonts w:ascii="Arial" w:hAnsi="Arial" w:cs="Arial"/>
          <w:b/>
          <w:bCs/>
        </w:rPr>
        <w:t xml:space="preserve">ículos 48, 65 y 149 del </w:t>
      </w:r>
      <w:r w:rsidRPr="003440A3">
        <w:rPr>
          <w:rFonts w:ascii="Arial" w:hAnsi="Arial" w:cs="Arial"/>
          <w:b/>
          <w:bCs/>
        </w:rPr>
        <w:t>TOCAF, Artículo</w:t>
      </w:r>
      <w:r>
        <w:rPr>
          <w:rFonts w:ascii="Arial" w:hAnsi="Arial" w:cs="Arial"/>
          <w:b/>
          <w:bCs/>
        </w:rPr>
        <w:t xml:space="preserve"> 35 de la Ley N° 9.515 y </w:t>
      </w:r>
      <w:r w:rsidRPr="00ED1587">
        <w:rPr>
          <w:rFonts w:ascii="Arial" w:hAnsi="Arial" w:cs="Arial"/>
          <w:b/>
          <w:bCs/>
        </w:rPr>
        <w:t>Resolución de fecha 11/05/2005, con la redacción dada por la Resolución de fecha 28/03/2007 del Tribunal de Cuentas</w:t>
      </w:r>
      <w:r>
        <w:rPr>
          <w:rFonts w:ascii="Arial" w:hAnsi="Arial" w:cs="Arial"/>
          <w:b/>
        </w:rPr>
        <w:t xml:space="preserve">: </w:t>
      </w:r>
      <w:r>
        <w:rPr>
          <w:rFonts w:ascii="Arial" w:hAnsi="Arial" w:cs="Arial"/>
          <w:snapToGrid w:val="0"/>
        </w:rPr>
        <w:t>No se dio cumplimiento a lo establecido en las referidas normas, respecto a las concesiones</w:t>
      </w:r>
      <w:r>
        <w:rPr>
          <w:rFonts w:ascii="Arial" w:hAnsi="Arial" w:cs="Arial"/>
          <w:b/>
          <w:bCs/>
          <w:snapToGrid w:val="0"/>
        </w:rPr>
        <w:t xml:space="preserve"> </w:t>
      </w:r>
      <w:r>
        <w:rPr>
          <w:rFonts w:ascii="Arial" w:hAnsi="Arial" w:cs="Arial"/>
          <w:snapToGrid w:val="0"/>
        </w:rPr>
        <w:t>existentes durante el Ejercicio 2015.</w:t>
      </w:r>
    </w:p>
    <w:p w:rsidR="00A05034" w:rsidRDefault="00A05034" w:rsidP="00D2507C">
      <w:pPr>
        <w:spacing w:line="360" w:lineRule="auto"/>
        <w:jc w:val="both"/>
        <w:rPr>
          <w:rFonts w:ascii="Arial" w:hAnsi="Arial" w:cs="Arial"/>
        </w:rPr>
      </w:pPr>
      <w:r>
        <w:rPr>
          <w:rFonts w:ascii="Arial" w:hAnsi="Arial" w:cs="Arial"/>
          <w:b/>
          <w:bCs/>
        </w:rPr>
        <w:t xml:space="preserve">9- </w:t>
      </w:r>
      <w:r w:rsidRPr="00C93B30">
        <w:rPr>
          <w:rFonts w:ascii="Arial" w:hAnsi="Arial" w:cs="Arial"/>
          <w:b/>
          <w:bCs/>
        </w:rPr>
        <w:t>Artículos 84 y 97</w:t>
      </w:r>
      <w:r>
        <w:rPr>
          <w:rFonts w:ascii="Arial" w:hAnsi="Arial" w:cs="Arial"/>
          <w:b/>
          <w:bCs/>
        </w:rPr>
        <w:t xml:space="preserve"> del TOCAF: </w:t>
      </w:r>
      <w:r>
        <w:rPr>
          <w:rFonts w:ascii="Arial" w:hAnsi="Arial" w:cs="Arial"/>
        </w:rPr>
        <w:t>La Intendencia no mantiene inventario actualizado de los bienes existentes en las distintas dependencias.</w:t>
      </w:r>
    </w:p>
    <w:p w:rsidR="00A05034" w:rsidRPr="007B313B" w:rsidRDefault="00A05034" w:rsidP="00D2507C">
      <w:pPr>
        <w:spacing w:line="360" w:lineRule="auto"/>
        <w:jc w:val="both"/>
        <w:rPr>
          <w:rFonts w:ascii="Arial" w:hAnsi="Arial" w:cs="Arial"/>
        </w:rPr>
      </w:pPr>
      <w:r>
        <w:rPr>
          <w:rFonts w:ascii="Arial" w:hAnsi="Arial" w:cs="Arial"/>
          <w:b/>
          <w:bCs/>
        </w:rPr>
        <w:t xml:space="preserve">10- </w:t>
      </w:r>
      <w:r w:rsidRPr="00A94A0F">
        <w:rPr>
          <w:rFonts w:ascii="Arial" w:hAnsi="Arial" w:cs="Arial"/>
          <w:b/>
          <w:bCs/>
        </w:rPr>
        <w:t>Artículos 90, 137 y</w:t>
      </w:r>
      <w:r>
        <w:rPr>
          <w:rFonts w:ascii="Arial" w:hAnsi="Arial" w:cs="Arial"/>
          <w:b/>
          <w:bCs/>
        </w:rPr>
        <w:t xml:space="preserve"> 154 del TOCAF:</w:t>
      </w:r>
      <w:r>
        <w:rPr>
          <w:rFonts w:ascii="Arial" w:hAnsi="Arial" w:cs="Arial"/>
          <w:b/>
        </w:rPr>
        <w:t xml:space="preserve"> </w:t>
      </w:r>
      <w:r>
        <w:rPr>
          <w:rFonts w:ascii="Arial" w:hAnsi="Arial" w:cs="Arial"/>
        </w:rPr>
        <w:t xml:space="preserve">La Administración no ha efectuado contrato de fianza o seguro de caución de fidelidad respecto a todo funcionario que maneje o custodie fondos o valores. Tampoco se ha contratado cobertura contra riesgo para el emisario subfluvial de Punta </w:t>
      </w:r>
      <w:r w:rsidRPr="007B313B">
        <w:rPr>
          <w:rFonts w:ascii="Arial" w:hAnsi="Arial" w:cs="Arial"/>
        </w:rPr>
        <w:t>Carretas.</w:t>
      </w:r>
    </w:p>
    <w:p w:rsidR="00A05034" w:rsidRDefault="00A05034" w:rsidP="00D2507C">
      <w:pPr>
        <w:spacing w:line="360" w:lineRule="auto"/>
        <w:jc w:val="both"/>
        <w:rPr>
          <w:rFonts w:ascii="Arial" w:hAnsi="Arial" w:cs="Arial"/>
        </w:rPr>
      </w:pPr>
      <w:r w:rsidRPr="007B313B">
        <w:rPr>
          <w:rFonts w:ascii="Arial" w:hAnsi="Arial" w:cs="Arial"/>
          <w:b/>
          <w:bCs/>
        </w:rPr>
        <w:t>1</w:t>
      </w:r>
      <w:r>
        <w:rPr>
          <w:rFonts w:ascii="Arial" w:hAnsi="Arial" w:cs="Arial"/>
          <w:b/>
          <w:bCs/>
        </w:rPr>
        <w:t>1</w:t>
      </w:r>
      <w:r w:rsidRPr="007B313B">
        <w:rPr>
          <w:rFonts w:ascii="Arial" w:hAnsi="Arial" w:cs="Arial"/>
          <w:b/>
          <w:bCs/>
        </w:rPr>
        <w:t>- Artículo 94 del TOCAF y Ordenanza Nº 81 del Tribunal</w:t>
      </w:r>
      <w:r>
        <w:rPr>
          <w:rFonts w:ascii="Arial" w:hAnsi="Arial" w:cs="Arial"/>
          <w:b/>
          <w:bCs/>
        </w:rPr>
        <w:t xml:space="preserve"> de Cuentas: </w:t>
      </w:r>
      <w:r>
        <w:rPr>
          <w:rFonts w:ascii="Arial" w:hAnsi="Arial" w:cs="Arial"/>
        </w:rPr>
        <w:t>La Intendencia no ha presentado los estados contables establecidos en las citadas normas.</w:t>
      </w:r>
    </w:p>
    <w:p w:rsidR="00A05034" w:rsidRDefault="00A05034" w:rsidP="00D2507C">
      <w:pPr>
        <w:widowControl w:val="0"/>
        <w:tabs>
          <w:tab w:val="left" w:pos="284"/>
        </w:tabs>
        <w:spacing w:line="360" w:lineRule="auto"/>
        <w:jc w:val="both"/>
        <w:rPr>
          <w:rFonts w:ascii="Arial" w:hAnsi="Arial" w:cs="Arial"/>
        </w:rPr>
      </w:pPr>
      <w:r>
        <w:rPr>
          <w:rFonts w:ascii="Arial" w:hAnsi="Arial" w:cs="Arial"/>
          <w:b/>
          <w:bCs/>
        </w:rPr>
        <w:t xml:space="preserve">12- Artículo 128 Numeral 1) del TOCAF: </w:t>
      </w:r>
      <w:r>
        <w:rPr>
          <w:rFonts w:ascii="Arial" w:hAnsi="Arial" w:cs="Arial"/>
        </w:rPr>
        <w:t>El estado demostrativo del grado de cumplimiento de objetivos y metas presentado, incluye información parcial sobre las unidades físicas y el porcentaje de cumplimientos alcanzado. Al no presentarse la cuantificación de todas las actividades previstas no se realiza la comparación con las metas programadas en unidades monetarias, no cumpliéndose en consecuencia, con lo previsto por la referida norma.</w:t>
      </w:r>
    </w:p>
    <w:p w:rsidR="00A05034" w:rsidRDefault="00A05034" w:rsidP="00D2507C">
      <w:pPr>
        <w:spacing w:line="360" w:lineRule="auto"/>
        <w:jc w:val="both"/>
        <w:rPr>
          <w:rFonts w:ascii="Arial" w:hAnsi="Arial" w:cs="Arial"/>
          <w:snapToGrid w:val="0"/>
        </w:rPr>
      </w:pPr>
      <w:r>
        <w:rPr>
          <w:rFonts w:ascii="Arial" w:hAnsi="Arial" w:cs="Arial"/>
          <w:b/>
          <w:bCs/>
          <w:snapToGrid w:val="0"/>
        </w:rPr>
        <w:t xml:space="preserve">13- Resolución del Tribunal de Cuentas de fecha 28/01/04: </w:t>
      </w:r>
      <w:r>
        <w:rPr>
          <w:rFonts w:ascii="Arial" w:hAnsi="Arial" w:cs="Arial"/>
          <w:snapToGrid w:val="0"/>
        </w:rPr>
        <w:t>El documento presentado no se ajusta totalmente en su formulación a lo dispuesto por la citada Resolución, al no incluirse la totalidad de los estados que establece la misma.</w:t>
      </w:r>
    </w:p>
    <w:p w:rsidR="00A05034" w:rsidRDefault="00A05034" w:rsidP="00D2507C">
      <w:pPr>
        <w:pStyle w:val="Textoindependiente3"/>
        <w:jc w:val="both"/>
        <w:rPr>
          <w:rFonts w:ascii="Arial" w:hAnsi="Arial" w:cs="Arial"/>
          <w:b w:val="0"/>
          <w:bCs w:val="0"/>
        </w:rPr>
      </w:pPr>
      <w:r>
        <w:rPr>
          <w:rFonts w:ascii="Arial" w:hAnsi="Arial" w:cs="Arial"/>
          <w:kern w:val="0"/>
          <w:szCs w:val="24"/>
        </w:rPr>
        <w:t xml:space="preserve">14- Decreto Nº 191/007 de fecha 4 de junio de 2007: </w:t>
      </w:r>
      <w:r>
        <w:rPr>
          <w:rFonts w:ascii="Arial" w:hAnsi="Arial" w:cs="Arial"/>
          <w:b w:val="0"/>
          <w:bCs w:val="0"/>
        </w:rPr>
        <w:t>La Intendencia no dio publicidad en el sitio web www.comprasestatales.gub.uy de todos los actos de reiteración del gasto por observación del Tribunal de Cuentas.</w:t>
      </w:r>
    </w:p>
    <w:p w:rsidR="00A05034" w:rsidRDefault="00A05034" w:rsidP="00D2507C">
      <w:pPr>
        <w:pStyle w:val="Textoindependiente3"/>
        <w:jc w:val="both"/>
        <w:rPr>
          <w:rFonts w:ascii="Arial" w:hAnsi="Arial" w:cs="Arial"/>
          <w:b w:val="0"/>
          <w:bCs w:val="0"/>
          <w:kern w:val="0"/>
          <w:szCs w:val="24"/>
        </w:rPr>
      </w:pPr>
      <w:r>
        <w:rPr>
          <w:rFonts w:ascii="Arial" w:hAnsi="Arial" w:cs="Arial"/>
        </w:rPr>
        <w:t>15- Convenio firmado el 03/12/91 con la Jefatura de Policía de</w:t>
      </w:r>
      <w:r>
        <w:rPr>
          <w:rFonts w:ascii="Arial" w:hAnsi="Arial" w:cs="Arial"/>
          <w:kern w:val="0"/>
          <w:szCs w:val="24"/>
        </w:rPr>
        <w:t xml:space="preserve"> Montevideo: </w:t>
      </w:r>
      <w:r>
        <w:rPr>
          <w:rFonts w:ascii="Arial" w:hAnsi="Arial" w:cs="Arial"/>
          <w:b w:val="0"/>
          <w:bCs w:val="0"/>
          <w:kern w:val="0"/>
          <w:szCs w:val="24"/>
        </w:rPr>
        <w:t>La Intendencia no ha vertido en tiempo y forma los fondos indisponibles, correspondientes a la Jefatura de Policía de Montevideo por multas vehiculares, desde el año 1998.</w:t>
      </w:r>
    </w:p>
    <w:p w:rsidR="00A05034" w:rsidRDefault="00A05034" w:rsidP="00D2507C">
      <w:pPr>
        <w:pStyle w:val="Textoindependiente3"/>
        <w:jc w:val="both"/>
        <w:rPr>
          <w:rFonts w:ascii="Arial" w:hAnsi="Arial" w:cs="Arial"/>
          <w:b w:val="0"/>
          <w:bCs w:val="0"/>
          <w:kern w:val="0"/>
          <w:szCs w:val="24"/>
        </w:rPr>
      </w:pPr>
    </w:p>
    <w:p w:rsidR="00A05034" w:rsidRDefault="00A05034" w:rsidP="00D2507C">
      <w:pPr>
        <w:pStyle w:val="Textoindependiente3"/>
        <w:jc w:val="both"/>
        <w:rPr>
          <w:rFonts w:ascii="Arial" w:hAnsi="Arial"/>
          <w:b w:val="0"/>
          <w:bCs w:val="0"/>
        </w:rPr>
      </w:pPr>
      <w:r>
        <w:rPr>
          <w:rFonts w:ascii="Arial" w:hAnsi="Arial" w:cs="Arial"/>
          <w:b w:val="0"/>
          <w:bCs w:val="0"/>
        </w:rPr>
        <w:t xml:space="preserve">Asimismo durante el Ejercicio, los Contadores Delegados y el Tribunal de Cuentas observaron gastos, los que fueron reiterados por el Ordenador y puestos en conocimiento de la Junta Departamental oportunamente, por los </w:t>
      </w:r>
      <w:r w:rsidRPr="00DE4431">
        <w:rPr>
          <w:rFonts w:ascii="Arial" w:hAnsi="Arial" w:cs="Arial"/>
          <w:b w:val="0"/>
          <w:bCs w:val="0"/>
        </w:rPr>
        <w:t>siguientes motivos: Ar</w:t>
      </w:r>
      <w:r>
        <w:rPr>
          <w:rFonts w:ascii="Arial" w:hAnsi="Arial" w:cs="Arial"/>
          <w:b w:val="0"/>
          <w:bCs w:val="0"/>
        </w:rPr>
        <w:t xml:space="preserve">tículos 13, 15, </w:t>
      </w:r>
      <w:r w:rsidRPr="00E40A06">
        <w:rPr>
          <w:rFonts w:ascii="Arial" w:hAnsi="Arial" w:cs="Arial"/>
          <w:b w:val="0"/>
          <w:bCs w:val="0"/>
        </w:rPr>
        <w:t>19, 37, 48, 51, 58, 74 y 157 del</w:t>
      </w:r>
      <w:r w:rsidRPr="00DE4431">
        <w:rPr>
          <w:rFonts w:ascii="Arial" w:hAnsi="Arial" w:cs="Arial"/>
          <w:b w:val="0"/>
          <w:bCs w:val="0"/>
        </w:rPr>
        <w:t xml:space="preserve"> TOCAF</w:t>
      </w:r>
      <w:r>
        <w:rPr>
          <w:rFonts w:ascii="Arial" w:hAnsi="Arial" w:cs="Arial"/>
          <w:b w:val="0"/>
          <w:bCs w:val="0"/>
        </w:rPr>
        <w:t>.</w:t>
      </w:r>
    </w:p>
    <w:bookmarkEnd w:id="8"/>
    <w:p w:rsidR="00A05034" w:rsidRDefault="00A05034" w:rsidP="00D2507C">
      <w:pPr>
        <w:spacing w:line="360" w:lineRule="auto"/>
        <w:jc w:val="right"/>
        <w:rPr>
          <w:rFonts w:ascii="Arial" w:hAnsi="Arial" w:cs="Arial"/>
        </w:rPr>
      </w:pPr>
      <w:r>
        <w:rPr>
          <w:rFonts w:ascii="Arial" w:hAnsi="Arial" w:cs="Arial"/>
        </w:rPr>
        <w:t>Mon</w:t>
      </w:r>
      <w:r w:rsidR="004B3E91">
        <w:rPr>
          <w:rFonts w:ascii="Arial" w:hAnsi="Arial" w:cs="Arial"/>
        </w:rPr>
        <w:t>tevideo, 9 de noviembre de 2016</w:t>
      </w:r>
    </w:p>
    <w:p w:rsidR="00A05034" w:rsidRDefault="00A05034"/>
    <w:p w:rsidR="00A05034" w:rsidRDefault="00A05034"/>
    <w:p w:rsidR="00A05034" w:rsidRDefault="00A05034"/>
    <w:p w:rsidR="00A05034" w:rsidRPr="006D24F1" w:rsidRDefault="00A05034">
      <w:pPr>
        <w:rPr>
          <w:rFonts w:ascii="Arial" w:hAnsi="Arial" w:cs="Arial"/>
          <w:sz w:val="20"/>
          <w:szCs w:val="20"/>
        </w:rPr>
      </w:pPr>
      <w:r w:rsidRPr="006D24F1">
        <w:rPr>
          <w:rFonts w:ascii="Arial" w:hAnsi="Arial" w:cs="Arial"/>
          <w:sz w:val="20"/>
          <w:szCs w:val="20"/>
        </w:rPr>
        <w:t>CLC</w:t>
      </w:r>
    </w:p>
    <w:p w:rsidR="00A05034" w:rsidRDefault="00A05034"/>
    <w:p w:rsidR="00A05034" w:rsidRDefault="00A05034"/>
    <w:p w:rsidR="00A05034" w:rsidRDefault="00A05034"/>
    <w:p w:rsidR="00A05034" w:rsidRDefault="00A05034"/>
    <w:p w:rsidR="00A05034" w:rsidRDefault="00A05034"/>
    <w:p w:rsidR="00A05034" w:rsidRDefault="00A05034"/>
    <w:p w:rsidR="00A05034" w:rsidRDefault="00A05034"/>
    <w:p w:rsidR="00A05034" w:rsidRDefault="00A05034"/>
    <w:p w:rsidR="00A05034" w:rsidRDefault="00A05034"/>
    <w:p w:rsidR="00A05034" w:rsidRDefault="00A05034"/>
    <w:p w:rsidR="00A05034" w:rsidRDefault="00A05034"/>
    <w:p w:rsidR="00A05034" w:rsidRDefault="00A05034"/>
    <w:p w:rsidR="00A05034" w:rsidRDefault="00A05034"/>
    <w:p w:rsidR="00A05034" w:rsidRDefault="00A05034" w:rsidP="00D2507C">
      <w:pPr>
        <w:pStyle w:val="Ttulo1"/>
        <w:keepNext/>
        <w:spacing w:before="240" w:after="240" w:line="240" w:lineRule="auto"/>
        <w:jc w:val="center"/>
        <w:rPr>
          <w:bCs/>
          <w:kern w:val="32"/>
          <w:sz w:val="28"/>
          <w:szCs w:val="28"/>
        </w:rPr>
      </w:pPr>
      <w:bookmarkStart w:id="9" w:name="_Toc239140088"/>
      <w:bookmarkStart w:id="10" w:name="_Toc277345230"/>
      <w:bookmarkStart w:id="11" w:name="_Toc400369720"/>
      <w:r w:rsidRPr="00B5376B">
        <w:rPr>
          <w:bCs/>
          <w:kern w:val="32"/>
          <w:sz w:val="28"/>
          <w:szCs w:val="28"/>
        </w:rPr>
        <w:t>INFORME A LA ADMINISTRACIÓN</w:t>
      </w:r>
      <w:bookmarkEnd w:id="9"/>
      <w:bookmarkEnd w:id="10"/>
      <w:bookmarkEnd w:id="11"/>
    </w:p>
    <w:p w:rsidR="00E94273" w:rsidRPr="00E94273" w:rsidRDefault="00E94273" w:rsidP="00E94273"/>
    <w:p w:rsidR="00A05034" w:rsidRDefault="00A05034" w:rsidP="00D2507C">
      <w:pPr>
        <w:widowControl w:val="0"/>
        <w:spacing w:line="360" w:lineRule="auto"/>
        <w:jc w:val="both"/>
        <w:rPr>
          <w:rFonts w:ascii="Arial" w:hAnsi="Arial" w:cs="Arial"/>
        </w:rPr>
      </w:pPr>
      <w:r>
        <w:rPr>
          <w:rFonts w:ascii="Arial" w:hAnsi="Arial" w:cs="Arial"/>
        </w:rPr>
        <w:t>El Tribunal de Cuentas ha examinado la Rendición de Cuentas y Balance de Ejecución Presupuestal correspondiente al Ejercicio 2015 y ha emitido su correspondiente Dictamen.</w:t>
      </w:r>
    </w:p>
    <w:p w:rsidR="00A05034" w:rsidRDefault="00A05034">
      <w:pPr>
        <w:widowControl w:val="0"/>
        <w:spacing w:line="360" w:lineRule="auto"/>
        <w:jc w:val="both"/>
        <w:rPr>
          <w:rFonts w:ascii="Arial" w:hAnsi="Arial" w:cs="Arial"/>
        </w:rPr>
      </w:pPr>
      <w:r>
        <w:rPr>
          <w:rFonts w:ascii="Arial" w:hAnsi="Arial"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A05034" w:rsidRDefault="00A05034" w:rsidP="00D2507C">
      <w:pPr>
        <w:pStyle w:val="Textoindependiente"/>
        <w:spacing w:after="0"/>
        <w:rPr>
          <w:rFonts w:cs="Arial"/>
          <w:highlight w:val="green"/>
        </w:rPr>
      </w:pPr>
    </w:p>
    <w:p w:rsidR="00A05034" w:rsidRPr="00EC78F8" w:rsidRDefault="00A05034" w:rsidP="00D2507C">
      <w:pPr>
        <w:pStyle w:val="Textoindependiente"/>
        <w:spacing w:after="0"/>
        <w:rPr>
          <w:rFonts w:cs="Arial"/>
          <w:highlight w:val="green"/>
        </w:rPr>
      </w:pPr>
    </w:p>
    <w:p w:rsidR="00A05034" w:rsidRPr="007B313B" w:rsidRDefault="00A05034" w:rsidP="00D2507C">
      <w:pPr>
        <w:spacing w:line="360" w:lineRule="auto"/>
        <w:outlineLvl w:val="0"/>
        <w:rPr>
          <w:rFonts w:ascii="Arial" w:hAnsi="Arial" w:cs="Arial"/>
          <w:b/>
          <w:kern w:val="1"/>
          <w:szCs w:val="20"/>
          <w:lang w:eastAsia="ar-SA"/>
        </w:rPr>
      </w:pPr>
      <w:bookmarkStart w:id="12" w:name="_Toc211365914"/>
      <w:bookmarkStart w:id="13" w:name="_Toc277345234"/>
      <w:bookmarkStart w:id="14" w:name="_Toc400369724"/>
      <w:r w:rsidRPr="00EC78F8">
        <w:rPr>
          <w:rFonts w:ascii="Arial" w:hAnsi="Arial" w:cs="Arial"/>
          <w:b/>
          <w:kern w:val="1"/>
          <w:szCs w:val="20"/>
          <w:lang w:eastAsia="ar-SA"/>
        </w:rPr>
        <w:t>1. Resultado Acumulado al 31/12/</w:t>
      </w:r>
      <w:r w:rsidRPr="007B313B">
        <w:rPr>
          <w:rFonts w:ascii="Arial" w:hAnsi="Arial" w:cs="Arial"/>
          <w:b/>
          <w:kern w:val="1"/>
          <w:szCs w:val="20"/>
          <w:lang w:eastAsia="ar-SA"/>
        </w:rPr>
        <w:t>2014</w:t>
      </w:r>
    </w:p>
    <w:p w:rsidR="00A05034" w:rsidRPr="00EC78F8" w:rsidRDefault="00A05034" w:rsidP="00D2507C">
      <w:pPr>
        <w:spacing w:line="360" w:lineRule="auto"/>
        <w:jc w:val="both"/>
        <w:rPr>
          <w:rFonts w:ascii="Arial" w:hAnsi="Arial" w:cs="Arial"/>
        </w:rPr>
      </w:pPr>
      <w:r w:rsidRPr="007B313B">
        <w:rPr>
          <w:rFonts w:ascii="Arial" w:hAnsi="Arial" w:cs="Arial"/>
        </w:rPr>
        <w:t>Al 31/12/2014 la Intendencia presentó u</w:t>
      </w:r>
      <w:r w:rsidRPr="00EC78F8">
        <w:rPr>
          <w:rFonts w:ascii="Arial" w:hAnsi="Arial" w:cs="Arial"/>
        </w:rPr>
        <w:t>n déficit acumulado de $ 2.723:736.426 sin incluir la Unidad Ejecutora de Saneamiento.</w:t>
      </w:r>
    </w:p>
    <w:p w:rsidR="00A05034" w:rsidRPr="00EC78F8" w:rsidRDefault="00A05034" w:rsidP="00D2507C">
      <w:pPr>
        <w:spacing w:line="360" w:lineRule="auto"/>
        <w:jc w:val="both"/>
        <w:rPr>
          <w:rFonts w:ascii="Arial" w:hAnsi="Arial" w:cs="Arial"/>
        </w:rPr>
      </w:pPr>
      <w:r w:rsidRPr="00EC78F8">
        <w:rPr>
          <w:rFonts w:ascii="Arial" w:hAnsi="Arial" w:cs="Arial"/>
        </w:rPr>
        <w:t>En cumplimiento de lo dictaminado por el Tribunal de Cuentas respecto a la Rendición de Cuentas 2014 de la Junta Departamental de Montevideo, se aumentó el déficit acumulado en $ 2:882.802.</w:t>
      </w:r>
    </w:p>
    <w:p w:rsidR="00A05034" w:rsidRPr="00C346FC" w:rsidRDefault="00A05034" w:rsidP="00D2507C">
      <w:pPr>
        <w:spacing w:line="360" w:lineRule="auto"/>
        <w:jc w:val="both"/>
        <w:rPr>
          <w:rFonts w:ascii="Arial" w:hAnsi="Arial" w:cs="Arial"/>
          <w:lang w:val="es-UY" w:eastAsia="es-UY"/>
        </w:rPr>
      </w:pPr>
      <w:r w:rsidRPr="00EC78F8">
        <w:rPr>
          <w:rFonts w:ascii="Arial" w:hAnsi="Arial" w:cs="Arial"/>
          <w:lang w:val="es-UY" w:eastAsia="es-UY"/>
        </w:rPr>
        <w:t xml:space="preserve">Además la Intendencia efectuó otros ajustes al saldo inicial del Resultado Acumulado, tales como: juicio </w:t>
      </w:r>
      <w:proofErr w:type="spellStart"/>
      <w:r w:rsidRPr="00EC78F8">
        <w:rPr>
          <w:rFonts w:ascii="Arial" w:hAnsi="Arial" w:cs="Arial"/>
          <w:lang w:val="es-UY" w:eastAsia="es-UY"/>
        </w:rPr>
        <w:t>Stiler</w:t>
      </w:r>
      <w:proofErr w:type="spellEnd"/>
      <w:r w:rsidRPr="00EC78F8">
        <w:rPr>
          <w:rFonts w:ascii="Arial" w:hAnsi="Arial" w:cs="Arial"/>
          <w:lang w:val="es-UY" w:eastAsia="es-UY"/>
        </w:rPr>
        <w:t xml:space="preserve"> ej. Anteriores, pago BSE adeudo prima accidente, deducción o/p 2015 por falta n/c 2014, baja </w:t>
      </w:r>
      <w:r>
        <w:rPr>
          <w:rFonts w:ascii="Arial" w:hAnsi="Arial" w:cs="Arial"/>
          <w:lang w:val="es-UY" w:eastAsia="es-UY"/>
        </w:rPr>
        <w:t xml:space="preserve">de definitivas, gasto </w:t>
      </w:r>
      <w:r w:rsidRPr="001A385D">
        <w:rPr>
          <w:rFonts w:ascii="Arial" w:hAnsi="Arial" w:cs="Arial"/>
          <w:lang w:val="es-UY" w:eastAsia="es-UY"/>
        </w:rPr>
        <w:t>presentado como</w:t>
      </w:r>
      <w:r w:rsidRPr="00EC78F8">
        <w:rPr>
          <w:rFonts w:ascii="Arial" w:hAnsi="Arial" w:cs="Arial"/>
          <w:lang w:val="es-UY" w:eastAsia="es-UY"/>
        </w:rPr>
        <w:t xml:space="preserve"> </w:t>
      </w:r>
      <w:r w:rsidRPr="00C346FC">
        <w:rPr>
          <w:rFonts w:ascii="Arial" w:hAnsi="Arial" w:cs="Arial"/>
          <w:lang w:val="es-UY" w:eastAsia="es-UY"/>
        </w:rPr>
        <w:t>extrapresupuestal que debió ser presupuestal, cierre de cuentas extrapresupuestales y reclasificación del resultado del Proyecto de Saneamiento Urbano, los cuales conforman un importe de $ 980:718.098, aumentando el referido déficit.</w:t>
      </w:r>
    </w:p>
    <w:p w:rsidR="00A05034" w:rsidRDefault="00A05034" w:rsidP="00D2507C">
      <w:pPr>
        <w:spacing w:line="360" w:lineRule="auto"/>
        <w:jc w:val="both"/>
        <w:rPr>
          <w:rFonts w:ascii="Arial" w:hAnsi="Arial" w:cs="Arial"/>
        </w:rPr>
      </w:pPr>
      <w:r w:rsidRPr="00C346FC">
        <w:rPr>
          <w:rFonts w:ascii="Arial" w:hAnsi="Arial" w:cs="Arial"/>
        </w:rPr>
        <w:t>En virtud de lo expresado, el Resultado Acumulado Ajustado al 31/12/2014 es deficitario en $ 3.707:337.326 para la Intendencia de Montevideo sin incluir la Unidad Ejecutora de Saneamiento.</w:t>
      </w:r>
    </w:p>
    <w:p w:rsidR="00A05034" w:rsidRDefault="00A05034" w:rsidP="00D2507C">
      <w:pPr>
        <w:spacing w:line="360" w:lineRule="auto"/>
        <w:jc w:val="both"/>
        <w:rPr>
          <w:rFonts w:ascii="Arial" w:hAnsi="Arial" w:cs="Arial"/>
        </w:rPr>
      </w:pPr>
    </w:p>
    <w:p w:rsidR="00A05034" w:rsidRPr="00EC78F8" w:rsidRDefault="00A05034" w:rsidP="00D2507C">
      <w:pPr>
        <w:spacing w:line="360" w:lineRule="auto"/>
        <w:outlineLvl w:val="0"/>
        <w:rPr>
          <w:rFonts w:ascii="Arial" w:hAnsi="Arial" w:cs="Arial"/>
          <w:b/>
          <w:kern w:val="18"/>
          <w:szCs w:val="20"/>
        </w:rPr>
      </w:pPr>
      <w:r w:rsidRPr="00EC78F8">
        <w:rPr>
          <w:rFonts w:ascii="Arial" w:hAnsi="Arial" w:cs="Arial"/>
          <w:b/>
          <w:kern w:val="1"/>
          <w:szCs w:val="20"/>
          <w:lang w:eastAsia="ar-SA"/>
        </w:rPr>
        <w:t>2. Constataciones que no afectan la opinión respecto a los estados</w:t>
      </w:r>
    </w:p>
    <w:p w:rsidR="00A05034" w:rsidRPr="00EC78F8" w:rsidRDefault="00A05034" w:rsidP="00D2507C">
      <w:pPr>
        <w:widowControl w:val="0"/>
        <w:spacing w:line="360" w:lineRule="auto"/>
        <w:jc w:val="both"/>
        <w:outlineLvl w:val="1"/>
        <w:rPr>
          <w:rFonts w:ascii="Arial" w:hAnsi="Arial" w:cs="Arial"/>
          <w:b/>
          <w:kern w:val="18"/>
          <w:szCs w:val="20"/>
        </w:rPr>
      </w:pPr>
      <w:r w:rsidRPr="00EC78F8">
        <w:rPr>
          <w:rFonts w:ascii="Arial" w:hAnsi="Arial" w:cs="Arial"/>
          <w:b/>
          <w:kern w:val="18"/>
          <w:szCs w:val="20"/>
        </w:rPr>
        <w:t xml:space="preserve">2.1 </w:t>
      </w:r>
      <w:r>
        <w:rPr>
          <w:rFonts w:ascii="Arial" w:hAnsi="Arial" w:cs="Arial"/>
          <w:b/>
          <w:kern w:val="18"/>
          <w:szCs w:val="20"/>
        </w:rPr>
        <w:t>Resultado del Ejercicio y A</w:t>
      </w:r>
      <w:r w:rsidRPr="00EC78F8">
        <w:rPr>
          <w:rFonts w:ascii="Arial" w:hAnsi="Arial" w:cs="Arial"/>
          <w:b/>
          <w:kern w:val="18"/>
          <w:szCs w:val="20"/>
        </w:rPr>
        <w:t>cumulado al 31/12/</w:t>
      </w:r>
      <w:r>
        <w:rPr>
          <w:rFonts w:ascii="Arial" w:hAnsi="Arial" w:cs="Arial"/>
          <w:b/>
          <w:kern w:val="18"/>
          <w:szCs w:val="20"/>
        </w:rPr>
        <w:t>20</w:t>
      </w:r>
      <w:r w:rsidRPr="00EC78F8">
        <w:rPr>
          <w:rFonts w:ascii="Arial" w:hAnsi="Arial" w:cs="Arial"/>
          <w:b/>
          <w:kern w:val="18"/>
          <w:szCs w:val="20"/>
        </w:rPr>
        <w:t>15</w:t>
      </w:r>
    </w:p>
    <w:p w:rsidR="00A05034" w:rsidRPr="004B3E91" w:rsidRDefault="00A05034" w:rsidP="004B3E91">
      <w:pPr>
        <w:pStyle w:val="Textoindependiente"/>
        <w:spacing w:after="0" w:line="360" w:lineRule="auto"/>
        <w:jc w:val="both"/>
        <w:rPr>
          <w:rFonts w:ascii="Arial" w:hAnsi="Arial" w:cs="Arial"/>
        </w:rPr>
      </w:pPr>
      <w:r w:rsidRPr="004B3E91">
        <w:rPr>
          <w:rFonts w:ascii="Arial" w:hAnsi="Arial" w:cs="Arial"/>
        </w:rPr>
        <w:t>El Resultado del Ejercicio presentado por la Intendencia para el Ejercicio 2015 fue deficitario en $ 147:072.603, sin incluir la Unidad Ejecutora de Saneamiento. Mientras que el Resultado Acumulado al 31/12/2015,  asciende a un déficit de $ 3.854:409.929. A su vez, considerando la Unidad Ejecutora de Saneamiento, el déficit asciende a $ 3.634:480.631.</w:t>
      </w:r>
    </w:p>
    <w:p w:rsidR="00A05034" w:rsidRPr="007B313B" w:rsidRDefault="00A05034" w:rsidP="00D2507C">
      <w:pPr>
        <w:widowControl w:val="0"/>
        <w:spacing w:line="360" w:lineRule="auto"/>
        <w:jc w:val="both"/>
        <w:rPr>
          <w:rFonts w:ascii="Arial" w:hAnsi="Arial" w:cs="Arial"/>
        </w:rPr>
      </w:pPr>
      <w:r w:rsidRPr="007B313B">
        <w:rPr>
          <w:rFonts w:ascii="Arial" w:hAnsi="Arial" w:cs="Arial"/>
        </w:rPr>
        <w:t>Dicho importe no incluye:</w:t>
      </w:r>
    </w:p>
    <w:p w:rsidR="00A05034" w:rsidRPr="00B65247" w:rsidRDefault="00A05034" w:rsidP="00D2507C">
      <w:pPr>
        <w:widowControl w:val="0"/>
        <w:numPr>
          <w:ilvl w:val="0"/>
          <w:numId w:val="2"/>
        </w:numPr>
        <w:spacing w:line="360" w:lineRule="auto"/>
        <w:jc w:val="both"/>
        <w:rPr>
          <w:rFonts w:ascii="Arial" w:hAnsi="Arial" w:cs="Arial"/>
        </w:rPr>
      </w:pPr>
      <w:r w:rsidRPr="007B313B">
        <w:rPr>
          <w:rFonts w:ascii="Arial" w:hAnsi="Arial" w:cs="Arial"/>
        </w:rPr>
        <w:t>Inversiones</w:t>
      </w:r>
      <w:r w:rsidRPr="00B65247">
        <w:rPr>
          <w:rFonts w:ascii="Arial" w:hAnsi="Arial" w:cs="Arial"/>
        </w:rPr>
        <w:t xml:space="preserve"> comprometidas y no </w:t>
      </w:r>
      <w:r w:rsidRPr="005D6781">
        <w:rPr>
          <w:rFonts w:ascii="Arial" w:hAnsi="Arial" w:cs="Arial"/>
        </w:rPr>
        <w:t>ejecutadas</w:t>
      </w:r>
      <w:r w:rsidRPr="00B65247">
        <w:rPr>
          <w:rFonts w:ascii="Arial" w:hAnsi="Arial" w:cs="Arial"/>
        </w:rPr>
        <w:t xml:space="preserve"> de la Intendencia de Montevideo</w:t>
      </w:r>
      <w:r>
        <w:rPr>
          <w:rFonts w:ascii="Arial" w:hAnsi="Arial" w:cs="Arial"/>
        </w:rPr>
        <w:t xml:space="preserve"> por </w:t>
      </w:r>
      <w:r w:rsidRPr="00B65247">
        <w:rPr>
          <w:rFonts w:ascii="Arial" w:hAnsi="Arial" w:cs="Arial"/>
        </w:rPr>
        <w:t xml:space="preserve">$ 434:902.290 y de la Unidad Ejecutora de Saneamiento </w:t>
      </w:r>
      <w:r>
        <w:rPr>
          <w:rFonts w:ascii="Arial" w:hAnsi="Arial" w:cs="Arial"/>
        </w:rPr>
        <w:t xml:space="preserve">por </w:t>
      </w:r>
      <w:r w:rsidRPr="00B65247">
        <w:rPr>
          <w:rFonts w:ascii="Arial" w:hAnsi="Arial" w:cs="Arial"/>
        </w:rPr>
        <w:t>$ 151:379.886.</w:t>
      </w:r>
    </w:p>
    <w:p w:rsidR="00A05034" w:rsidRPr="007B240F" w:rsidRDefault="00A05034" w:rsidP="00D2507C">
      <w:pPr>
        <w:widowControl w:val="0"/>
        <w:numPr>
          <w:ilvl w:val="0"/>
          <w:numId w:val="2"/>
        </w:numPr>
        <w:spacing w:line="360" w:lineRule="auto"/>
        <w:ind w:left="360"/>
        <w:jc w:val="both"/>
        <w:rPr>
          <w:rFonts w:ascii="Arial" w:hAnsi="Arial" w:cs="Arial"/>
        </w:rPr>
      </w:pPr>
      <w:r w:rsidRPr="007B240F">
        <w:rPr>
          <w:rFonts w:ascii="Arial" w:hAnsi="Arial" w:cs="Arial"/>
        </w:rPr>
        <w:t>Obligaciones con el BID al 31/12/</w:t>
      </w:r>
      <w:r>
        <w:rPr>
          <w:rFonts w:ascii="Arial" w:hAnsi="Arial" w:cs="Arial"/>
        </w:rPr>
        <w:t>20</w:t>
      </w:r>
      <w:r w:rsidRPr="007B240F">
        <w:rPr>
          <w:rFonts w:ascii="Arial" w:hAnsi="Arial" w:cs="Arial"/>
        </w:rPr>
        <w:t xml:space="preserve">15 por concepto de: </w:t>
      </w:r>
      <w:r w:rsidRPr="007B240F">
        <w:rPr>
          <w:rFonts w:ascii="Arial" w:hAnsi="Arial" w:cs="Arial"/>
          <w:bCs/>
        </w:rPr>
        <w:t xml:space="preserve">Proyecto </w:t>
      </w:r>
      <w:r w:rsidRPr="007B240F">
        <w:rPr>
          <w:rFonts w:ascii="Arial" w:hAnsi="Arial" w:cs="Arial"/>
          <w:bCs/>
          <w:spacing w:val="-12"/>
        </w:rPr>
        <w:t xml:space="preserve">Saneamiento II, </w:t>
      </w:r>
      <w:r w:rsidRPr="007B240F">
        <w:rPr>
          <w:rFonts w:ascii="Arial" w:hAnsi="Arial" w:cs="Arial"/>
        </w:rPr>
        <w:t>Proyecto de Saneamiento III, Proyecto de Saneamiento IV y Movilidad Urbana que ascienden a U$S 250:156.927, las que expresadas en pesos uruguayos equivalen a $ 7.491:699.650.</w:t>
      </w:r>
    </w:p>
    <w:p w:rsidR="00A05034" w:rsidRPr="00A21DD1" w:rsidRDefault="00A05034" w:rsidP="00D2507C">
      <w:pPr>
        <w:widowControl w:val="0"/>
        <w:numPr>
          <w:ilvl w:val="0"/>
          <w:numId w:val="2"/>
        </w:numPr>
        <w:spacing w:line="360" w:lineRule="auto"/>
        <w:jc w:val="both"/>
        <w:rPr>
          <w:rFonts w:ascii="Arial" w:hAnsi="Arial" w:cs="Arial"/>
        </w:rPr>
      </w:pPr>
      <w:r>
        <w:rPr>
          <w:rFonts w:ascii="Arial" w:hAnsi="Arial" w:cs="Arial"/>
        </w:rPr>
        <w:t>Inversiones</w:t>
      </w:r>
      <w:r w:rsidRPr="00952CAE">
        <w:rPr>
          <w:rFonts w:ascii="Arial" w:hAnsi="Arial" w:cs="Arial"/>
        </w:rPr>
        <w:t xml:space="preserve"> ejecutadas </w:t>
      </w:r>
      <w:r>
        <w:rPr>
          <w:rFonts w:ascii="Arial" w:hAnsi="Arial" w:cs="Arial"/>
        </w:rPr>
        <w:t xml:space="preserve">y sin afectación de créditos, </w:t>
      </w:r>
      <w:r w:rsidRPr="00952CAE">
        <w:rPr>
          <w:rFonts w:ascii="Arial" w:hAnsi="Arial" w:cs="Arial"/>
        </w:rPr>
        <w:t>correspondientes al contrato N</w:t>
      </w:r>
      <w:r w:rsidRPr="007B313B">
        <w:rPr>
          <w:rFonts w:ascii="Arial" w:hAnsi="Arial" w:cs="Arial"/>
        </w:rPr>
        <w:t xml:space="preserve">° 1471 con </w:t>
      </w:r>
      <w:proofErr w:type="spellStart"/>
      <w:r w:rsidRPr="007B313B">
        <w:rPr>
          <w:rFonts w:ascii="Arial" w:hAnsi="Arial" w:cs="Arial"/>
        </w:rPr>
        <w:t>Grinor</w:t>
      </w:r>
      <w:proofErr w:type="spellEnd"/>
      <w:r w:rsidRPr="007B313B">
        <w:rPr>
          <w:rFonts w:ascii="Arial" w:hAnsi="Arial" w:cs="Arial"/>
        </w:rPr>
        <w:t xml:space="preserve"> S.A. por un importe de U$S 646.903.</w:t>
      </w:r>
    </w:p>
    <w:p w:rsidR="00A05034" w:rsidRDefault="00A05034">
      <w:pPr>
        <w:pStyle w:val="Ttulo2"/>
        <w:widowControl w:val="0"/>
        <w:rPr>
          <w:rFonts w:cs="Arial"/>
        </w:rPr>
      </w:pPr>
      <w:r w:rsidRPr="007B313B">
        <w:rPr>
          <w:rFonts w:cs="Arial"/>
        </w:rPr>
        <w:t>2.2 Juicios contra</w:t>
      </w:r>
      <w:r>
        <w:rPr>
          <w:rFonts w:cs="Arial"/>
        </w:rPr>
        <w:t xml:space="preserve"> la Intendencia</w:t>
      </w:r>
      <w:bookmarkEnd w:id="12"/>
      <w:bookmarkEnd w:id="13"/>
      <w:bookmarkEnd w:id="14"/>
    </w:p>
    <w:p w:rsidR="00A05034" w:rsidRPr="004B3E91" w:rsidRDefault="00A05034" w:rsidP="004B3E91">
      <w:pPr>
        <w:pStyle w:val="Textoindependiente"/>
        <w:widowControl w:val="0"/>
        <w:spacing w:after="0" w:line="360" w:lineRule="auto"/>
        <w:jc w:val="both"/>
        <w:rPr>
          <w:rFonts w:ascii="Arial" w:hAnsi="Arial" w:cs="Arial"/>
        </w:rPr>
      </w:pPr>
      <w:bookmarkStart w:id="15" w:name="_Toc211365915"/>
      <w:r w:rsidRPr="004B3E91">
        <w:rPr>
          <w:rFonts w:ascii="Arial" w:hAnsi="Arial" w:cs="Arial"/>
        </w:rPr>
        <w:t>Según consta en el documento de la Rendición, la Directora del Servicio de Actividades Contenciosas, informa que en el 2015 se tramitaron 652 juicios contra el Organismo, de los cuales 320 carecen de contenido económico. Por los 332 restantes se pretende un total de $ 718:728.518; U$S 16:725.735; Euros 74.955 y UR 15.261 pero, dado que se encuentran en trámite, resulta imposible estimar los importes a pagar. Las eventuales erogaciones resultantes, no forman parte del Resultado acumulado al 31/12/2015.</w:t>
      </w:r>
      <w:bookmarkStart w:id="16" w:name="_Toc277345235"/>
      <w:bookmarkStart w:id="17" w:name="_Toc400369725"/>
      <w:bookmarkEnd w:id="15"/>
    </w:p>
    <w:p w:rsidR="00A05034" w:rsidRDefault="00A05034">
      <w:pPr>
        <w:pStyle w:val="Ttulo2"/>
        <w:widowControl w:val="0"/>
        <w:rPr>
          <w:rFonts w:cs="Arial"/>
        </w:rPr>
      </w:pPr>
      <w:r>
        <w:rPr>
          <w:rFonts w:cs="Arial"/>
        </w:rPr>
        <w:t>2.3 Seguro emisario subacuático</w:t>
      </w:r>
      <w:bookmarkEnd w:id="16"/>
      <w:bookmarkEnd w:id="17"/>
    </w:p>
    <w:p w:rsidR="00A05034" w:rsidRPr="004B3E91" w:rsidRDefault="00A05034" w:rsidP="004B3E91">
      <w:pPr>
        <w:pStyle w:val="Textoindependiente"/>
        <w:widowControl w:val="0"/>
        <w:spacing w:after="0" w:line="360" w:lineRule="auto"/>
        <w:jc w:val="both"/>
        <w:rPr>
          <w:rFonts w:ascii="Arial" w:hAnsi="Arial" w:cs="Arial"/>
        </w:rPr>
      </w:pPr>
      <w:r w:rsidRPr="004B3E91">
        <w:rPr>
          <w:rFonts w:ascii="Arial" w:hAnsi="Arial" w:cs="Arial"/>
        </w:rPr>
        <w:t xml:space="preserve">El emisario subacuático del sistema de saneamiento de Montevideo, ubicado en Punta Carretas, no tiene seguro contratado desde el 05/11/2003, ya que el BSE no procedió a la renovación del mismo </w:t>
      </w:r>
      <w:bookmarkStart w:id="18" w:name="_Toc211365917"/>
      <w:r w:rsidRPr="004B3E91">
        <w:rPr>
          <w:rFonts w:ascii="Arial" w:hAnsi="Arial" w:cs="Arial"/>
        </w:rPr>
        <w:t>debido a las fallas detectadas.</w:t>
      </w:r>
    </w:p>
    <w:p w:rsidR="00A05034" w:rsidRPr="007B313B" w:rsidRDefault="00A05034">
      <w:pPr>
        <w:pStyle w:val="Textoindependiente"/>
        <w:widowControl w:val="0"/>
        <w:spacing w:after="0" w:line="360" w:lineRule="auto"/>
        <w:rPr>
          <w:rFonts w:cs="Arial"/>
          <w:highlight w:val="yellow"/>
        </w:rPr>
      </w:pPr>
    </w:p>
    <w:p w:rsidR="00A05034" w:rsidRPr="007B313B" w:rsidRDefault="00A05034">
      <w:pPr>
        <w:pStyle w:val="Ttulo1"/>
        <w:spacing w:after="0"/>
        <w:rPr>
          <w:kern w:val="1"/>
          <w:lang w:eastAsia="ar-SA"/>
        </w:rPr>
      </w:pPr>
      <w:bookmarkStart w:id="19" w:name="_Toc277345238"/>
      <w:bookmarkStart w:id="20" w:name="_Toc400369726"/>
      <w:r w:rsidRPr="007B313B">
        <w:rPr>
          <w:kern w:val="1"/>
          <w:lang w:eastAsia="ar-SA"/>
        </w:rPr>
        <w:t>3. Incumplimiento de Normas</w:t>
      </w:r>
      <w:bookmarkEnd w:id="19"/>
      <w:bookmarkEnd w:id="20"/>
      <w:bookmarkEnd w:id="18"/>
    </w:p>
    <w:p w:rsidR="00A05034" w:rsidRDefault="00A05034">
      <w:pPr>
        <w:widowControl w:val="0"/>
        <w:spacing w:line="360" w:lineRule="auto"/>
        <w:jc w:val="both"/>
        <w:rPr>
          <w:rFonts w:ascii="Arial" w:hAnsi="Arial" w:cs="Arial"/>
        </w:rPr>
      </w:pPr>
      <w:bookmarkStart w:id="21" w:name="_Toc277345239"/>
      <w:r w:rsidRPr="007B313B">
        <w:rPr>
          <w:rFonts w:ascii="Arial" w:hAnsi="Arial" w:cs="Arial"/>
        </w:rPr>
        <w:t>En relación al incumplimiento de normas, corresponde realizar las siguientes precisiones</w:t>
      </w:r>
      <w:r>
        <w:rPr>
          <w:rFonts w:ascii="Arial" w:hAnsi="Arial" w:cs="Arial"/>
        </w:rPr>
        <w:t>:</w:t>
      </w:r>
    </w:p>
    <w:p w:rsidR="00A05034" w:rsidRPr="0065014D" w:rsidRDefault="00A05034" w:rsidP="00D2507C">
      <w:pPr>
        <w:pStyle w:val="Ttulo2"/>
        <w:widowControl w:val="0"/>
        <w:rPr>
          <w:rFonts w:cs="Arial"/>
        </w:rPr>
      </w:pPr>
      <w:bookmarkStart w:id="22" w:name="_Toc397681944"/>
      <w:bookmarkEnd w:id="21"/>
      <w:r>
        <w:rPr>
          <w:rFonts w:cs="Arial"/>
        </w:rPr>
        <w:t>3</w:t>
      </w:r>
      <w:r w:rsidRPr="0065014D">
        <w:rPr>
          <w:rFonts w:cs="Arial"/>
        </w:rPr>
        <w:t>.</w:t>
      </w:r>
      <w:r>
        <w:rPr>
          <w:rFonts w:cs="Arial"/>
        </w:rPr>
        <w:t>1</w:t>
      </w:r>
      <w:r w:rsidRPr="0065014D">
        <w:rPr>
          <w:rFonts w:cs="Arial"/>
        </w:rPr>
        <w:t xml:space="preserve"> </w:t>
      </w:r>
      <w:r>
        <w:rPr>
          <w:rFonts w:cs="Arial"/>
        </w:rPr>
        <w:t>Estructura orgánica</w:t>
      </w:r>
      <w:bookmarkEnd w:id="22"/>
    </w:p>
    <w:p w:rsidR="00A05034" w:rsidRDefault="00A05034" w:rsidP="00D2507C">
      <w:pPr>
        <w:spacing w:line="360" w:lineRule="auto"/>
        <w:jc w:val="both"/>
        <w:rPr>
          <w:rFonts w:ascii="Arial" w:hAnsi="Arial" w:cs="Arial"/>
          <w:kern w:val="18"/>
          <w:szCs w:val="20"/>
          <w:lang w:val="es-ES_tradnl"/>
        </w:rPr>
      </w:pPr>
      <w:r w:rsidRPr="00D15C8C">
        <w:rPr>
          <w:rFonts w:ascii="Arial" w:hAnsi="Arial" w:cs="Arial"/>
          <w:kern w:val="18"/>
          <w:szCs w:val="20"/>
          <w:lang w:val="es-ES_tradnl"/>
        </w:rPr>
        <w:t>Se constató que al 31/12/</w:t>
      </w:r>
      <w:r>
        <w:rPr>
          <w:rFonts w:ascii="Arial" w:hAnsi="Arial" w:cs="Arial"/>
          <w:kern w:val="18"/>
          <w:szCs w:val="20"/>
          <w:lang w:val="es-ES_tradnl"/>
        </w:rPr>
        <w:t>20</w:t>
      </w:r>
      <w:r w:rsidRPr="00D15C8C">
        <w:rPr>
          <w:rFonts w:ascii="Arial" w:hAnsi="Arial" w:cs="Arial"/>
          <w:kern w:val="18"/>
          <w:szCs w:val="20"/>
          <w:lang w:val="es-ES_tradnl"/>
        </w:rPr>
        <w:t>1</w:t>
      </w:r>
      <w:r>
        <w:rPr>
          <w:rFonts w:ascii="Arial" w:hAnsi="Arial" w:cs="Arial"/>
          <w:kern w:val="18"/>
          <w:szCs w:val="20"/>
          <w:lang w:val="es-ES_tradnl"/>
        </w:rPr>
        <w:t>5</w:t>
      </w:r>
      <w:r w:rsidRPr="00D15C8C">
        <w:rPr>
          <w:rFonts w:ascii="Arial" w:hAnsi="Arial" w:cs="Arial"/>
          <w:kern w:val="18"/>
          <w:szCs w:val="20"/>
          <w:lang w:val="es-ES_tradnl"/>
        </w:rPr>
        <w:t xml:space="preserve"> existía</w:t>
      </w:r>
      <w:r>
        <w:rPr>
          <w:rFonts w:ascii="Arial" w:hAnsi="Arial" w:cs="Arial"/>
          <w:kern w:val="18"/>
          <w:szCs w:val="20"/>
          <w:lang w:val="es-ES_tradnl"/>
        </w:rPr>
        <w:t>n</w:t>
      </w:r>
      <w:r w:rsidRPr="00D15C8C">
        <w:rPr>
          <w:rFonts w:ascii="Arial" w:hAnsi="Arial" w:cs="Arial"/>
          <w:kern w:val="18"/>
          <w:szCs w:val="20"/>
          <w:lang w:val="es-ES_tradnl"/>
        </w:rPr>
        <w:t xml:space="preserve"> un total de </w:t>
      </w:r>
      <w:r>
        <w:rPr>
          <w:rFonts w:ascii="Arial" w:hAnsi="Arial" w:cs="Arial"/>
          <w:kern w:val="18"/>
          <w:szCs w:val="20"/>
          <w:lang w:val="es-ES_tradnl"/>
        </w:rPr>
        <w:t xml:space="preserve">8.492 </w:t>
      </w:r>
      <w:r w:rsidRPr="00D15C8C">
        <w:rPr>
          <w:rFonts w:ascii="Arial" w:hAnsi="Arial" w:cs="Arial"/>
          <w:kern w:val="18"/>
          <w:szCs w:val="20"/>
          <w:lang w:val="es-ES_tradnl"/>
        </w:rPr>
        <w:t>funcionarios en la Intendencia, entre presupuestados, contratados y zafrales, por lo que, a esa fecha la cant</w:t>
      </w:r>
      <w:r>
        <w:rPr>
          <w:rFonts w:ascii="Arial" w:hAnsi="Arial" w:cs="Arial"/>
          <w:kern w:val="18"/>
          <w:szCs w:val="20"/>
          <w:lang w:val="es-ES_tradnl"/>
        </w:rPr>
        <w:t xml:space="preserve">idad de funcionarios excedía en 107 a </w:t>
      </w:r>
      <w:r w:rsidRPr="00D15C8C">
        <w:rPr>
          <w:rFonts w:ascii="Arial" w:hAnsi="Arial" w:cs="Arial"/>
          <w:kern w:val="18"/>
          <w:szCs w:val="20"/>
          <w:lang w:val="es-ES_tradnl"/>
        </w:rPr>
        <w:t>los previstos presupuestalmente. Por lo expuesto, la Intendencia no se ajustó a la estructura orgánica administrativa que fuera aprobada por la Junta Departamental en</w:t>
      </w:r>
      <w:r>
        <w:rPr>
          <w:rFonts w:ascii="Arial" w:hAnsi="Arial" w:cs="Arial"/>
          <w:kern w:val="18"/>
          <w:szCs w:val="20"/>
          <w:lang w:val="es-ES_tradnl"/>
        </w:rPr>
        <w:t xml:space="preserve"> el Presupuesto Quinquenal para el año 2015,</w:t>
      </w:r>
      <w:r w:rsidRPr="00D15C8C">
        <w:rPr>
          <w:rFonts w:ascii="Arial" w:hAnsi="Arial" w:cs="Arial"/>
          <w:kern w:val="18"/>
          <w:szCs w:val="20"/>
          <w:lang w:val="es-ES_tradnl"/>
        </w:rPr>
        <w:t xml:space="preserve"> incumpliendo además con el </w:t>
      </w:r>
      <w:r>
        <w:rPr>
          <w:rFonts w:ascii="Arial" w:hAnsi="Arial" w:cs="Arial"/>
          <w:kern w:val="18"/>
          <w:szCs w:val="20"/>
          <w:lang w:val="es-ES_tradnl"/>
        </w:rPr>
        <w:t>Artículo</w:t>
      </w:r>
      <w:r w:rsidRPr="00D15C8C">
        <w:rPr>
          <w:rFonts w:ascii="Arial" w:hAnsi="Arial" w:cs="Arial"/>
          <w:kern w:val="18"/>
          <w:szCs w:val="20"/>
          <w:lang w:val="es-ES_tradnl"/>
        </w:rPr>
        <w:t xml:space="preserve"> 86 </w:t>
      </w:r>
      <w:r w:rsidRPr="00E11B55">
        <w:rPr>
          <w:rFonts w:ascii="Arial" w:hAnsi="Arial" w:cs="Arial"/>
          <w:kern w:val="18"/>
          <w:szCs w:val="20"/>
          <w:lang w:val="es-ES_tradnl"/>
        </w:rPr>
        <w:t>de la Constitución de la República.</w:t>
      </w:r>
    </w:p>
    <w:p w:rsidR="00A05034" w:rsidRPr="00E11B55" w:rsidRDefault="00A05034">
      <w:pPr>
        <w:pStyle w:val="Ttulo2"/>
        <w:widowControl w:val="0"/>
        <w:rPr>
          <w:rFonts w:cs="Arial"/>
        </w:rPr>
      </w:pPr>
      <w:bookmarkStart w:id="23" w:name="_Toc211365922"/>
      <w:bookmarkStart w:id="24" w:name="_Toc277345240"/>
      <w:bookmarkStart w:id="25" w:name="_Toc400369729"/>
      <w:r w:rsidRPr="00E11B55">
        <w:rPr>
          <w:rFonts w:cs="Arial"/>
        </w:rPr>
        <w:t>3.</w:t>
      </w:r>
      <w:r>
        <w:rPr>
          <w:rFonts w:cs="Arial"/>
        </w:rPr>
        <w:t>2</w:t>
      </w:r>
      <w:r w:rsidRPr="00E11B55">
        <w:rPr>
          <w:rFonts w:cs="Arial"/>
        </w:rPr>
        <w:t xml:space="preserve">  Artículo 297 de la Constitución de la República, Artículos 93 y 94 del Código Tributario, Artículos 236 a 241 de la Ley N° 13.637, Artículo 470 de la Ley N° 17.930</w:t>
      </w:r>
      <w:bookmarkEnd w:id="23"/>
      <w:bookmarkEnd w:id="24"/>
      <w:r w:rsidRPr="00E11B55">
        <w:rPr>
          <w:rFonts w:cs="Arial"/>
        </w:rPr>
        <w:t xml:space="preserve"> y Artículo 775 de la Ley Nº 18.719.</w:t>
      </w:r>
      <w:bookmarkEnd w:id="25"/>
    </w:p>
    <w:p w:rsidR="00A05034" w:rsidRPr="004B3E91" w:rsidRDefault="00A05034" w:rsidP="004B3E91">
      <w:pPr>
        <w:pStyle w:val="Textoindependiente"/>
        <w:widowControl w:val="0"/>
        <w:spacing w:after="0" w:line="360" w:lineRule="auto"/>
        <w:jc w:val="both"/>
        <w:rPr>
          <w:rFonts w:ascii="Arial" w:hAnsi="Arial" w:cs="Arial"/>
        </w:rPr>
      </w:pPr>
      <w:r w:rsidRPr="004B3E91">
        <w:rPr>
          <w:rFonts w:ascii="Arial" w:hAnsi="Arial" w:cs="Arial"/>
        </w:rPr>
        <w:t>La alícuota aplicada para las multas con relación a la Contribución Inmobiliaria Rural es de un 1,5% diario hasta el décimo día en que queda fija en el 15%, en tanto que el recargo por mora vigente es del 2% mensual capitalizable.</w:t>
      </w:r>
    </w:p>
    <w:p w:rsidR="00A05034" w:rsidRPr="004B3E91" w:rsidRDefault="00A05034" w:rsidP="004B3E91">
      <w:pPr>
        <w:pStyle w:val="Textoindependiente"/>
        <w:widowControl w:val="0"/>
        <w:spacing w:after="0" w:line="360" w:lineRule="auto"/>
        <w:jc w:val="both"/>
        <w:rPr>
          <w:rFonts w:ascii="Arial" w:hAnsi="Arial" w:cs="Arial"/>
        </w:rPr>
      </w:pPr>
      <w:r w:rsidRPr="004B3E91">
        <w:rPr>
          <w:rFonts w:ascii="Arial" w:hAnsi="Arial" w:cs="Arial"/>
        </w:rPr>
        <w:t>La multa por mora tiene naturaleza punitiva, por lo que, su establecimiento así como su exoneración y/o quitas en el caso de este tributo, corresponden a la ley nacional, no siendo materia de regulación departamental</w:t>
      </w:r>
      <w:r w:rsidRPr="004B3E91">
        <w:rPr>
          <w:rFonts w:ascii="Arial" w:hAnsi="Arial" w:cs="Arial"/>
          <w:iCs/>
          <w:lang w:val="es-MX"/>
        </w:rPr>
        <w:t>. No se cumplió con lo que establece</w:t>
      </w:r>
      <w:r w:rsidRPr="004B3E91">
        <w:rPr>
          <w:rFonts w:ascii="Arial" w:hAnsi="Arial" w:cs="Arial"/>
          <w:bCs/>
        </w:rPr>
        <w:t xml:space="preserve"> el Artículo 775 de la Ley Nº 18.719, que dispone: “Facúltese a los Gobiernos Departamentales, previa autorización del Ministerio de Economía y Finanzas, a establecer, con respecto a la contribución inmobiliaria rural, iguales planes de regularización de adeudos a los establecidos para la contribución urbana y suburbana”.</w:t>
      </w:r>
    </w:p>
    <w:p w:rsidR="00A05034" w:rsidRPr="00150E59" w:rsidRDefault="00A05034">
      <w:pPr>
        <w:pStyle w:val="Ttulo2"/>
        <w:widowControl w:val="0"/>
        <w:rPr>
          <w:rFonts w:cs="Arial"/>
        </w:rPr>
      </w:pPr>
      <w:bookmarkStart w:id="26" w:name="_Toc241055479"/>
      <w:bookmarkStart w:id="27" w:name="_Toc277345244"/>
      <w:bookmarkStart w:id="28" w:name="_Toc400369731"/>
      <w:r w:rsidRPr="00150E59">
        <w:rPr>
          <w:rFonts w:cs="Arial"/>
        </w:rPr>
        <w:t>3.</w:t>
      </w:r>
      <w:bookmarkEnd w:id="26"/>
      <w:r>
        <w:rPr>
          <w:rFonts w:cs="Arial"/>
        </w:rPr>
        <w:t>3</w:t>
      </w:r>
      <w:r w:rsidRPr="00150E59">
        <w:rPr>
          <w:rFonts w:cs="Arial"/>
        </w:rPr>
        <w:t xml:space="preserve"> Resolución del Tribunal de Cuentas de fecha 28/01/</w:t>
      </w:r>
      <w:r>
        <w:rPr>
          <w:rFonts w:cs="Arial"/>
        </w:rPr>
        <w:t>20</w:t>
      </w:r>
      <w:r w:rsidRPr="00150E59">
        <w:rPr>
          <w:rFonts w:cs="Arial"/>
        </w:rPr>
        <w:t>04</w:t>
      </w:r>
      <w:bookmarkEnd w:id="27"/>
      <w:bookmarkEnd w:id="28"/>
    </w:p>
    <w:p w:rsidR="00A05034" w:rsidRPr="004B3E91" w:rsidRDefault="00A05034" w:rsidP="004B3E91">
      <w:pPr>
        <w:pStyle w:val="Sangradetextonormal"/>
        <w:widowControl w:val="0"/>
        <w:jc w:val="both"/>
        <w:rPr>
          <w:rFonts w:ascii="Arial" w:hAnsi="Arial" w:cs="Arial"/>
          <w:bCs/>
        </w:rPr>
      </w:pPr>
      <w:r w:rsidRPr="004B3E91">
        <w:rPr>
          <w:rFonts w:ascii="Arial" w:hAnsi="Arial" w:cs="Arial"/>
        </w:rPr>
        <w:t>El documento presentado no incluye la siguiente información:</w:t>
      </w:r>
    </w:p>
    <w:p w:rsidR="00A05034" w:rsidRPr="004B3E91" w:rsidRDefault="00A05034" w:rsidP="004B3E91">
      <w:pPr>
        <w:pStyle w:val="Sangradetextonormal"/>
        <w:widowControl w:val="0"/>
        <w:numPr>
          <w:ilvl w:val="0"/>
          <w:numId w:val="3"/>
        </w:numPr>
        <w:tabs>
          <w:tab w:val="clear" w:pos="720"/>
          <w:tab w:val="num" w:pos="360"/>
        </w:tabs>
        <w:spacing w:after="0" w:line="360" w:lineRule="auto"/>
        <w:ind w:left="360"/>
        <w:jc w:val="both"/>
        <w:rPr>
          <w:rFonts w:ascii="Arial" w:hAnsi="Arial" w:cs="Arial"/>
        </w:rPr>
      </w:pPr>
      <w:r w:rsidRPr="004B3E91">
        <w:rPr>
          <w:rFonts w:ascii="Arial" w:hAnsi="Arial" w:cs="Arial"/>
        </w:rPr>
        <w:t>Estado N°  5: Recursos con destino específico</w:t>
      </w:r>
    </w:p>
    <w:p w:rsidR="00A05034" w:rsidRPr="004B3E91" w:rsidRDefault="00A05034" w:rsidP="004B3E91">
      <w:pPr>
        <w:pStyle w:val="Sangradetextonormal"/>
        <w:widowControl w:val="0"/>
        <w:numPr>
          <w:ilvl w:val="0"/>
          <w:numId w:val="3"/>
        </w:numPr>
        <w:tabs>
          <w:tab w:val="clear" w:pos="720"/>
          <w:tab w:val="num" w:pos="360"/>
        </w:tabs>
        <w:spacing w:after="0" w:line="360" w:lineRule="auto"/>
        <w:ind w:left="360"/>
        <w:jc w:val="both"/>
        <w:rPr>
          <w:rFonts w:ascii="Arial" w:hAnsi="Arial" w:cs="Arial"/>
        </w:rPr>
      </w:pPr>
      <w:r w:rsidRPr="004B3E91">
        <w:rPr>
          <w:rFonts w:ascii="Arial" w:hAnsi="Arial" w:cs="Arial"/>
        </w:rPr>
        <w:t>Estado N° 15: Existencia de activos</w:t>
      </w:r>
    </w:p>
    <w:p w:rsidR="00A05034" w:rsidRPr="004B3E91" w:rsidRDefault="00A05034" w:rsidP="004B3E91">
      <w:pPr>
        <w:pStyle w:val="Sangradetextonormal"/>
        <w:widowControl w:val="0"/>
        <w:numPr>
          <w:ilvl w:val="0"/>
          <w:numId w:val="3"/>
        </w:numPr>
        <w:tabs>
          <w:tab w:val="clear" w:pos="720"/>
          <w:tab w:val="num" w:pos="360"/>
        </w:tabs>
        <w:spacing w:after="0" w:line="360" w:lineRule="auto"/>
        <w:ind w:left="360"/>
        <w:jc w:val="both"/>
        <w:rPr>
          <w:rFonts w:ascii="Arial" w:hAnsi="Arial" w:cs="Arial"/>
        </w:rPr>
      </w:pPr>
      <w:r w:rsidRPr="004B3E91">
        <w:rPr>
          <w:rFonts w:ascii="Arial" w:hAnsi="Arial" w:cs="Arial"/>
        </w:rPr>
        <w:t>Otras informaciones: detalle de los contratos de arrendamiento de obra y de servicios y detalle de actividades comerciales e industriales.</w:t>
      </w:r>
    </w:p>
    <w:p w:rsidR="00A05034" w:rsidRDefault="00A05034">
      <w:pPr>
        <w:pStyle w:val="Ttulo2"/>
        <w:widowControl w:val="0"/>
        <w:rPr>
          <w:rFonts w:cs="Arial"/>
        </w:rPr>
      </w:pPr>
      <w:bookmarkStart w:id="29" w:name="_Toc277345248"/>
      <w:bookmarkStart w:id="30" w:name="_Toc400369733"/>
      <w:bookmarkStart w:id="31" w:name="_Toc77158916"/>
      <w:bookmarkStart w:id="32" w:name="_Toc79903566"/>
      <w:r>
        <w:rPr>
          <w:rFonts w:cs="Arial"/>
        </w:rPr>
        <w:t>3.4 Convenio firmado el 03/12/1991 con Jefatura de Policía de Montevideo</w:t>
      </w:r>
      <w:bookmarkEnd w:id="29"/>
      <w:bookmarkEnd w:id="30"/>
    </w:p>
    <w:p w:rsidR="00A05034" w:rsidRPr="00AF06ED" w:rsidRDefault="00A05034" w:rsidP="00AF06ED">
      <w:pPr>
        <w:pStyle w:val="Textoindependiente"/>
        <w:widowControl w:val="0"/>
        <w:spacing w:after="0" w:line="360" w:lineRule="auto"/>
        <w:jc w:val="both"/>
        <w:rPr>
          <w:rFonts w:ascii="Arial" w:hAnsi="Arial" w:cs="Arial"/>
        </w:rPr>
      </w:pPr>
      <w:r w:rsidRPr="00AF06ED">
        <w:rPr>
          <w:rFonts w:ascii="Arial" w:hAnsi="Arial" w:cs="Arial"/>
        </w:rPr>
        <w:t>Se ha constatado que desde el Ejercicio 1998 no se han vertido los montos correspondientes a multas de tránsito impuestas por la Jefatura de Policía de Montevideo por un monto de $ 11:584.441, según se expone en el documento y en el informe presentado por la Intendencia de Montevideo.</w:t>
      </w:r>
    </w:p>
    <w:p w:rsidR="00A05034" w:rsidRPr="007B313B" w:rsidRDefault="00A05034">
      <w:pPr>
        <w:pStyle w:val="Textoindependiente"/>
        <w:widowControl w:val="0"/>
        <w:spacing w:after="0" w:line="360" w:lineRule="auto"/>
        <w:rPr>
          <w:rFonts w:cs="Arial"/>
        </w:rPr>
      </w:pPr>
    </w:p>
    <w:p w:rsidR="00A05034" w:rsidRPr="007B313B" w:rsidRDefault="00A05034" w:rsidP="00D2507C">
      <w:pPr>
        <w:pStyle w:val="Ttulo1"/>
        <w:spacing w:after="0"/>
        <w:rPr>
          <w:kern w:val="1"/>
          <w:lang w:eastAsia="ar-SA"/>
        </w:rPr>
      </w:pPr>
      <w:bookmarkStart w:id="33" w:name="_Toc211365930"/>
      <w:bookmarkStart w:id="34" w:name="_Toc277345249"/>
      <w:bookmarkStart w:id="35" w:name="_Toc400369734"/>
      <w:r w:rsidRPr="007B313B">
        <w:rPr>
          <w:kern w:val="1"/>
          <w:lang w:eastAsia="ar-SA"/>
        </w:rPr>
        <w:t>4. Debilidades de Control Interno</w:t>
      </w:r>
      <w:bookmarkEnd w:id="33"/>
      <w:bookmarkEnd w:id="34"/>
      <w:bookmarkEnd w:id="35"/>
    </w:p>
    <w:p w:rsidR="00A05034" w:rsidRDefault="00A05034" w:rsidP="00D2507C">
      <w:pPr>
        <w:pStyle w:val="Ttulo2"/>
      </w:pPr>
      <w:bookmarkStart w:id="36" w:name="_Toc52263113"/>
      <w:bookmarkStart w:id="37" w:name="_Toc277345270"/>
      <w:bookmarkStart w:id="38" w:name="_Toc400369739"/>
      <w:bookmarkStart w:id="39" w:name="_Toc210448364"/>
      <w:bookmarkStart w:id="40" w:name="_Toc211365936"/>
      <w:bookmarkStart w:id="41" w:name="_Toc277345258"/>
      <w:r w:rsidRPr="007B313B">
        <w:rPr>
          <w:noProof/>
          <w:kern w:val="0"/>
        </w:rPr>
        <w:t>4.1. Deudas con Organismos</w:t>
      </w:r>
      <w:bookmarkEnd w:id="36"/>
      <w:r>
        <w:rPr>
          <w:noProof/>
          <w:kern w:val="0"/>
        </w:rPr>
        <w:t xml:space="preserve"> Públicos y Privados</w:t>
      </w:r>
      <w:bookmarkEnd w:id="37"/>
      <w:bookmarkEnd w:id="38"/>
    </w:p>
    <w:p w:rsidR="00A05034" w:rsidRPr="0036656E" w:rsidRDefault="00A05034" w:rsidP="00D2507C">
      <w:pPr>
        <w:tabs>
          <w:tab w:val="left" w:pos="-142"/>
          <w:tab w:val="right" w:pos="9781"/>
        </w:tabs>
        <w:spacing w:line="360" w:lineRule="auto"/>
        <w:jc w:val="both"/>
        <w:rPr>
          <w:kern w:val="18"/>
          <w:szCs w:val="20"/>
          <w:lang w:val="es-ES_tradnl"/>
        </w:rPr>
      </w:pPr>
      <w:r w:rsidRPr="003B687B">
        <w:rPr>
          <w:rFonts w:ascii="Arial" w:hAnsi="Arial" w:cs="Arial"/>
        </w:rPr>
        <w:t xml:space="preserve">Si bien comenzaron a realizarse conciliaciones a partir de la circularización de saldos con proveedores públicos y privados al cierre del </w:t>
      </w:r>
      <w:r>
        <w:rPr>
          <w:rFonts w:ascii="Arial" w:hAnsi="Arial" w:cs="Arial"/>
        </w:rPr>
        <w:t>E</w:t>
      </w:r>
      <w:r w:rsidRPr="003B687B">
        <w:rPr>
          <w:rFonts w:ascii="Arial" w:hAnsi="Arial" w:cs="Arial"/>
        </w:rPr>
        <w:t>jercicio 2015, es recomendable la realización periódica de las mismas, a efectos de determinar cuál es la deuda cierta y efectuar los ajustes que sean necesarios.</w:t>
      </w:r>
    </w:p>
    <w:p w:rsidR="00A05034" w:rsidRDefault="00A05034">
      <w:pPr>
        <w:pStyle w:val="Ttulo2"/>
        <w:rPr>
          <w:noProof/>
          <w:kern w:val="0"/>
        </w:rPr>
      </w:pPr>
      <w:bookmarkStart w:id="42" w:name="_Toc400369740"/>
      <w:r>
        <w:rPr>
          <w:noProof/>
          <w:kern w:val="0"/>
        </w:rPr>
        <w:t>4.2 Fondos a rendir cuenta</w:t>
      </w:r>
      <w:bookmarkEnd w:id="42"/>
    </w:p>
    <w:p w:rsidR="00A05034" w:rsidRPr="00AF06ED" w:rsidRDefault="00A05034" w:rsidP="00AF06ED">
      <w:pPr>
        <w:pStyle w:val="Textoindependiente"/>
        <w:spacing w:after="0" w:line="360" w:lineRule="auto"/>
        <w:jc w:val="both"/>
        <w:rPr>
          <w:rFonts w:ascii="Arial" w:hAnsi="Arial" w:cs="Arial"/>
        </w:rPr>
      </w:pPr>
      <w:r w:rsidRPr="00AF06ED">
        <w:rPr>
          <w:rFonts w:ascii="Arial" w:hAnsi="Arial" w:cs="Arial"/>
        </w:rPr>
        <w:t>Al 31/12/2015 se mantenían activos, fondos creados en años anteriores habiendo culminado el fin para el cual fueron generados. Asimismo permanecían activos, fondos que no fueron usados porque no se configuró el hecho por el cual fueron establecidos.</w:t>
      </w:r>
    </w:p>
    <w:p w:rsidR="00A05034" w:rsidRDefault="00A05034">
      <w:pPr>
        <w:pStyle w:val="Ttulo2"/>
        <w:rPr>
          <w:noProof/>
          <w:kern w:val="0"/>
        </w:rPr>
      </w:pPr>
      <w:bookmarkStart w:id="43" w:name="_Toc400369742"/>
      <w:r>
        <w:rPr>
          <w:noProof/>
          <w:kern w:val="0"/>
        </w:rPr>
        <w:t>4.3</w:t>
      </w:r>
      <w:r>
        <w:t xml:space="preserve"> </w:t>
      </w:r>
      <w:r>
        <w:rPr>
          <w:noProof/>
          <w:kern w:val="0"/>
        </w:rPr>
        <w:t>Asignación presupuestal de Casinos</w:t>
      </w:r>
      <w:bookmarkEnd w:id="43"/>
    </w:p>
    <w:p w:rsidR="00A05034" w:rsidRPr="00AF06ED" w:rsidRDefault="00A05034" w:rsidP="00AF06ED">
      <w:pPr>
        <w:pStyle w:val="Textoindependiente"/>
        <w:spacing w:after="0" w:line="360" w:lineRule="auto"/>
        <w:jc w:val="both"/>
        <w:rPr>
          <w:rFonts w:ascii="Arial" w:hAnsi="Arial" w:cs="Arial"/>
        </w:rPr>
      </w:pPr>
      <w:r w:rsidRPr="00AF06ED">
        <w:rPr>
          <w:rFonts w:ascii="Arial" w:hAnsi="Arial" w:cs="Arial"/>
        </w:rPr>
        <w:t>Las asignaciones presupuestales previstas para Casinos, se incluyeron a nivel de actividad en determinados programas. Por tratarse de actividades comerciales relevantes, su exposición debe realizarse por programas específicos.</w:t>
      </w:r>
      <w:bookmarkStart w:id="44" w:name="_Toc400369761"/>
      <w:bookmarkStart w:id="45" w:name="_Toc277345267"/>
      <w:bookmarkStart w:id="46" w:name="_Toc400369743"/>
    </w:p>
    <w:p w:rsidR="00A05034" w:rsidRPr="00FC2DAA" w:rsidRDefault="00A05034" w:rsidP="00D2507C">
      <w:pPr>
        <w:pStyle w:val="Ttulo2"/>
      </w:pPr>
      <w:r w:rsidRPr="00FC2DAA">
        <w:t>4.4 Comisión Administradora del Velódromo Municipal</w:t>
      </w:r>
      <w:bookmarkEnd w:id="44"/>
      <w:bookmarkEnd w:id="45"/>
    </w:p>
    <w:p w:rsidR="00A05034" w:rsidRPr="00AF06ED" w:rsidRDefault="00A05034" w:rsidP="00AF06ED">
      <w:pPr>
        <w:pStyle w:val="Textoindependiente"/>
        <w:widowControl w:val="0"/>
        <w:spacing w:after="0" w:line="360" w:lineRule="auto"/>
        <w:jc w:val="both"/>
        <w:rPr>
          <w:rFonts w:ascii="Arial" w:hAnsi="Arial" w:cs="Arial"/>
        </w:rPr>
      </w:pPr>
      <w:r w:rsidRPr="00AF06ED">
        <w:rPr>
          <w:rFonts w:ascii="Arial" w:hAnsi="Arial" w:cs="Arial"/>
        </w:rPr>
        <w:t>La Intendencia no efectúa controles sobre los ingresos y egresos, de los Estados Contables presentados por esta Comisión.</w:t>
      </w:r>
    </w:p>
    <w:p w:rsidR="00A05034" w:rsidRPr="00B70828" w:rsidRDefault="00A05034" w:rsidP="00D2507C">
      <w:pPr>
        <w:pStyle w:val="Ttulo1"/>
        <w:spacing w:after="0"/>
        <w:rPr>
          <w:kern w:val="1"/>
          <w:lang w:val="es-ES_tradnl" w:eastAsia="ar-SA"/>
        </w:rPr>
      </w:pPr>
    </w:p>
    <w:p w:rsidR="00A05034" w:rsidRDefault="00A05034" w:rsidP="00D2507C">
      <w:pPr>
        <w:pStyle w:val="Ttulo1"/>
        <w:spacing w:after="0"/>
        <w:rPr>
          <w:kern w:val="1"/>
          <w:lang w:eastAsia="ar-SA"/>
        </w:rPr>
      </w:pPr>
      <w:r>
        <w:rPr>
          <w:kern w:val="1"/>
          <w:lang w:eastAsia="ar-SA"/>
        </w:rPr>
        <w:t>5. Recomendaciones</w:t>
      </w:r>
      <w:bookmarkEnd w:id="39"/>
      <w:bookmarkEnd w:id="40"/>
      <w:bookmarkEnd w:id="41"/>
      <w:bookmarkEnd w:id="46"/>
    </w:p>
    <w:p w:rsidR="00A05034" w:rsidRDefault="00A05034" w:rsidP="00D2507C">
      <w:pPr>
        <w:pStyle w:val="Ttulo2"/>
        <w:rPr>
          <w:rFonts w:cs="Arial"/>
        </w:rPr>
      </w:pPr>
      <w:bookmarkStart w:id="47" w:name="_Toc77158917"/>
      <w:bookmarkStart w:id="48" w:name="_Toc79903567"/>
      <w:bookmarkStart w:id="49" w:name="_Toc210448365"/>
      <w:bookmarkStart w:id="50" w:name="_Toc211365937"/>
      <w:bookmarkStart w:id="51" w:name="_Toc277345259"/>
      <w:bookmarkStart w:id="52" w:name="_Toc400369744"/>
      <w:bookmarkEnd w:id="31"/>
      <w:bookmarkEnd w:id="32"/>
      <w:r>
        <w:rPr>
          <w:rFonts w:cs="Arial"/>
        </w:rPr>
        <w:t>5.1 Recomendaciones del ejercicio anterior cumplidas</w:t>
      </w:r>
      <w:bookmarkEnd w:id="47"/>
      <w:bookmarkEnd w:id="48"/>
      <w:bookmarkEnd w:id="49"/>
      <w:bookmarkEnd w:id="50"/>
      <w:bookmarkEnd w:id="51"/>
      <w:bookmarkEnd w:id="52"/>
    </w:p>
    <w:p w:rsidR="00A05034" w:rsidRDefault="00A05034" w:rsidP="00D2507C">
      <w:pPr>
        <w:pStyle w:val="Ttulo2"/>
      </w:pPr>
      <w:bookmarkStart w:id="53" w:name="_Toc274734790"/>
      <w:bookmarkStart w:id="54" w:name="_Toc400369736"/>
      <w:bookmarkStart w:id="55" w:name="_Toc400369762"/>
      <w:bookmarkStart w:id="56" w:name="_Toc400369748"/>
      <w:r>
        <w:t xml:space="preserve">5.1.1 </w:t>
      </w:r>
      <w:r>
        <w:rPr>
          <w:noProof/>
          <w:kern w:val="0"/>
        </w:rPr>
        <w:t>Contribución Inmobiliaria Rural - descuentos y bonificaciones</w:t>
      </w:r>
    </w:p>
    <w:p w:rsidR="00A05034" w:rsidRPr="00A21DD1" w:rsidRDefault="00A05034" w:rsidP="00D2507C">
      <w:pPr>
        <w:pStyle w:val="Ttulo2"/>
        <w:rPr>
          <w:rFonts w:cs="Arial"/>
          <w:b w:val="0"/>
          <w:kern w:val="0"/>
          <w:szCs w:val="24"/>
          <w:lang w:eastAsia="ar-SA"/>
        </w:rPr>
      </w:pPr>
      <w:r w:rsidRPr="00E03F40">
        <w:rPr>
          <w:rFonts w:cs="Arial"/>
          <w:b w:val="0"/>
          <w:kern w:val="0"/>
          <w:szCs w:val="24"/>
          <w:lang w:eastAsia="ar-SA"/>
        </w:rPr>
        <w:t xml:space="preserve">La Comuna </w:t>
      </w:r>
      <w:r>
        <w:rPr>
          <w:rFonts w:cs="Arial"/>
          <w:b w:val="0"/>
          <w:kern w:val="0"/>
          <w:szCs w:val="24"/>
          <w:lang w:eastAsia="ar-SA"/>
        </w:rPr>
        <w:t>no efectuó</w:t>
      </w:r>
      <w:r w:rsidRPr="00E03F40">
        <w:rPr>
          <w:rFonts w:cs="Arial"/>
          <w:b w:val="0"/>
          <w:kern w:val="0"/>
          <w:szCs w:val="24"/>
          <w:lang w:eastAsia="ar-SA"/>
        </w:rPr>
        <w:t xml:space="preserve"> </w:t>
      </w:r>
      <w:r>
        <w:rPr>
          <w:rFonts w:cs="Arial"/>
          <w:b w:val="0"/>
          <w:kern w:val="0"/>
          <w:szCs w:val="24"/>
          <w:lang w:eastAsia="ar-SA"/>
        </w:rPr>
        <w:t>descuentos y</w:t>
      </w:r>
      <w:r w:rsidRPr="00E03F40">
        <w:rPr>
          <w:rFonts w:cs="Arial"/>
          <w:b w:val="0"/>
          <w:kern w:val="0"/>
          <w:szCs w:val="24"/>
          <w:lang w:eastAsia="ar-SA"/>
        </w:rPr>
        <w:t xml:space="preserve"> bonificaciones </w:t>
      </w:r>
      <w:r>
        <w:rPr>
          <w:rFonts w:cs="Arial"/>
          <w:b w:val="0"/>
          <w:kern w:val="0"/>
          <w:szCs w:val="24"/>
          <w:lang w:eastAsia="ar-SA"/>
        </w:rPr>
        <w:t>con respecto a la Contribución Inmobiliaria Rural en el Ejercicio 2015.</w:t>
      </w:r>
    </w:p>
    <w:p w:rsidR="00A05034" w:rsidRDefault="00A05034" w:rsidP="00D2507C">
      <w:pPr>
        <w:pStyle w:val="Ttulo2"/>
      </w:pPr>
      <w:r>
        <w:t>5.1.2 Conciliaciones Bancarias</w:t>
      </w:r>
      <w:bookmarkEnd w:id="53"/>
      <w:bookmarkEnd w:id="54"/>
    </w:p>
    <w:p w:rsidR="00A05034" w:rsidRPr="00AF06ED" w:rsidRDefault="00A05034" w:rsidP="00AF06ED">
      <w:pPr>
        <w:pStyle w:val="Textoindependiente"/>
        <w:spacing w:after="0" w:line="360" w:lineRule="auto"/>
        <w:jc w:val="both"/>
        <w:rPr>
          <w:rFonts w:ascii="Arial" w:hAnsi="Arial" w:cs="Arial"/>
          <w:lang w:val="es-MX"/>
        </w:rPr>
      </w:pPr>
      <w:r w:rsidRPr="00AF06ED">
        <w:rPr>
          <w:rFonts w:ascii="Arial" w:hAnsi="Arial" w:cs="Arial"/>
          <w:lang w:val="es-MX"/>
        </w:rPr>
        <w:t>En las conciliaciones bancarias no se constataron partidas  pendientes con excesiva antigüedad.</w:t>
      </w:r>
    </w:p>
    <w:p w:rsidR="00A05034" w:rsidRPr="00E608CB" w:rsidRDefault="00A05034" w:rsidP="00D2507C">
      <w:pPr>
        <w:pStyle w:val="Ttulo2"/>
      </w:pPr>
      <w:r>
        <w:t xml:space="preserve">5.1.3 </w:t>
      </w:r>
      <w:r w:rsidRPr="00E608CB">
        <w:t>Documentos a pagar que exceden el período de gobierno</w:t>
      </w:r>
      <w:bookmarkEnd w:id="55"/>
    </w:p>
    <w:p w:rsidR="00A05034" w:rsidRPr="00AF06ED" w:rsidRDefault="00A05034" w:rsidP="00AF06ED">
      <w:pPr>
        <w:pStyle w:val="Textoindependiente"/>
        <w:widowControl w:val="0"/>
        <w:spacing w:after="0" w:line="360" w:lineRule="auto"/>
        <w:jc w:val="both"/>
        <w:rPr>
          <w:rFonts w:ascii="Arial" w:hAnsi="Arial" w:cs="Arial"/>
        </w:rPr>
      </w:pPr>
      <w:r w:rsidRPr="00AF06ED">
        <w:rPr>
          <w:rFonts w:ascii="Arial" w:hAnsi="Arial" w:cs="Arial"/>
        </w:rPr>
        <w:t>No se emitieron documentos con vencimiento posterior a la finalización del periodo de gobierno, teniéndose en cuenta el Artículo 766 inciso 2 de la Ley    Nº 16.736.</w:t>
      </w:r>
    </w:p>
    <w:p w:rsidR="00A05034" w:rsidRPr="007B313B" w:rsidRDefault="00A05034" w:rsidP="00D2507C">
      <w:pPr>
        <w:pStyle w:val="Ttulo2"/>
        <w:rPr>
          <w:iCs/>
          <w:smallCaps/>
        </w:rPr>
      </w:pPr>
      <w:bookmarkStart w:id="57" w:name="_Toc277345269"/>
      <w:bookmarkStart w:id="58" w:name="_Toc400369767"/>
      <w:r>
        <w:rPr>
          <w:noProof/>
          <w:kern w:val="0"/>
        </w:rPr>
        <w:t xml:space="preserve">5.1.4 Convenios de </w:t>
      </w:r>
      <w:r w:rsidRPr="007B313B">
        <w:rPr>
          <w:noProof/>
          <w:kern w:val="0"/>
        </w:rPr>
        <w:t>Pagos</w:t>
      </w:r>
      <w:bookmarkEnd w:id="57"/>
      <w:bookmarkEnd w:id="58"/>
    </w:p>
    <w:p w:rsidR="00A05034" w:rsidRPr="00AF06ED" w:rsidRDefault="00A05034" w:rsidP="00AF06ED">
      <w:pPr>
        <w:pStyle w:val="Textoindependiente"/>
        <w:widowControl w:val="0"/>
        <w:spacing w:after="0" w:line="360" w:lineRule="auto"/>
        <w:jc w:val="both"/>
        <w:rPr>
          <w:rFonts w:ascii="Arial" w:hAnsi="Arial" w:cs="Arial"/>
        </w:rPr>
      </w:pPr>
      <w:r w:rsidRPr="00AF06ED">
        <w:rPr>
          <w:rFonts w:ascii="Arial" w:hAnsi="Arial" w:cs="Arial"/>
        </w:rPr>
        <w:t>En el Ejercicio 2015 no se constataron nuevos convenios de pago, y se culminó el existente con BPS.</w:t>
      </w:r>
    </w:p>
    <w:p w:rsidR="00A05034" w:rsidRPr="007B313B" w:rsidRDefault="00A05034" w:rsidP="00D2507C">
      <w:pPr>
        <w:pStyle w:val="Textoindependiente"/>
      </w:pPr>
    </w:p>
    <w:p w:rsidR="00A05034" w:rsidRPr="00755742" w:rsidRDefault="00A05034" w:rsidP="00D2507C">
      <w:pPr>
        <w:pStyle w:val="Ttulo2"/>
        <w:rPr>
          <w:rFonts w:cs="Arial"/>
        </w:rPr>
      </w:pPr>
      <w:bookmarkStart w:id="59" w:name="_Toc277345263"/>
      <w:bookmarkStart w:id="60" w:name="_Toc400369749"/>
      <w:bookmarkEnd w:id="56"/>
      <w:r w:rsidRPr="007B313B">
        <w:rPr>
          <w:rFonts w:cs="Arial"/>
        </w:rPr>
        <w:t>5.2 Recomendaciones del ejercicio anterior no cumplidas</w:t>
      </w:r>
      <w:bookmarkStart w:id="61" w:name="_Toc277345264"/>
      <w:bookmarkEnd w:id="59"/>
      <w:bookmarkEnd w:id="60"/>
    </w:p>
    <w:p w:rsidR="00A05034" w:rsidRPr="006843C8" w:rsidRDefault="00A05034">
      <w:pPr>
        <w:pStyle w:val="Ttulo2"/>
        <w:rPr>
          <w:noProof/>
          <w:kern w:val="0"/>
        </w:rPr>
      </w:pPr>
      <w:bookmarkStart w:id="62" w:name="_Toc400369752"/>
      <w:r w:rsidRPr="006843C8">
        <w:rPr>
          <w:noProof/>
          <w:kern w:val="0"/>
        </w:rPr>
        <w:t>5.2.</w:t>
      </w:r>
      <w:r>
        <w:rPr>
          <w:noProof/>
          <w:kern w:val="0"/>
        </w:rPr>
        <w:t>1</w:t>
      </w:r>
      <w:r w:rsidRPr="006843C8">
        <w:rPr>
          <w:noProof/>
          <w:kern w:val="0"/>
        </w:rPr>
        <w:t xml:space="preserve"> Contribución Inmobiliaria Rural – Planes de Regularización</w:t>
      </w:r>
      <w:bookmarkEnd w:id="62"/>
    </w:p>
    <w:p w:rsidR="00A05034" w:rsidRPr="00AF06ED" w:rsidRDefault="00A05034" w:rsidP="00AF06ED">
      <w:pPr>
        <w:pStyle w:val="Textoindependiente"/>
        <w:widowControl w:val="0"/>
        <w:spacing w:after="0" w:line="360" w:lineRule="auto"/>
        <w:jc w:val="both"/>
        <w:rPr>
          <w:rFonts w:ascii="Arial" w:hAnsi="Arial" w:cs="Arial"/>
          <w:highlight w:val="yellow"/>
          <w:lang w:eastAsia="ar-SA"/>
        </w:rPr>
      </w:pPr>
      <w:r w:rsidRPr="00AF06ED">
        <w:rPr>
          <w:rFonts w:ascii="Arial" w:hAnsi="Arial" w:cs="Arial"/>
          <w:bCs/>
        </w:rPr>
        <w:t>La Comuna deberá tener en cuenta lo establecido por la legislación nacional, de acuerdo al Código Tributario con relación al porcentaje de multas a aplicar por mora para la Contribución Inmobiliaria Rural.</w:t>
      </w:r>
    </w:p>
    <w:p w:rsidR="00A05034" w:rsidRPr="00AF06ED" w:rsidRDefault="00A05034" w:rsidP="00AF06ED">
      <w:pPr>
        <w:pStyle w:val="Textoindependiente"/>
        <w:widowControl w:val="0"/>
        <w:spacing w:after="0" w:line="360" w:lineRule="auto"/>
        <w:jc w:val="both"/>
        <w:rPr>
          <w:rFonts w:ascii="Arial" w:hAnsi="Arial" w:cs="Arial"/>
          <w:bCs/>
        </w:rPr>
      </w:pPr>
      <w:r w:rsidRPr="00AF06ED">
        <w:rPr>
          <w:rFonts w:ascii="Arial" w:hAnsi="Arial" w:cs="Arial"/>
          <w:bCs/>
        </w:rPr>
        <w:t>Asimismo, en el caso de establecer iguales planes de regularización de adeudos a los establecidos para la Contribución Inmobiliaria Urbana y Suburbana, con respecto  a la Contribución Inmobiliaria Rural, se deberá tramitar la autorización al Ministerio de Economía y Finanzas (Artículo 775 de la Ley Nº 18.719).</w:t>
      </w:r>
    </w:p>
    <w:p w:rsidR="00A05034" w:rsidRDefault="00A05034">
      <w:pPr>
        <w:pStyle w:val="Ttulo2"/>
        <w:rPr>
          <w:noProof/>
          <w:kern w:val="0"/>
        </w:rPr>
      </w:pPr>
      <w:bookmarkStart w:id="63" w:name="_Toc400369754"/>
      <w:bookmarkStart w:id="64" w:name="_Toc277345274"/>
      <w:r w:rsidRPr="006843C8">
        <w:rPr>
          <w:noProof/>
          <w:kern w:val="0"/>
        </w:rPr>
        <w:t>5.2.</w:t>
      </w:r>
      <w:r>
        <w:rPr>
          <w:noProof/>
          <w:kern w:val="0"/>
        </w:rPr>
        <w:t>2</w:t>
      </w:r>
      <w:r w:rsidRPr="006843C8">
        <w:rPr>
          <w:noProof/>
          <w:kern w:val="0"/>
        </w:rPr>
        <w:t xml:space="preserve"> </w:t>
      </w:r>
      <w:r>
        <w:rPr>
          <w:noProof/>
          <w:kern w:val="0"/>
        </w:rPr>
        <w:t>Fondos Fijos</w:t>
      </w:r>
    </w:p>
    <w:p w:rsidR="00A05034" w:rsidRDefault="00A05034" w:rsidP="00D2507C">
      <w:pPr>
        <w:spacing w:line="360" w:lineRule="auto"/>
        <w:jc w:val="both"/>
        <w:rPr>
          <w:rFonts w:ascii="Arial" w:hAnsi="Arial" w:cs="Arial"/>
        </w:rPr>
      </w:pPr>
      <w:r w:rsidRPr="00E966E1">
        <w:rPr>
          <w:rFonts w:ascii="Arial" w:hAnsi="Arial"/>
          <w:bCs/>
          <w:kern w:val="18"/>
          <w:szCs w:val="20"/>
          <w:lang w:val="es-ES_tradnl"/>
        </w:rPr>
        <w:t xml:space="preserve">La Intendencia deberá tener en </w:t>
      </w:r>
      <w:r w:rsidRPr="00367DFA">
        <w:rPr>
          <w:rFonts w:ascii="Arial" w:hAnsi="Arial"/>
          <w:bCs/>
          <w:kern w:val="18"/>
          <w:szCs w:val="20"/>
          <w:lang w:val="es-ES_tradnl"/>
        </w:rPr>
        <w:t>cuenta, al</w:t>
      </w:r>
      <w:r w:rsidRPr="00E966E1">
        <w:rPr>
          <w:rFonts w:ascii="Arial" w:hAnsi="Arial"/>
          <w:bCs/>
          <w:kern w:val="18"/>
          <w:szCs w:val="20"/>
          <w:lang w:val="es-ES_tradnl"/>
        </w:rPr>
        <w:t xml:space="preserve"> </w:t>
      </w:r>
      <w:r>
        <w:rPr>
          <w:rFonts w:ascii="Arial" w:hAnsi="Arial"/>
          <w:bCs/>
          <w:kern w:val="18"/>
          <w:szCs w:val="20"/>
          <w:lang w:val="es-ES_tradnl"/>
        </w:rPr>
        <w:t xml:space="preserve">momento de realizar gastos con Fondos Fijos, </w:t>
      </w:r>
      <w:r w:rsidRPr="00E966E1">
        <w:rPr>
          <w:rFonts w:ascii="Arial" w:hAnsi="Arial"/>
          <w:bCs/>
          <w:kern w:val="18"/>
          <w:szCs w:val="20"/>
          <w:lang w:val="es-ES_tradnl"/>
        </w:rPr>
        <w:t>lo establecido</w:t>
      </w:r>
      <w:r>
        <w:rPr>
          <w:rFonts w:ascii="Arial" w:hAnsi="Arial"/>
          <w:bCs/>
          <w:kern w:val="18"/>
          <w:szCs w:val="20"/>
          <w:lang w:val="es-ES_tradnl"/>
        </w:rPr>
        <w:t xml:space="preserve"> en el </w:t>
      </w:r>
      <w:r w:rsidRPr="00E966E1">
        <w:rPr>
          <w:rFonts w:ascii="Arial" w:hAnsi="Arial" w:cs="Arial"/>
          <w:bCs/>
        </w:rPr>
        <w:t>Artículo 211 Lit</w:t>
      </w:r>
      <w:r>
        <w:rPr>
          <w:rFonts w:ascii="Arial" w:hAnsi="Arial" w:cs="Arial"/>
          <w:bCs/>
        </w:rPr>
        <w:t>eral</w:t>
      </w:r>
      <w:r w:rsidRPr="00E966E1">
        <w:rPr>
          <w:rFonts w:ascii="Arial" w:hAnsi="Arial" w:cs="Arial"/>
          <w:bCs/>
        </w:rPr>
        <w:t xml:space="preserve"> B) de la Constitución de la República, Artículos 13,</w:t>
      </w:r>
      <w:r>
        <w:rPr>
          <w:rFonts w:ascii="Arial" w:hAnsi="Arial" w:cs="Arial"/>
          <w:bCs/>
        </w:rPr>
        <w:t xml:space="preserve"> 14, 15, 16 y 132 I</w:t>
      </w:r>
      <w:r w:rsidRPr="00E966E1">
        <w:rPr>
          <w:rFonts w:ascii="Arial" w:hAnsi="Arial" w:cs="Arial"/>
          <w:bCs/>
        </w:rPr>
        <w:t>nc</w:t>
      </w:r>
      <w:r>
        <w:rPr>
          <w:rFonts w:ascii="Arial" w:hAnsi="Arial" w:cs="Arial"/>
          <w:bCs/>
        </w:rPr>
        <w:t>iso</w:t>
      </w:r>
      <w:r w:rsidRPr="00E966E1">
        <w:rPr>
          <w:rFonts w:ascii="Arial" w:hAnsi="Arial" w:cs="Arial"/>
          <w:bCs/>
        </w:rPr>
        <w:t xml:space="preserve"> 2 del TOCAF</w:t>
      </w:r>
      <w:r w:rsidRPr="00E966E1">
        <w:rPr>
          <w:rFonts w:ascii="Arial" w:hAnsi="Arial" w:cs="Arial"/>
        </w:rPr>
        <w:t xml:space="preserve"> y Artículo 13 de la Resolución de la Intendencia Nº 1.155/97 de 14/04/97</w:t>
      </w:r>
      <w:r>
        <w:rPr>
          <w:rFonts w:ascii="Arial" w:hAnsi="Arial" w:cs="Arial"/>
        </w:rPr>
        <w:t>.</w:t>
      </w:r>
    </w:p>
    <w:p w:rsidR="00E94273" w:rsidRDefault="00E94273" w:rsidP="00D2507C">
      <w:pPr>
        <w:spacing w:line="360" w:lineRule="auto"/>
        <w:jc w:val="both"/>
        <w:rPr>
          <w:rFonts w:ascii="Arial" w:hAnsi="Arial"/>
          <w:bCs/>
          <w:kern w:val="18"/>
          <w:szCs w:val="20"/>
          <w:lang w:val="es-ES_tradnl"/>
        </w:rPr>
      </w:pPr>
    </w:p>
    <w:p w:rsidR="00A05034" w:rsidRPr="006843C8" w:rsidRDefault="00A05034">
      <w:pPr>
        <w:pStyle w:val="Ttulo2"/>
        <w:rPr>
          <w:iCs/>
        </w:rPr>
      </w:pPr>
      <w:r>
        <w:rPr>
          <w:noProof/>
          <w:kern w:val="0"/>
        </w:rPr>
        <w:t xml:space="preserve">5.2.3 </w:t>
      </w:r>
      <w:r w:rsidRPr="006843C8">
        <w:rPr>
          <w:noProof/>
          <w:kern w:val="0"/>
        </w:rPr>
        <w:t xml:space="preserve">Organizaciones no gubernamentales </w:t>
      </w:r>
      <w:bookmarkEnd w:id="63"/>
      <w:r>
        <w:rPr>
          <w:noProof/>
          <w:kern w:val="0"/>
        </w:rPr>
        <w:t>y arrendamiento de servicios</w:t>
      </w:r>
    </w:p>
    <w:p w:rsidR="00A05034" w:rsidRPr="00AF06ED" w:rsidRDefault="00A05034" w:rsidP="00AF06ED">
      <w:pPr>
        <w:pStyle w:val="Textoindependiente"/>
        <w:widowControl w:val="0"/>
        <w:spacing w:after="0" w:line="360" w:lineRule="auto"/>
        <w:jc w:val="both"/>
        <w:rPr>
          <w:rFonts w:ascii="Arial" w:hAnsi="Arial" w:cs="Arial"/>
        </w:rPr>
      </w:pPr>
      <w:r w:rsidRPr="00AF06ED">
        <w:rPr>
          <w:rFonts w:ascii="Arial" w:hAnsi="Arial" w:cs="Arial"/>
        </w:rPr>
        <w:t xml:space="preserve">Se deberá tener en cuenta lo establecido en el Artículo 211 Literal B) de la Constitución de la República,  Artículos </w:t>
      </w:r>
      <w:r w:rsidRPr="00AF06ED">
        <w:rPr>
          <w:rFonts w:ascii="Arial" w:hAnsi="Arial" w:cs="Arial"/>
          <w:bCs/>
        </w:rPr>
        <w:t>13,</w:t>
      </w:r>
      <w:r w:rsidRPr="00AF06ED">
        <w:rPr>
          <w:rFonts w:ascii="Arial" w:hAnsi="Arial" w:cs="Arial"/>
          <w:b/>
          <w:bCs/>
        </w:rPr>
        <w:t xml:space="preserve"> </w:t>
      </w:r>
      <w:r w:rsidRPr="00AF06ED">
        <w:rPr>
          <w:rFonts w:ascii="Arial" w:hAnsi="Arial" w:cs="Arial"/>
        </w:rPr>
        <w:t>15 y 33 del TOCAF, a efectos de cumplir con la normativa vigente.</w:t>
      </w:r>
    </w:p>
    <w:p w:rsidR="00A05034" w:rsidRDefault="00A05034">
      <w:pPr>
        <w:pStyle w:val="Ttulo2"/>
        <w:rPr>
          <w:noProof/>
          <w:kern w:val="0"/>
        </w:rPr>
      </w:pPr>
      <w:bookmarkStart w:id="65" w:name="_Toc400369755"/>
      <w:r>
        <w:rPr>
          <w:noProof/>
          <w:kern w:val="0"/>
        </w:rPr>
        <w:t>5.2.4 Donación Modal</w:t>
      </w:r>
      <w:bookmarkEnd w:id="65"/>
    </w:p>
    <w:p w:rsidR="00A05034" w:rsidRPr="00AF06ED" w:rsidRDefault="00A05034" w:rsidP="00AF06ED">
      <w:pPr>
        <w:pStyle w:val="Textoindependiente"/>
        <w:widowControl w:val="0"/>
        <w:spacing w:after="0" w:line="360" w:lineRule="auto"/>
        <w:jc w:val="both"/>
        <w:rPr>
          <w:rFonts w:ascii="Arial" w:hAnsi="Arial" w:cs="Arial"/>
        </w:rPr>
      </w:pPr>
      <w:r w:rsidRPr="00AF06ED">
        <w:rPr>
          <w:rFonts w:ascii="Arial" w:hAnsi="Arial" w:cs="Arial"/>
        </w:rPr>
        <w:t>Al efectuar contratos de Donaciones Modales, la Intendencia deberá verificar que los mismos contengan los elementos que la legislación aplicable establece para su calificación como tales. En caso de tratarse de gastos, deberán aplicarse los procedimientos establecidos en el Artículo 33 del TOCAF, al igual que lo establecido en el Artículo 211 Literal B) de la Constitución y Artículo 15 del TOCAF.</w:t>
      </w:r>
    </w:p>
    <w:p w:rsidR="00A05034" w:rsidRDefault="00A05034">
      <w:pPr>
        <w:pStyle w:val="Ttulo2"/>
        <w:rPr>
          <w:rFonts w:cs="Arial"/>
        </w:rPr>
      </w:pPr>
      <w:bookmarkStart w:id="66" w:name="_Toc400369756"/>
      <w:r>
        <w:rPr>
          <w:rFonts w:cs="Arial"/>
        </w:rPr>
        <w:t>5.2.5 Mercado Modelo</w:t>
      </w:r>
      <w:bookmarkEnd w:id="66"/>
    </w:p>
    <w:p w:rsidR="00A05034" w:rsidRPr="00A21DD1" w:rsidRDefault="00A05034">
      <w:pPr>
        <w:spacing w:line="360" w:lineRule="auto"/>
        <w:jc w:val="both"/>
        <w:rPr>
          <w:rFonts w:ascii="Arial" w:hAnsi="Arial" w:cs="Arial"/>
          <w:i/>
        </w:rPr>
      </w:pPr>
      <w:r>
        <w:rPr>
          <w:rFonts w:ascii="Arial" w:hAnsi="Arial" w:cs="Arial"/>
          <w:bCs/>
        </w:rPr>
        <w:t>Los gastos referentes a sueldos del personal, deben ser imputados como retribuciones personales y no como gastos de funcionamiento. Asimismo, n</w:t>
      </w:r>
      <w:r w:rsidRPr="003E695F">
        <w:rPr>
          <w:rFonts w:ascii="Arial" w:hAnsi="Arial" w:cs="Arial"/>
          <w:bCs/>
        </w:rPr>
        <w:t xml:space="preserve">o se deberán efectuar pagos de retribuciones personales </w:t>
      </w:r>
      <w:r w:rsidRPr="007D6E22">
        <w:rPr>
          <w:rFonts w:ascii="Arial" w:hAnsi="Arial" w:cs="Arial"/>
          <w:bCs/>
        </w:rPr>
        <w:t>con</w:t>
      </w:r>
      <w:r w:rsidRPr="003E695F">
        <w:rPr>
          <w:rFonts w:ascii="Arial" w:hAnsi="Arial" w:cs="Arial"/>
          <w:bCs/>
        </w:rPr>
        <w:t xml:space="preserve"> fondos permanentes,</w:t>
      </w:r>
      <w:r>
        <w:rPr>
          <w:rFonts w:ascii="Arial" w:hAnsi="Arial" w:cs="Arial"/>
          <w:bCs/>
        </w:rPr>
        <w:t xml:space="preserve"> de acuerdo a lo</w:t>
      </w:r>
      <w:r w:rsidRPr="003E695F">
        <w:rPr>
          <w:rFonts w:ascii="Arial" w:hAnsi="Arial" w:cs="Arial"/>
          <w:bCs/>
        </w:rPr>
        <w:t xml:space="preserve"> </w:t>
      </w:r>
      <w:r>
        <w:rPr>
          <w:rFonts w:ascii="Arial" w:hAnsi="Arial" w:cs="Arial"/>
          <w:bCs/>
        </w:rPr>
        <w:t xml:space="preserve">establecido </w:t>
      </w:r>
      <w:r w:rsidRPr="008B469E">
        <w:rPr>
          <w:rFonts w:ascii="Arial" w:hAnsi="Arial" w:cs="Arial"/>
          <w:bCs/>
        </w:rPr>
        <w:t>en</w:t>
      </w:r>
      <w:r w:rsidRPr="008B469E">
        <w:rPr>
          <w:rFonts w:ascii="Arial" w:hAnsi="Arial" w:cs="Arial"/>
        </w:rPr>
        <w:t xml:space="preserve"> los Artículos 16</w:t>
      </w:r>
      <w:r>
        <w:rPr>
          <w:rFonts w:ascii="Arial" w:hAnsi="Arial" w:cs="Arial"/>
        </w:rPr>
        <w:t xml:space="preserve"> y </w:t>
      </w:r>
      <w:r w:rsidRPr="007D6E22">
        <w:rPr>
          <w:rFonts w:ascii="Arial" w:hAnsi="Arial" w:cs="Arial"/>
        </w:rPr>
        <w:t>89 del</w:t>
      </w:r>
      <w:r w:rsidRPr="0086714F">
        <w:rPr>
          <w:rFonts w:ascii="Arial" w:hAnsi="Arial" w:cs="Arial"/>
        </w:rPr>
        <w:t xml:space="preserve"> TOCAF</w:t>
      </w:r>
      <w:r>
        <w:rPr>
          <w:rFonts w:ascii="Arial" w:hAnsi="Arial" w:cs="Arial"/>
        </w:rPr>
        <w:t xml:space="preserve">, la Resolución de la Intendencia N° 1155/97 de 14/04/1997 y la Resolución del Tribunal </w:t>
      </w:r>
      <w:r w:rsidR="00AF06ED">
        <w:rPr>
          <w:rFonts w:ascii="Arial" w:hAnsi="Arial" w:cs="Arial"/>
        </w:rPr>
        <w:t>de Cuentas de fecha 09/07/1996.</w:t>
      </w:r>
    </w:p>
    <w:p w:rsidR="00A05034" w:rsidRDefault="00A05034">
      <w:pPr>
        <w:pStyle w:val="Ttulo2"/>
      </w:pPr>
      <w:bookmarkStart w:id="67" w:name="_Toc400369757"/>
      <w:r>
        <w:rPr>
          <w:noProof/>
          <w:kern w:val="0"/>
        </w:rPr>
        <w:t>5.2.6 Seguros contratados</w:t>
      </w:r>
      <w:bookmarkEnd w:id="64"/>
      <w:bookmarkEnd w:id="67"/>
    </w:p>
    <w:p w:rsidR="00A05034" w:rsidRPr="00AF06ED" w:rsidRDefault="00A05034" w:rsidP="00AF06ED">
      <w:pPr>
        <w:pStyle w:val="Textoindependiente"/>
        <w:widowControl w:val="0"/>
        <w:spacing w:after="0" w:line="360" w:lineRule="auto"/>
        <w:jc w:val="both"/>
        <w:rPr>
          <w:rFonts w:ascii="Arial" w:hAnsi="Arial" w:cs="Arial"/>
        </w:rPr>
      </w:pPr>
      <w:r w:rsidRPr="00AF06ED">
        <w:rPr>
          <w:rFonts w:ascii="Arial" w:hAnsi="Arial" w:cs="Arial"/>
        </w:rPr>
        <w:t>A efectos de cumplir con lo establecido en los Artículos 90, 137 y 154 del TOCAF, la Intendencia deberá contratar un seguro de caución de fidelidad respecto a todos los funcionarios que manejen fondos o valores, así como una cobertura contra riesgo para el emisario subfluvial de Punta Carretas.</w:t>
      </w:r>
    </w:p>
    <w:p w:rsidR="00A05034" w:rsidRDefault="00A05034">
      <w:pPr>
        <w:pStyle w:val="Ttulo2"/>
        <w:rPr>
          <w:noProof/>
          <w:kern w:val="0"/>
        </w:rPr>
      </w:pPr>
      <w:bookmarkStart w:id="68" w:name="_Toc400369758"/>
      <w:bookmarkStart w:id="69" w:name="_Toc78193778"/>
      <w:r>
        <w:rPr>
          <w:noProof/>
          <w:kern w:val="0"/>
        </w:rPr>
        <w:t>5.2.7 Gestión patrimonial</w:t>
      </w:r>
      <w:bookmarkEnd w:id="68"/>
    </w:p>
    <w:p w:rsidR="00A05034" w:rsidRPr="00AF06ED" w:rsidRDefault="00A05034" w:rsidP="00AF06ED">
      <w:pPr>
        <w:pStyle w:val="Textoindependiente"/>
        <w:widowControl w:val="0"/>
        <w:spacing w:after="0" w:line="360" w:lineRule="auto"/>
        <w:jc w:val="both"/>
        <w:rPr>
          <w:rFonts w:ascii="Arial" w:hAnsi="Arial" w:cs="Arial"/>
        </w:rPr>
      </w:pPr>
      <w:r w:rsidRPr="00AF06ED">
        <w:rPr>
          <w:rFonts w:ascii="Arial" w:hAnsi="Arial" w:cs="Arial"/>
          <w:noProof/>
        </w:rPr>
        <w:t>Se deberá dar cumplimiento a lo dispuesto en el Artículo 94 del TOCAF y la Ordenanza N° 81 de este</w:t>
      </w:r>
      <w:r w:rsidRPr="00AF06ED">
        <w:rPr>
          <w:rFonts w:ascii="Arial" w:hAnsi="Arial" w:cs="Arial"/>
        </w:rPr>
        <w:t xml:space="preserve"> </w:t>
      </w:r>
      <w:bookmarkEnd w:id="69"/>
      <w:r w:rsidRPr="00AF06ED">
        <w:rPr>
          <w:rFonts w:ascii="Arial" w:hAnsi="Arial" w:cs="Arial"/>
        </w:rPr>
        <w:t>Tribunal en cuanto a la presentación de Estados Contables.</w:t>
      </w:r>
      <w:bookmarkStart w:id="70" w:name="_Toc177977186"/>
      <w:bookmarkStart w:id="71" w:name="_Toc208913259"/>
      <w:bookmarkStart w:id="72" w:name="_Toc277345276"/>
      <w:bookmarkStart w:id="73" w:name="_Toc400369759"/>
    </w:p>
    <w:p w:rsidR="00A05034" w:rsidRDefault="00A05034">
      <w:pPr>
        <w:pStyle w:val="Ttulo2"/>
        <w:rPr>
          <w:noProof/>
          <w:kern w:val="0"/>
        </w:rPr>
      </w:pPr>
      <w:r>
        <w:rPr>
          <w:noProof/>
          <w:kern w:val="0"/>
        </w:rPr>
        <w:t>5.2.8 Inventario de bienes de uso</w:t>
      </w:r>
      <w:bookmarkEnd w:id="70"/>
      <w:bookmarkEnd w:id="71"/>
      <w:bookmarkEnd w:id="72"/>
      <w:bookmarkEnd w:id="73"/>
    </w:p>
    <w:p w:rsidR="00A05034" w:rsidRDefault="00A05034">
      <w:pPr>
        <w:widowControl w:val="0"/>
        <w:spacing w:line="360" w:lineRule="auto"/>
        <w:jc w:val="both"/>
        <w:rPr>
          <w:rFonts w:ascii="Arial" w:hAnsi="Arial" w:cs="Arial"/>
        </w:rPr>
      </w:pPr>
      <w:r w:rsidRPr="00423B7B">
        <w:rPr>
          <w:rFonts w:ascii="Arial" w:hAnsi="Arial" w:cs="Arial"/>
        </w:rPr>
        <w:t>Se deberá incluir en el documento de Rendición de Cuentas, copia del inventario de todos los activos que integran el patrimonio al cierre del Ejercicio. Además la Intendencia debe mantener actualizado dicho inventario, tal como lo establece</w:t>
      </w:r>
      <w:r>
        <w:rPr>
          <w:rFonts w:ascii="Arial" w:hAnsi="Arial" w:cs="Arial"/>
        </w:rPr>
        <w:t>n</w:t>
      </w:r>
      <w:r w:rsidRPr="00423B7B">
        <w:rPr>
          <w:rFonts w:ascii="Arial" w:hAnsi="Arial" w:cs="Arial"/>
        </w:rPr>
        <w:t xml:space="preserve"> l</w:t>
      </w:r>
      <w:r>
        <w:rPr>
          <w:rFonts w:ascii="Arial" w:hAnsi="Arial" w:cs="Arial"/>
        </w:rPr>
        <w:t>os</w:t>
      </w:r>
      <w:r w:rsidRPr="00423B7B">
        <w:rPr>
          <w:rFonts w:ascii="Arial" w:hAnsi="Arial" w:cs="Arial"/>
        </w:rPr>
        <w:t xml:space="preserve"> Artículo</w:t>
      </w:r>
      <w:r>
        <w:rPr>
          <w:rFonts w:ascii="Arial" w:hAnsi="Arial" w:cs="Arial"/>
        </w:rPr>
        <w:t xml:space="preserve">s 84 y 97 del TOCAF, </w:t>
      </w:r>
      <w:r w:rsidRPr="00423B7B">
        <w:rPr>
          <w:rFonts w:ascii="Arial" w:hAnsi="Arial" w:cs="Arial"/>
        </w:rPr>
        <w:t>l</w:t>
      </w:r>
      <w:r>
        <w:rPr>
          <w:rFonts w:ascii="Arial" w:hAnsi="Arial" w:cs="Arial"/>
        </w:rPr>
        <w:t>os</w:t>
      </w:r>
      <w:r w:rsidRPr="00423B7B">
        <w:rPr>
          <w:rFonts w:ascii="Arial" w:hAnsi="Arial" w:cs="Arial"/>
        </w:rPr>
        <w:t xml:space="preserve"> cual</w:t>
      </w:r>
      <w:r>
        <w:rPr>
          <w:rFonts w:ascii="Arial" w:hAnsi="Arial" w:cs="Arial"/>
        </w:rPr>
        <w:t>es</w:t>
      </w:r>
      <w:r w:rsidRPr="00423B7B">
        <w:rPr>
          <w:rFonts w:ascii="Arial" w:hAnsi="Arial" w:cs="Arial"/>
        </w:rPr>
        <w:t xml:space="preserve"> dispone</w:t>
      </w:r>
      <w:r>
        <w:rPr>
          <w:rFonts w:ascii="Arial" w:hAnsi="Arial" w:cs="Arial"/>
        </w:rPr>
        <w:t>n</w:t>
      </w:r>
      <w:r w:rsidRPr="00423B7B">
        <w:rPr>
          <w:rFonts w:ascii="Arial" w:hAnsi="Arial" w:cs="Arial"/>
        </w:rPr>
        <w:t xml:space="preserve"> que, en cuanto a los activos, el sistema contable </w:t>
      </w:r>
      <w:proofErr w:type="gramStart"/>
      <w:r w:rsidRPr="00423B7B">
        <w:rPr>
          <w:rFonts w:ascii="Arial" w:hAnsi="Arial" w:cs="Arial"/>
        </w:rPr>
        <w:t>debe</w:t>
      </w:r>
      <w:proofErr w:type="gramEnd"/>
      <w:r w:rsidRPr="00423B7B">
        <w:rPr>
          <w:rFonts w:ascii="Arial" w:hAnsi="Arial" w:cs="Arial"/>
        </w:rPr>
        <w:t xml:space="preserve"> registrar como mínimo, las existencias y movimientos, con especial determinación de los que integran el patrimonio del Estado por ejecución del Presupuesto o por otros conceptos.</w:t>
      </w:r>
    </w:p>
    <w:p w:rsidR="00A05034" w:rsidRPr="008F660E" w:rsidRDefault="00A05034">
      <w:pPr>
        <w:pStyle w:val="Ttulo2"/>
      </w:pPr>
      <w:bookmarkStart w:id="74" w:name="_Toc277345278"/>
      <w:bookmarkStart w:id="75" w:name="_Toc400369760"/>
      <w:r>
        <w:t>5.2.9 Instructivo del Tribunal de Cuentas</w:t>
      </w:r>
      <w:bookmarkEnd w:id="74"/>
      <w:bookmarkEnd w:id="75"/>
      <w:r>
        <w:t xml:space="preserve"> y Estado demostrativo de metas y </w:t>
      </w:r>
      <w:r w:rsidRPr="008F660E">
        <w:t>objetivos</w:t>
      </w:r>
    </w:p>
    <w:p w:rsidR="00A05034" w:rsidRPr="008C0660" w:rsidRDefault="00A05034" w:rsidP="00D2507C">
      <w:pPr>
        <w:pStyle w:val="Sangra2detindependiente"/>
        <w:spacing w:after="0" w:line="360" w:lineRule="auto"/>
        <w:ind w:left="0"/>
        <w:jc w:val="both"/>
        <w:rPr>
          <w:rFonts w:ascii="Arial" w:hAnsi="Arial" w:cs="Arial"/>
          <w:sz w:val="24"/>
          <w:szCs w:val="24"/>
        </w:rPr>
      </w:pPr>
      <w:r w:rsidRPr="008F660E">
        <w:rPr>
          <w:rFonts w:ascii="Arial" w:hAnsi="Arial" w:cs="Arial"/>
          <w:sz w:val="24"/>
          <w:szCs w:val="24"/>
        </w:rPr>
        <w:t>La Intendencia deberá tener en cuenta lo dispuesto en el Artículo 128 Num</w:t>
      </w:r>
      <w:r>
        <w:rPr>
          <w:rFonts w:ascii="Arial" w:hAnsi="Arial" w:cs="Arial"/>
          <w:sz w:val="24"/>
          <w:szCs w:val="24"/>
        </w:rPr>
        <w:t>eral</w:t>
      </w:r>
      <w:r w:rsidRPr="008F660E">
        <w:rPr>
          <w:rFonts w:ascii="Arial" w:hAnsi="Arial" w:cs="Arial"/>
          <w:sz w:val="24"/>
          <w:szCs w:val="24"/>
        </w:rPr>
        <w:t xml:space="preserve"> 1) del TOCAF, al presentar el Estado demostrativo de metas y objetivos así como presentar todos los estados establecidos en el Instructivo del Tribunal de Cuentas, de acuerdo a la Resolución de fecha 28/01/2004.</w:t>
      </w:r>
    </w:p>
    <w:p w:rsidR="00A05034" w:rsidRDefault="00A05034" w:rsidP="00D2507C">
      <w:pPr>
        <w:pStyle w:val="Ttulo2"/>
        <w:rPr>
          <w:rFonts w:cs="Arial"/>
          <w:noProof/>
          <w:kern w:val="0"/>
        </w:rPr>
      </w:pPr>
      <w:bookmarkStart w:id="76" w:name="_Toc177977195"/>
      <w:bookmarkStart w:id="77" w:name="_Toc208913270"/>
      <w:bookmarkStart w:id="78" w:name="_Toc277345275"/>
      <w:bookmarkStart w:id="79" w:name="_Toc400369763"/>
      <w:bookmarkStart w:id="80" w:name="_Toc277345265"/>
      <w:bookmarkEnd w:id="61"/>
      <w:r>
        <w:rPr>
          <w:rFonts w:cs="Arial"/>
          <w:noProof/>
          <w:kern w:val="0"/>
        </w:rPr>
        <w:t>5.2.10 Concesiones</w:t>
      </w:r>
      <w:bookmarkEnd w:id="76"/>
      <w:bookmarkEnd w:id="77"/>
      <w:bookmarkEnd w:id="78"/>
      <w:bookmarkEnd w:id="79"/>
    </w:p>
    <w:p w:rsidR="00A05034" w:rsidRPr="00B437B7" w:rsidRDefault="00A05034" w:rsidP="00B437B7">
      <w:pPr>
        <w:pStyle w:val="Textoindependiente"/>
        <w:widowControl w:val="0"/>
        <w:spacing w:after="0" w:line="360" w:lineRule="auto"/>
        <w:jc w:val="both"/>
        <w:rPr>
          <w:rFonts w:ascii="Arial" w:hAnsi="Arial" w:cs="Arial"/>
        </w:rPr>
      </w:pPr>
      <w:r w:rsidRPr="00B437B7">
        <w:rPr>
          <w:rFonts w:ascii="Arial" w:hAnsi="Arial" w:cs="Arial"/>
        </w:rPr>
        <w:t>A efectos de dar cumplimiento a lo dispuesto por la Resolución del Tribunal de Cuentas de fecha 11/05/2005, la Intendencia deberá comunicar a este Tribunal antes del 31 de enero y del 31 de julio de cada año, los informes correspondientes al semestre anterior producidos por las Comisiones de Control u Oficinas que tengan a su cargo la verificación del cumplimiento de los contratos correspondientes.</w:t>
      </w:r>
    </w:p>
    <w:p w:rsidR="00A05034" w:rsidRDefault="00A05034">
      <w:pPr>
        <w:pStyle w:val="Ttulo2"/>
      </w:pPr>
      <w:bookmarkStart w:id="81" w:name="_Toc277345272"/>
      <w:bookmarkStart w:id="82" w:name="_Toc400369765"/>
      <w:r>
        <w:rPr>
          <w:noProof/>
          <w:kern w:val="0"/>
        </w:rPr>
        <w:t>5.2.11 Publicidad de las compras</w:t>
      </w:r>
      <w:bookmarkEnd w:id="81"/>
      <w:bookmarkEnd w:id="82"/>
    </w:p>
    <w:p w:rsidR="00A05034" w:rsidRPr="00B437B7" w:rsidRDefault="00A05034" w:rsidP="00B437B7">
      <w:pPr>
        <w:pStyle w:val="Textoindependiente"/>
        <w:widowControl w:val="0"/>
        <w:spacing w:after="0" w:line="360" w:lineRule="auto"/>
        <w:jc w:val="both"/>
        <w:rPr>
          <w:rFonts w:ascii="Arial" w:hAnsi="Arial" w:cs="Arial"/>
        </w:rPr>
      </w:pPr>
      <w:r w:rsidRPr="00B437B7">
        <w:rPr>
          <w:rFonts w:ascii="Arial" w:hAnsi="Arial" w:cs="Arial"/>
          <w:spacing w:val="-8"/>
        </w:rPr>
        <w:t>La Intendencia deberá dar cumplimiento a lo establecido en el Decreto Nº</w:t>
      </w:r>
      <w:r w:rsidRPr="00B437B7">
        <w:rPr>
          <w:rFonts w:ascii="Arial" w:hAnsi="Arial" w:cs="Arial"/>
        </w:rPr>
        <w:t xml:space="preserve"> 191/007 de fecha 4 de junio de 2007 respecto a la publicidad en el sitio web.</w:t>
      </w:r>
      <w:bookmarkStart w:id="83" w:name="_Toc277345273"/>
    </w:p>
    <w:p w:rsidR="00A05034" w:rsidRDefault="00A05034">
      <w:pPr>
        <w:pStyle w:val="Ttulo2"/>
      </w:pPr>
      <w:bookmarkStart w:id="84" w:name="_Toc400369766"/>
      <w:bookmarkEnd w:id="83"/>
      <w:r>
        <w:t>5.2.12 Fondos Indisponibles</w:t>
      </w:r>
      <w:bookmarkEnd w:id="80"/>
      <w:bookmarkEnd w:id="84"/>
    </w:p>
    <w:p w:rsidR="00A05034" w:rsidRPr="00A21DD1" w:rsidRDefault="00A05034" w:rsidP="00D2507C">
      <w:pPr>
        <w:widowControl w:val="0"/>
        <w:spacing w:line="360" w:lineRule="auto"/>
        <w:jc w:val="both"/>
        <w:rPr>
          <w:rFonts w:ascii="Arial" w:hAnsi="Arial" w:cs="Arial"/>
          <w:color w:val="FF0000"/>
        </w:rPr>
      </w:pPr>
      <w:r w:rsidRPr="009015BF">
        <w:rPr>
          <w:rFonts w:ascii="Arial" w:hAnsi="Arial" w:cs="Arial"/>
        </w:rPr>
        <w:t>Los montos que se han recaudado por concepto de multas de tránsito aplicadas por la Policía, deben ser vertidos en tiempo y forma a la Jefatura de Policía de Montevideo.</w:t>
      </w:r>
    </w:p>
    <w:p w:rsidR="00A05034" w:rsidRDefault="00A05034">
      <w:pPr>
        <w:pStyle w:val="Ttulo2"/>
        <w:rPr>
          <w:rFonts w:cs="Arial"/>
          <w:color w:val="FF0000"/>
        </w:rPr>
      </w:pPr>
      <w:bookmarkStart w:id="85" w:name="_Toc210448366"/>
      <w:bookmarkStart w:id="86" w:name="_Toc211365938"/>
      <w:bookmarkStart w:id="87" w:name="_Toc277345280"/>
      <w:bookmarkStart w:id="88" w:name="_Toc400369769"/>
      <w:r>
        <w:rPr>
          <w:rFonts w:cs="Arial"/>
        </w:rPr>
        <w:t>5.3 Recomendaciones del Ejercicio</w:t>
      </w:r>
      <w:bookmarkEnd w:id="85"/>
      <w:bookmarkEnd w:id="86"/>
      <w:bookmarkEnd w:id="87"/>
      <w:bookmarkEnd w:id="88"/>
    </w:p>
    <w:p w:rsidR="00A05034" w:rsidRDefault="00A05034" w:rsidP="00B437B7">
      <w:pPr>
        <w:pStyle w:val="Textoindependiente"/>
        <w:widowControl w:val="0"/>
        <w:spacing w:after="0" w:line="360" w:lineRule="auto"/>
        <w:jc w:val="both"/>
        <w:rPr>
          <w:rFonts w:ascii="Arial" w:hAnsi="Arial" w:cs="Arial"/>
        </w:rPr>
      </w:pPr>
      <w:r w:rsidRPr="00B437B7">
        <w:rPr>
          <w:rFonts w:ascii="Arial" w:hAnsi="Arial" w:cs="Arial"/>
        </w:rPr>
        <w:t>Se reiteran las recomendaciones del Ejercicio anterior no cumplidas y se agregan las siguientes:</w:t>
      </w:r>
    </w:p>
    <w:p w:rsidR="00B437B7" w:rsidRDefault="00B437B7" w:rsidP="00B437B7">
      <w:pPr>
        <w:pStyle w:val="Textoindependiente"/>
        <w:widowControl w:val="0"/>
        <w:spacing w:after="0" w:line="360" w:lineRule="auto"/>
        <w:jc w:val="both"/>
        <w:rPr>
          <w:rFonts w:ascii="Arial" w:hAnsi="Arial" w:cs="Arial"/>
        </w:rPr>
      </w:pPr>
    </w:p>
    <w:p w:rsidR="00B437B7" w:rsidRPr="00B437B7" w:rsidRDefault="00B437B7" w:rsidP="00B437B7">
      <w:pPr>
        <w:pStyle w:val="Textoindependiente"/>
        <w:widowControl w:val="0"/>
        <w:spacing w:after="0" w:line="360" w:lineRule="auto"/>
        <w:jc w:val="both"/>
        <w:rPr>
          <w:rFonts w:ascii="Arial" w:hAnsi="Arial" w:cs="Arial"/>
        </w:rPr>
      </w:pPr>
    </w:p>
    <w:p w:rsidR="00A05034" w:rsidRPr="00F63D38" w:rsidRDefault="00A05034" w:rsidP="00D2507C">
      <w:pPr>
        <w:pStyle w:val="Ttulo2"/>
        <w:rPr>
          <w:rFonts w:cs="Arial"/>
        </w:rPr>
      </w:pPr>
      <w:bookmarkStart w:id="89" w:name="_Toc364954079"/>
      <w:bookmarkStart w:id="90" w:name="_Toc341790992"/>
      <w:bookmarkStart w:id="91" w:name="_Toc400369770"/>
      <w:r>
        <w:rPr>
          <w:rFonts w:cs="Arial"/>
        </w:rPr>
        <w:t>5.3.1</w:t>
      </w:r>
      <w:bookmarkStart w:id="92" w:name="_Toc397681986"/>
      <w:r w:rsidRPr="00F63D38">
        <w:rPr>
          <w:rFonts w:cs="Arial"/>
        </w:rPr>
        <w:t xml:space="preserve"> Estructura orgánica</w:t>
      </w:r>
      <w:bookmarkEnd w:id="92"/>
    </w:p>
    <w:p w:rsidR="00A05034" w:rsidRDefault="00A05034" w:rsidP="00D2507C">
      <w:pPr>
        <w:spacing w:line="360" w:lineRule="auto"/>
        <w:jc w:val="both"/>
        <w:rPr>
          <w:rFonts w:ascii="Arial" w:hAnsi="Arial"/>
          <w:kern w:val="18"/>
          <w:szCs w:val="20"/>
        </w:rPr>
      </w:pPr>
      <w:r w:rsidRPr="003B635C">
        <w:rPr>
          <w:rFonts w:ascii="Arial" w:hAnsi="Arial"/>
          <w:kern w:val="18"/>
          <w:szCs w:val="20"/>
        </w:rPr>
        <w:t xml:space="preserve">A efectos de cumplir con la estructura orgánica aprobada por la Junta Departamental </w:t>
      </w:r>
      <w:r>
        <w:rPr>
          <w:rFonts w:ascii="Arial" w:hAnsi="Arial"/>
          <w:kern w:val="18"/>
          <w:szCs w:val="20"/>
        </w:rPr>
        <w:t xml:space="preserve">en el presupuesto vigente, la Intendencia </w:t>
      </w:r>
      <w:r w:rsidRPr="00BF1C5B">
        <w:rPr>
          <w:rFonts w:ascii="Arial" w:hAnsi="Arial"/>
          <w:kern w:val="18"/>
          <w:szCs w:val="20"/>
        </w:rPr>
        <w:t>deberá</w:t>
      </w:r>
      <w:r w:rsidRPr="003B635C">
        <w:rPr>
          <w:rFonts w:ascii="Arial" w:hAnsi="Arial"/>
          <w:kern w:val="18"/>
          <w:szCs w:val="20"/>
        </w:rPr>
        <w:t xml:space="preserve"> ajustar el número de funcionarios a lo previsto presupuestalmente, respetando los e</w:t>
      </w:r>
      <w:r w:rsidR="00B437B7">
        <w:rPr>
          <w:rFonts w:ascii="Arial" w:hAnsi="Arial"/>
          <w:kern w:val="18"/>
          <w:szCs w:val="20"/>
        </w:rPr>
        <w:t>scalafones y cargos aprobados.</w:t>
      </w:r>
    </w:p>
    <w:p w:rsidR="00A05034" w:rsidRPr="00B650FD" w:rsidRDefault="00A05034" w:rsidP="00A05034">
      <w:pPr>
        <w:pStyle w:val="Prrafodelista"/>
        <w:widowControl w:val="0"/>
        <w:numPr>
          <w:ilvl w:val="2"/>
          <w:numId w:val="4"/>
        </w:numPr>
        <w:spacing w:after="0" w:line="360" w:lineRule="auto"/>
        <w:jc w:val="both"/>
        <w:rPr>
          <w:rFonts w:ascii="Arial" w:hAnsi="Arial" w:cs="Arial"/>
          <w:b/>
          <w:kern w:val="18"/>
          <w:sz w:val="24"/>
          <w:szCs w:val="20"/>
          <w:lang w:val="es-ES" w:eastAsia="es-ES"/>
        </w:rPr>
      </w:pPr>
      <w:r w:rsidRPr="00B650FD">
        <w:rPr>
          <w:rFonts w:ascii="Arial" w:hAnsi="Arial" w:cs="Arial"/>
          <w:b/>
          <w:kern w:val="18"/>
          <w:sz w:val="24"/>
          <w:szCs w:val="20"/>
          <w:lang w:val="es-ES" w:eastAsia="es-ES"/>
        </w:rPr>
        <w:t xml:space="preserve">Pago de </w:t>
      </w:r>
      <w:r>
        <w:rPr>
          <w:rFonts w:ascii="Arial" w:hAnsi="Arial" w:cs="Arial"/>
          <w:b/>
          <w:kern w:val="18"/>
          <w:sz w:val="24"/>
          <w:szCs w:val="20"/>
          <w:lang w:val="es-ES" w:eastAsia="es-ES"/>
        </w:rPr>
        <w:t>haberes</w:t>
      </w:r>
      <w:r w:rsidR="00B437B7">
        <w:rPr>
          <w:rFonts w:ascii="Arial" w:hAnsi="Arial" w:cs="Arial"/>
          <w:b/>
          <w:kern w:val="18"/>
          <w:sz w:val="24"/>
          <w:szCs w:val="20"/>
          <w:lang w:val="es-ES" w:eastAsia="es-ES"/>
        </w:rPr>
        <w:t xml:space="preserve"> y Resoluciones de reiteración</w:t>
      </w:r>
    </w:p>
    <w:p w:rsidR="00A05034" w:rsidRPr="00A21DD1" w:rsidRDefault="00A05034" w:rsidP="00D2507C">
      <w:pPr>
        <w:pStyle w:val="Prrafodelista"/>
        <w:widowControl w:val="0"/>
        <w:spacing w:after="0" w:line="360" w:lineRule="auto"/>
        <w:ind w:left="0"/>
        <w:jc w:val="both"/>
        <w:rPr>
          <w:rFonts w:ascii="Arial" w:hAnsi="Arial" w:cs="Arial"/>
          <w:sz w:val="24"/>
          <w:szCs w:val="24"/>
          <w:lang w:val="es-ES"/>
        </w:rPr>
      </w:pPr>
      <w:r w:rsidRPr="009015BF">
        <w:rPr>
          <w:rFonts w:ascii="Arial" w:hAnsi="Arial" w:cs="Arial"/>
          <w:sz w:val="24"/>
          <w:szCs w:val="24"/>
          <w:lang w:val="es-ES"/>
        </w:rPr>
        <w:t xml:space="preserve">Al momento de efectuar los pagos de haberes, deberá tenerse en cuenta lo establecido en los </w:t>
      </w:r>
      <w:r w:rsidRPr="009015BF">
        <w:rPr>
          <w:rFonts w:ascii="Arial" w:hAnsi="Arial" w:cs="Arial"/>
          <w:bCs/>
          <w:sz w:val="24"/>
          <w:szCs w:val="24"/>
        </w:rPr>
        <w:t>Artículos 211</w:t>
      </w:r>
      <w:r>
        <w:rPr>
          <w:rFonts w:ascii="Arial" w:hAnsi="Arial" w:cs="Arial"/>
          <w:bCs/>
          <w:sz w:val="24"/>
          <w:szCs w:val="24"/>
        </w:rPr>
        <w:t xml:space="preserve"> Literal</w:t>
      </w:r>
      <w:r w:rsidRPr="009015BF">
        <w:rPr>
          <w:rFonts w:ascii="Arial" w:hAnsi="Arial" w:cs="Arial"/>
          <w:bCs/>
          <w:sz w:val="24"/>
          <w:szCs w:val="24"/>
        </w:rPr>
        <w:t xml:space="preserve"> B de la Constitución de l</w:t>
      </w:r>
      <w:r>
        <w:rPr>
          <w:rFonts w:ascii="Arial" w:hAnsi="Arial" w:cs="Arial"/>
          <w:bCs/>
          <w:sz w:val="24"/>
          <w:szCs w:val="24"/>
        </w:rPr>
        <w:t>a República, 15 del TOCAF y 44 I</w:t>
      </w:r>
      <w:r w:rsidRPr="009015BF">
        <w:rPr>
          <w:rFonts w:ascii="Arial" w:hAnsi="Arial" w:cs="Arial"/>
          <w:bCs/>
          <w:sz w:val="24"/>
          <w:szCs w:val="24"/>
        </w:rPr>
        <w:t>nc</w:t>
      </w:r>
      <w:r>
        <w:rPr>
          <w:rFonts w:ascii="Arial" w:hAnsi="Arial" w:cs="Arial"/>
          <w:bCs/>
          <w:sz w:val="24"/>
          <w:szCs w:val="24"/>
        </w:rPr>
        <w:t>iso</w:t>
      </w:r>
      <w:r w:rsidRPr="009015BF">
        <w:rPr>
          <w:rFonts w:ascii="Arial" w:hAnsi="Arial" w:cs="Arial"/>
          <w:bCs/>
          <w:sz w:val="24"/>
          <w:szCs w:val="24"/>
        </w:rPr>
        <w:t xml:space="preserve"> C de</w:t>
      </w:r>
      <w:r w:rsidRPr="009015BF">
        <w:rPr>
          <w:rStyle w:val="field-content"/>
          <w:rFonts w:ascii="Arial" w:hAnsi="Arial" w:cs="Arial"/>
          <w:sz w:val="24"/>
          <w:szCs w:val="24"/>
          <w:lang w:val="es-ES"/>
        </w:rPr>
        <w:t xml:space="preserve"> la Ley Nº 9.515</w:t>
      </w:r>
      <w:r w:rsidRPr="009015BF">
        <w:rPr>
          <w:rFonts w:ascii="Arial" w:hAnsi="Arial" w:cs="Arial"/>
          <w:sz w:val="24"/>
          <w:szCs w:val="24"/>
          <w:lang w:val="es-ES"/>
        </w:rPr>
        <w:t>. Asimismo, se deberá dejar constancia de la identificación de gastos reiterados por concepto e importe, en las resoluciones de reiteración respectivas.</w:t>
      </w:r>
    </w:p>
    <w:p w:rsidR="00A05034" w:rsidRPr="005E38B3" w:rsidRDefault="00A05034" w:rsidP="00D2507C">
      <w:pPr>
        <w:pStyle w:val="Ttulo2"/>
      </w:pPr>
      <w:bookmarkStart w:id="93" w:name="_Toc400369772"/>
      <w:bookmarkEnd w:id="89"/>
      <w:bookmarkEnd w:id="90"/>
      <w:bookmarkEnd w:id="91"/>
      <w:r w:rsidRPr="005E38B3">
        <w:rPr>
          <w:noProof/>
          <w:kern w:val="0"/>
        </w:rPr>
        <w:t>5.3.</w:t>
      </w:r>
      <w:r>
        <w:rPr>
          <w:noProof/>
          <w:kern w:val="0"/>
        </w:rPr>
        <w:t>3</w:t>
      </w:r>
      <w:r w:rsidRPr="005E38B3">
        <w:rPr>
          <w:noProof/>
          <w:kern w:val="0"/>
        </w:rPr>
        <w:t xml:space="preserve"> Control Interno</w:t>
      </w:r>
      <w:bookmarkEnd w:id="93"/>
    </w:p>
    <w:p w:rsidR="00A05034" w:rsidRPr="00B437B7" w:rsidRDefault="00A05034" w:rsidP="00B437B7">
      <w:pPr>
        <w:pStyle w:val="Textoindependiente"/>
        <w:widowControl w:val="0"/>
        <w:spacing w:after="0" w:line="360" w:lineRule="auto"/>
        <w:jc w:val="both"/>
        <w:rPr>
          <w:rFonts w:ascii="Arial" w:hAnsi="Arial" w:cs="Arial"/>
        </w:rPr>
      </w:pPr>
      <w:r w:rsidRPr="00B437B7">
        <w:rPr>
          <w:rFonts w:ascii="Arial" w:hAnsi="Arial" w:cs="Arial"/>
        </w:rPr>
        <w:t>La Intendencia debería disponer las medidas necesarias para subsanar las  debilidades de control interno expuestas en el capítulo 4.</w:t>
      </w:r>
    </w:p>
    <w:p w:rsidR="00A05034" w:rsidRPr="00B437B7" w:rsidRDefault="00A05034" w:rsidP="00B437B7">
      <w:pPr>
        <w:pStyle w:val="Textoindependiente"/>
        <w:widowControl w:val="0"/>
        <w:spacing w:after="0" w:line="360" w:lineRule="auto"/>
        <w:jc w:val="right"/>
        <w:rPr>
          <w:rFonts w:ascii="Arial" w:hAnsi="Arial" w:cs="Arial"/>
        </w:rPr>
      </w:pPr>
      <w:r w:rsidRPr="00B437B7">
        <w:rPr>
          <w:rFonts w:ascii="Arial" w:hAnsi="Arial" w:cs="Arial"/>
        </w:rPr>
        <w:t>Montevideo, 9 de noviembre de 2016.</w:t>
      </w:r>
    </w:p>
    <w:p w:rsidR="00A05034" w:rsidRDefault="00A05034" w:rsidP="00D2507C">
      <w:pPr>
        <w:spacing w:line="360" w:lineRule="auto"/>
        <w:jc w:val="both"/>
        <w:rPr>
          <w:rFonts w:ascii="Arial" w:hAnsi="Arial" w:cs="Arial"/>
        </w:rPr>
      </w:pPr>
    </w:p>
    <w:p w:rsidR="00A05034" w:rsidRPr="006F553D" w:rsidRDefault="00B437B7" w:rsidP="00ED2384">
      <w:pPr>
        <w:spacing w:line="360" w:lineRule="auto"/>
        <w:rPr>
          <w:rFonts w:ascii="Arial" w:hAnsi="Arial" w:cs="Arial"/>
          <w:sz w:val="20"/>
          <w:szCs w:val="20"/>
        </w:rPr>
      </w:pPr>
      <w:r w:rsidRPr="006F553D">
        <w:rPr>
          <w:rFonts w:ascii="Arial" w:hAnsi="Arial" w:cs="Arial"/>
          <w:sz w:val="20"/>
          <w:szCs w:val="20"/>
        </w:rPr>
        <w:t>CLC</w:t>
      </w:r>
    </w:p>
    <w:p w:rsidR="00A05034" w:rsidRDefault="00A05034"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6F553D" w:rsidRDefault="006F553D" w:rsidP="00ED2384">
      <w:pPr>
        <w:spacing w:line="360" w:lineRule="auto"/>
        <w:rPr>
          <w:rFonts w:ascii="Arial" w:hAnsi="Arial" w:cs="Arial"/>
          <w:sz w:val="18"/>
          <w:szCs w:val="18"/>
        </w:rPr>
      </w:pPr>
    </w:p>
    <w:p w:rsidR="00A05034" w:rsidRDefault="00A05034" w:rsidP="00D2507C">
      <w:pPr>
        <w:tabs>
          <w:tab w:val="center" w:pos="4253"/>
        </w:tabs>
        <w:jc w:val="right"/>
        <w:rPr>
          <w:rFonts w:ascii="Arial" w:hAnsi="Arial" w:cs="Arial"/>
          <w:spacing w:val="-3"/>
          <w:lang w:val="es-ES_tradnl" w:eastAsia="es-ES_tradnl"/>
        </w:rPr>
      </w:pPr>
      <w:r w:rsidRPr="002C41DD">
        <w:rPr>
          <w:rFonts w:ascii="Arial" w:hAnsi="Arial" w:cs="Arial"/>
          <w:spacing w:val="-3"/>
          <w:lang w:val="es-ES_tradnl" w:eastAsia="es-ES_tradnl"/>
        </w:rPr>
        <w:t xml:space="preserve">Montevideo, </w:t>
      </w:r>
      <w:r>
        <w:rPr>
          <w:rFonts w:ascii="Arial" w:hAnsi="Arial" w:cs="Arial"/>
          <w:spacing w:val="-3"/>
          <w:lang w:val="es-ES_tradnl" w:eastAsia="es-ES_tradnl"/>
        </w:rPr>
        <w:t>22  de noviembre de 2016</w:t>
      </w:r>
    </w:p>
    <w:p w:rsidR="00A05034" w:rsidRDefault="00A05034" w:rsidP="00D2507C">
      <w:pPr>
        <w:tabs>
          <w:tab w:val="center" w:pos="4253"/>
        </w:tabs>
        <w:rPr>
          <w:rFonts w:ascii="Arial" w:hAnsi="Arial" w:cs="Arial"/>
          <w:spacing w:val="-3"/>
          <w:lang w:val="es-ES_tradnl" w:eastAsia="es-ES_tradnl"/>
        </w:rPr>
      </w:pPr>
    </w:p>
    <w:p w:rsidR="00A05034" w:rsidRPr="00433E9A" w:rsidRDefault="006F553D" w:rsidP="00D2507C">
      <w:pPr>
        <w:spacing w:line="360" w:lineRule="auto"/>
        <w:rPr>
          <w:rFonts w:ascii="Arial" w:hAnsi="Arial" w:cs="Arial"/>
          <w:lang w:val="es-MX"/>
        </w:rPr>
      </w:pPr>
      <w:r>
        <w:rPr>
          <w:rFonts w:ascii="Arial" w:hAnsi="Arial" w:cs="Arial"/>
          <w:lang w:val="es-MX"/>
        </w:rPr>
        <w:t>Sr. Ministro del Interior</w:t>
      </w:r>
    </w:p>
    <w:p w:rsidR="00A05034" w:rsidRPr="00433E9A" w:rsidRDefault="00A05034" w:rsidP="00D2507C">
      <w:pPr>
        <w:spacing w:line="360" w:lineRule="auto"/>
        <w:rPr>
          <w:rFonts w:ascii="Arial" w:hAnsi="Arial" w:cs="Arial"/>
          <w:lang w:val="es-MX"/>
        </w:rPr>
      </w:pPr>
      <w:r w:rsidRPr="00DB038A">
        <w:rPr>
          <w:rFonts w:ascii="Arial" w:hAnsi="Arial" w:cs="Arial"/>
          <w:lang w:val="es-MX"/>
        </w:rPr>
        <w:t xml:space="preserve">Eduardo </w:t>
      </w:r>
      <w:proofErr w:type="spellStart"/>
      <w:r w:rsidRPr="00DB038A">
        <w:rPr>
          <w:rFonts w:ascii="Arial" w:hAnsi="Arial" w:cs="Arial"/>
          <w:lang w:val="es-MX"/>
        </w:rPr>
        <w:t>Bonomi</w:t>
      </w:r>
      <w:proofErr w:type="spellEnd"/>
    </w:p>
    <w:p w:rsidR="00A05034" w:rsidRPr="00DC0079" w:rsidRDefault="00A05034" w:rsidP="00D2507C">
      <w:pPr>
        <w:widowControl w:val="0"/>
        <w:autoSpaceDE w:val="0"/>
        <w:autoSpaceDN w:val="0"/>
        <w:adjustRightInd w:val="0"/>
        <w:spacing w:line="360" w:lineRule="auto"/>
        <w:jc w:val="right"/>
        <w:rPr>
          <w:rFonts w:ascii="Arial" w:hAnsi="Arial" w:cs="Arial"/>
          <w:lang w:eastAsia="es-ES_tradnl"/>
        </w:rPr>
      </w:pPr>
      <w:r w:rsidRPr="00DC0079">
        <w:rPr>
          <w:rFonts w:ascii="Arial" w:hAnsi="Arial" w:cs="Arial"/>
          <w:lang w:eastAsia="es-ES_tradnl"/>
        </w:rPr>
        <w:t>E.E. 2016-17-1-000</w:t>
      </w:r>
      <w:r w:rsidRPr="00DC0079">
        <w:rPr>
          <w:rFonts w:ascii="Arial" w:hAnsi="Arial" w:cs="Arial"/>
          <w:bCs/>
        </w:rPr>
        <w:t>4545</w:t>
      </w:r>
      <w:r w:rsidRPr="00DC0079">
        <w:rPr>
          <w:rFonts w:ascii="Arial" w:hAnsi="Arial" w:cs="Arial"/>
          <w:lang w:eastAsia="es-ES_tradnl"/>
        </w:rPr>
        <w:t xml:space="preserve">  </w:t>
      </w:r>
    </w:p>
    <w:p w:rsidR="00A05034" w:rsidRPr="00DC0079" w:rsidRDefault="00A05034" w:rsidP="00D2507C">
      <w:pPr>
        <w:widowControl w:val="0"/>
        <w:autoSpaceDE w:val="0"/>
        <w:autoSpaceDN w:val="0"/>
        <w:adjustRightInd w:val="0"/>
        <w:spacing w:line="360" w:lineRule="auto"/>
        <w:jc w:val="right"/>
        <w:rPr>
          <w:rFonts w:ascii="Arial" w:hAnsi="Arial" w:cs="Arial"/>
          <w:lang w:eastAsia="es-ES_tradnl"/>
        </w:rPr>
      </w:pPr>
      <w:proofErr w:type="spellStart"/>
      <w:r w:rsidRPr="00DC0079">
        <w:rPr>
          <w:rFonts w:ascii="Arial" w:hAnsi="Arial" w:cs="Arial"/>
          <w:lang w:eastAsia="es-ES_tradnl"/>
        </w:rPr>
        <w:t>Ent</w:t>
      </w:r>
      <w:proofErr w:type="spellEnd"/>
      <w:r w:rsidRPr="00DC0079">
        <w:rPr>
          <w:rFonts w:ascii="Arial" w:hAnsi="Arial" w:cs="Arial"/>
          <w:lang w:eastAsia="es-ES_tradnl"/>
        </w:rPr>
        <w:t>. Nº</w:t>
      </w:r>
      <w:r w:rsidR="006F553D">
        <w:rPr>
          <w:rFonts w:ascii="Arial" w:hAnsi="Arial" w:cs="Arial"/>
          <w:lang w:eastAsia="es-ES_tradnl"/>
        </w:rPr>
        <w:t xml:space="preserve"> </w:t>
      </w:r>
      <w:r>
        <w:rPr>
          <w:rFonts w:ascii="Arial" w:hAnsi="Arial" w:cs="Arial"/>
          <w:bCs/>
          <w:lang w:val="pt-BR"/>
        </w:rPr>
        <w:t>3463/</w:t>
      </w:r>
      <w:r w:rsidRPr="00DC0079">
        <w:rPr>
          <w:rFonts w:ascii="Arial" w:hAnsi="Arial" w:cs="Arial"/>
          <w:bCs/>
          <w:lang w:val="pt-BR"/>
        </w:rPr>
        <w:t xml:space="preserve">16 </w:t>
      </w:r>
    </w:p>
    <w:p w:rsidR="00A05034" w:rsidRPr="00231D80" w:rsidRDefault="00A05034" w:rsidP="00D2507C">
      <w:pPr>
        <w:widowControl w:val="0"/>
        <w:autoSpaceDE w:val="0"/>
        <w:autoSpaceDN w:val="0"/>
        <w:adjustRightInd w:val="0"/>
        <w:spacing w:line="360" w:lineRule="auto"/>
        <w:jc w:val="right"/>
        <w:rPr>
          <w:rFonts w:ascii="Arial" w:hAnsi="Arial" w:cs="Arial"/>
          <w:lang w:eastAsia="es-ES_tradnl"/>
        </w:rPr>
      </w:pPr>
      <w:r w:rsidRPr="00DC0079">
        <w:rPr>
          <w:rFonts w:ascii="Arial" w:hAnsi="Arial" w:cs="Arial"/>
          <w:lang w:eastAsia="es-ES_tradnl"/>
        </w:rPr>
        <w:t>Oficio Nº</w:t>
      </w:r>
      <w:r w:rsidR="006F553D">
        <w:rPr>
          <w:rFonts w:ascii="Arial" w:hAnsi="Arial" w:cs="Arial"/>
          <w:lang w:eastAsia="es-ES_tradnl"/>
        </w:rPr>
        <w:t xml:space="preserve"> </w:t>
      </w:r>
      <w:r w:rsidRPr="00DC0079">
        <w:rPr>
          <w:rFonts w:ascii="Arial" w:hAnsi="Arial" w:cs="Arial"/>
          <w:lang w:eastAsia="es-ES_tradnl"/>
        </w:rPr>
        <w:t>9371</w:t>
      </w:r>
      <w:r>
        <w:rPr>
          <w:rFonts w:ascii="Arial" w:hAnsi="Arial" w:cs="Arial"/>
          <w:lang w:eastAsia="es-ES_tradnl"/>
        </w:rPr>
        <w:t>/16</w:t>
      </w:r>
    </w:p>
    <w:p w:rsidR="00A05034" w:rsidRPr="00433E9A" w:rsidRDefault="00A05034" w:rsidP="00433E9A">
      <w:pPr>
        <w:spacing w:line="360" w:lineRule="auto"/>
        <w:rPr>
          <w:rFonts w:ascii="Arial" w:hAnsi="Arial" w:cs="Arial"/>
          <w:lang w:val="es-MX"/>
        </w:rPr>
      </w:pPr>
      <w:r w:rsidRPr="00433E9A">
        <w:rPr>
          <w:rFonts w:ascii="Arial" w:hAnsi="Arial" w:cs="Arial"/>
          <w:lang w:val="es-MX"/>
        </w:rPr>
        <w:t>De mi mayor consideración:</w:t>
      </w:r>
    </w:p>
    <w:p w:rsidR="00A05034" w:rsidRDefault="00A05034" w:rsidP="00433E9A">
      <w:pPr>
        <w:spacing w:line="360" w:lineRule="auto"/>
        <w:ind w:firstLine="993"/>
        <w:jc w:val="both"/>
        <w:rPr>
          <w:rFonts w:ascii="Arial" w:hAnsi="Arial" w:cs="Arial"/>
          <w:szCs w:val="20"/>
        </w:rPr>
      </w:pPr>
    </w:p>
    <w:p w:rsidR="00A05034" w:rsidRPr="00433E9A" w:rsidRDefault="00A05034" w:rsidP="00433E9A">
      <w:pPr>
        <w:spacing w:line="360" w:lineRule="auto"/>
        <w:ind w:firstLine="993"/>
        <w:jc w:val="both"/>
        <w:rPr>
          <w:rFonts w:ascii="Arial" w:hAnsi="Arial" w:cs="Arial"/>
          <w:szCs w:val="20"/>
        </w:rPr>
      </w:pPr>
      <w:r w:rsidRPr="00433E9A">
        <w:rPr>
          <w:rFonts w:ascii="Arial" w:hAnsi="Arial" w:cs="Arial"/>
          <w:szCs w:val="20"/>
        </w:rPr>
        <w:t>Cúmpleme poner en su conocimiento que en el curso de la auditoría practicada en la Intendencia de Montevideo, en oportunidad de informar respecto de la Rendición</w:t>
      </w:r>
      <w:r>
        <w:rPr>
          <w:rFonts w:ascii="Arial" w:hAnsi="Arial" w:cs="Arial"/>
          <w:szCs w:val="20"/>
        </w:rPr>
        <w:t xml:space="preserve"> de Cuentas correspondiente al E</w:t>
      </w:r>
      <w:r w:rsidRPr="00433E9A">
        <w:rPr>
          <w:rFonts w:ascii="Arial" w:hAnsi="Arial" w:cs="Arial"/>
          <w:szCs w:val="20"/>
        </w:rPr>
        <w:t>jercicio 201</w:t>
      </w:r>
      <w:r>
        <w:rPr>
          <w:rFonts w:ascii="Arial" w:hAnsi="Arial" w:cs="Arial"/>
          <w:szCs w:val="20"/>
        </w:rPr>
        <w:t>5</w:t>
      </w:r>
      <w:r w:rsidRPr="00433E9A">
        <w:rPr>
          <w:rFonts w:ascii="Arial" w:hAnsi="Arial" w:cs="Arial"/>
          <w:szCs w:val="20"/>
        </w:rPr>
        <w:t xml:space="preserve">, se ha constatado que desde el </w:t>
      </w:r>
      <w:r>
        <w:rPr>
          <w:rFonts w:ascii="Arial" w:hAnsi="Arial" w:cs="Arial"/>
          <w:szCs w:val="20"/>
        </w:rPr>
        <w:t>E</w:t>
      </w:r>
      <w:r w:rsidRPr="00433E9A">
        <w:rPr>
          <w:rFonts w:ascii="Arial" w:hAnsi="Arial" w:cs="Arial"/>
          <w:szCs w:val="20"/>
        </w:rPr>
        <w:t>jercicio 1998 no se han vertido la totalidad de los montos correspondientes a multas de tránsito impuestas por la Jefatura de Policía de Montevideo por un monto de $ 11:584.441; según se expone en el documento y el informe presentado por la Intendencia de Montevideo.</w:t>
      </w:r>
    </w:p>
    <w:p w:rsidR="00A05034" w:rsidRDefault="00A05034" w:rsidP="00A05034">
      <w:pPr>
        <w:jc w:val="right"/>
        <w:rPr>
          <w:rFonts w:ascii="Arial" w:hAnsi="Arial" w:cs="Arial"/>
          <w:lang w:val="es-MX"/>
        </w:rPr>
      </w:pPr>
      <w:r w:rsidRPr="00DB038A">
        <w:rPr>
          <w:rFonts w:ascii="Arial" w:hAnsi="Arial" w:cs="Arial"/>
          <w:lang w:val="es-MX"/>
        </w:rPr>
        <w:t>Sal</w:t>
      </w:r>
      <w:r w:rsidR="006F553D">
        <w:rPr>
          <w:rFonts w:ascii="Arial" w:hAnsi="Arial" w:cs="Arial"/>
          <w:lang w:val="es-MX"/>
        </w:rPr>
        <w:t>udamos  a usted muy atentamente.</w:t>
      </w:r>
    </w:p>
    <w:p w:rsidR="006F553D" w:rsidRDefault="006F553D" w:rsidP="00A05034">
      <w:pPr>
        <w:jc w:val="right"/>
        <w:rPr>
          <w:rFonts w:ascii="Arial" w:hAnsi="Arial" w:cs="Arial"/>
          <w:lang w:val="es-MX"/>
        </w:rPr>
      </w:pPr>
    </w:p>
    <w:p w:rsidR="006F553D" w:rsidRPr="006F553D" w:rsidRDefault="006F553D" w:rsidP="006F553D">
      <w:pPr>
        <w:rPr>
          <w:rFonts w:ascii="Arial" w:hAnsi="Arial" w:cs="Arial"/>
          <w:sz w:val="20"/>
          <w:szCs w:val="20"/>
          <w:lang w:val="es-MX"/>
        </w:rPr>
      </w:pPr>
      <w:r w:rsidRPr="006F553D">
        <w:rPr>
          <w:rFonts w:ascii="Arial" w:hAnsi="Arial" w:cs="Arial"/>
          <w:sz w:val="20"/>
          <w:szCs w:val="20"/>
          <w:lang w:val="es-MX"/>
        </w:rPr>
        <w:t>CLC</w:t>
      </w:r>
    </w:p>
    <w:sectPr w:rsidR="006F553D" w:rsidRPr="006F553D" w:rsidSect="000D61C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6DCC"/>
    <w:multiLevelType w:val="multilevel"/>
    <w:tmpl w:val="D5442E1E"/>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53B2DD8"/>
    <w:multiLevelType w:val="hybridMultilevel"/>
    <w:tmpl w:val="9A64783C"/>
    <w:lvl w:ilvl="0" w:tplc="0A801FC0">
      <w:start w:val="1"/>
      <w:numFmt w:val="lowerLetter"/>
      <w:lvlText w:val="%1)"/>
      <w:lvlJc w:val="left"/>
      <w:pPr>
        <w:tabs>
          <w:tab w:val="num" w:pos="360"/>
        </w:tabs>
        <w:ind w:left="340" w:hanging="340"/>
      </w:pPr>
      <w:rPr>
        <w:rFonts w:ascii="Arial" w:eastAsia="Times New Roman" w:hAnsi="Arial" w:cs="Arial"/>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53E3227"/>
    <w:multiLevelType w:val="hybridMultilevel"/>
    <w:tmpl w:val="2806B990"/>
    <w:lvl w:ilvl="0" w:tplc="1F0ED798">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402403C"/>
    <w:multiLevelType w:val="hybridMultilevel"/>
    <w:tmpl w:val="C2CE1358"/>
    <w:lvl w:ilvl="0" w:tplc="54C0A74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A4"/>
    <w:rsid w:val="000D61C1"/>
    <w:rsid w:val="00133D0C"/>
    <w:rsid w:val="0019081F"/>
    <w:rsid w:val="001A24D7"/>
    <w:rsid w:val="00200051"/>
    <w:rsid w:val="00425B46"/>
    <w:rsid w:val="00433E9A"/>
    <w:rsid w:val="004B3E91"/>
    <w:rsid w:val="005105D8"/>
    <w:rsid w:val="00515E89"/>
    <w:rsid w:val="0056762C"/>
    <w:rsid w:val="005F1950"/>
    <w:rsid w:val="00657CEC"/>
    <w:rsid w:val="006C2265"/>
    <w:rsid w:val="006D59DA"/>
    <w:rsid w:val="006F553D"/>
    <w:rsid w:val="006F6E37"/>
    <w:rsid w:val="00736A5B"/>
    <w:rsid w:val="00845153"/>
    <w:rsid w:val="00A017F5"/>
    <w:rsid w:val="00A05034"/>
    <w:rsid w:val="00A2691F"/>
    <w:rsid w:val="00AC69BC"/>
    <w:rsid w:val="00AE3F06"/>
    <w:rsid w:val="00AF06ED"/>
    <w:rsid w:val="00B124A4"/>
    <w:rsid w:val="00B37674"/>
    <w:rsid w:val="00B437B7"/>
    <w:rsid w:val="00C15208"/>
    <w:rsid w:val="00C2742A"/>
    <w:rsid w:val="00C62DEE"/>
    <w:rsid w:val="00D2507C"/>
    <w:rsid w:val="00D37EAF"/>
    <w:rsid w:val="00DA69F2"/>
    <w:rsid w:val="00E2439A"/>
    <w:rsid w:val="00E94273"/>
    <w:rsid w:val="00ED2384"/>
    <w:rsid w:val="00ED58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A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05034"/>
    <w:pPr>
      <w:spacing w:after="180" w:line="360" w:lineRule="auto"/>
      <w:outlineLvl w:val="0"/>
    </w:pPr>
    <w:rPr>
      <w:rFonts w:ascii="Arial" w:hAnsi="Arial" w:cs="Arial"/>
      <w:b/>
      <w:kern w:val="18"/>
      <w:szCs w:val="20"/>
    </w:rPr>
  </w:style>
  <w:style w:type="paragraph" w:styleId="Ttulo2">
    <w:name w:val="heading 2"/>
    <w:basedOn w:val="Normal"/>
    <w:next w:val="Textoindependiente"/>
    <w:link w:val="Ttulo2Car"/>
    <w:qFormat/>
    <w:rsid w:val="00A05034"/>
    <w:pPr>
      <w:spacing w:line="360" w:lineRule="auto"/>
      <w:jc w:val="both"/>
      <w:outlineLvl w:val="1"/>
    </w:pPr>
    <w:rPr>
      <w:rFonts w:ascii="Arial" w:hAnsi="Arial"/>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rmal">
    <w:name w:val="Texto normal"/>
    <w:basedOn w:val="Textoindependiente"/>
    <w:rsid w:val="00B124A4"/>
    <w:pPr>
      <w:widowControl w:val="0"/>
      <w:tabs>
        <w:tab w:val="left" w:pos="-720"/>
      </w:tabs>
      <w:suppressAutoHyphens/>
      <w:spacing w:after="0" w:line="480" w:lineRule="auto"/>
      <w:jc w:val="both"/>
    </w:pPr>
    <w:rPr>
      <w:rFonts w:ascii="Courier" w:hAnsi="Courier" w:cs="Courier"/>
      <w:spacing w:val="-3"/>
      <w:lang w:val="es-ES_tradnl"/>
    </w:rPr>
  </w:style>
  <w:style w:type="paragraph" w:styleId="Textoindependiente">
    <w:name w:val="Body Text"/>
    <w:basedOn w:val="Normal"/>
    <w:link w:val="TextoindependienteCar"/>
    <w:semiHidden/>
    <w:unhideWhenUsed/>
    <w:rsid w:val="00B124A4"/>
    <w:pPr>
      <w:spacing w:after="120"/>
    </w:pPr>
  </w:style>
  <w:style w:type="character" w:customStyle="1" w:styleId="TextoindependienteCar">
    <w:name w:val="Texto independiente Car"/>
    <w:basedOn w:val="Fuentedeprrafopredeter"/>
    <w:link w:val="Textoindependiente"/>
    <w:semiHidden/>
    <w:rsid w:val="00B124A4"/>
    <w:rPr>
      <w:rFonts w:ascii="Times New Roman" w:eastAsia="Times New Roman" w:hAnsi="Times New Roman" w:cs="Times New Roman"/>
      <w:sz w:val="24"/>
      <w:szCs w:val="24"/>
      <w:lang w:eastAsia="es-ES"/>
    </w:rPr>
  </w:style>
  <w:style w:type="paragraph" w:customStyle="1" w:styleId="Nombredireccin">
    <w:name w:val="Nombre dirección"/>
    <w:basedOn w:val="Normal"/>
    <w:next w:val="Normal"/>
    <w:rsid w:val="00657CEC"/>
    <w:pPr>
      <w:spacing w:before="220" w:line="240" w:lineRule="atLeast"/>
      <w:jc w:val="both"/>
    </w:pPr>
    <w:rPr>
      <w:rFonts w:ascii="Arial" w:hAnsi="Arial"/>
      <w:kern w:val="18"/>
      <w:szCs w:val="20"/>
    </w:rPr>
  </w:style>
  <w:style w:type="paragraph" w:styleId="Sangradetextonormal">
    <w:name w:val="Body Text Indent"/>
    <w:basedOn w:val="Normal"/>
    <w:link w:val="SangradetextonormalCar"/>
    <w:semiHidden/>
    <w:unhideWhenUsed/>
    <w:rsid w:val="00433E9A"/>
    <w:pPr>
      <w:spacing w:after="120"/>
      <w:ind w:left="283"/>
    </w:pPr>
  </w:style>
  <w:style w:type="character" w:customStyle="1" w:styleId="SangradetextonormalCar">
    <w:name w:val="Sangría de texto normal Car"/>
    <w:basedOn w:val="Fuentedeprrafopredeter"/>
    <w:link w:val="Sangradetextonormal"/>
    <w:uiPriority w:val="99"/>
    <w:semiHidden/>
    <w:rsid w:val="00433E9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D5812"/>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812"/>
    <w:rPr>
      <w:rFonts w:ascii="Tahoma" w:eastAsia="Times New Roman" w:hAnsi="Tahoma" w:cs="Tahoma"/>
      <w:sz w:val="16"/>
      <w:szCs w:val="16"/>
      <w:lang w:eastAsia="es-ES"/>
    </w:rPr>
  </w:style>
  <w:style w:type="character" w:customStyle="1" w:styleId="Ttulo1Car">
    <w:name w:val="Título 1 Car"/>
    <w:basedOn w:val="Fuentedeprrafopredeter"/>
    <w:link w:val="Ttulo1"/>
    <w:rsid w:val="00A05034"/>
    <w:rPr>
      <w:rFonts w:ascii="Arial" w:eastAsia="Times New Roman" w:hAnsi="Arial" w:cs="Arial"/>
      <w:b/>
      <w:kern w:val="18"/>
      <w:sz w:val="24"/>
      <w:szCs w:val="20"/>
      <w:lang w:eastAsia="es-ES"/>
    </w:rPr>
  </w:style>
  <w:style w:type="paragraph" w:styleId="Subttulo">
    <w:name w:val="Subtitle"/>
    <w:basedOn w:val="Normal"/>
    <w:next w:val="Textoindependiente"/>
    <w:link w:val="SubttuloCar"/>
    <w:qFormat/>
    <w:rsid w:val="00A05034"/>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A05034"/>
    <w:rPr>
      <w:rFonts w:ascii="Bookman Old Style" w:eastAsia="Times New Roman" w:hAnsi="Bookman Old Style" w:cs="Times New Roman"/>
      <w:b/>
      <w:kern w:val="1"/>
      <w:sz w:val="24"/>
      <w:szCs w:val="20"/>
      <w:lang w:eastAsia="ar-SA"/>
    </w:rPr>
  </w:style>
  <w:style w:type="paragraph" w:styleId="Textoindependiente3">
    <w:name w:val="Body Text 3"/>
    <w:basedOn w:val="Normal"/>
    <w:link w:val="Textoindependiente3Car"/>
    <w:semiHidden/>
    <w:rsid w:val="00A05034"/>
    <w:pPr>
      <w:spacing w:line="360" w:lineRule="auto"/>
    </w:pPr>
    <w:rPr>
      <w:rFonts w:ascii="Bookman Old Style" w:hAnsi="Bookman Old Style"/>
      <w:b/>
      <w:bCs/>
      <w:kern w:val="18"/>
      <w:szCs w:val="20"/>
    </w:rPr>
  </w:style>
  <w:style w:type="character" w:customStyle="1" w:styleId="Textoindependiente3Car">
    <w:name w:val="Texto independiente 3 Car"/>
    <w:basedOn w:val="Fuentedeprrafopredeter"/>
    <w:link w:val="Textoindependiente3"/>
    <w:semiHidden/>
    <w:rsid w:val="00A05034"/>
    <w:rPr>
      <w:rFonts w:ascii="Bookman Old Style" w:eastAsia="Times New Roman" w:hAnsi="Bookman Old Style" w:cs="Times New Roman"/>
      <w:b/>
      <w:bCs/>
      <w:kern w:val="18"/>
      <w:sz w:val="24"/>
      <w:szCs w:val="20"/>
      <w:lang w:eastAsia="es-ES"/>
    </w:rPr>
  </w:style>
  <w:style w:type="character" w:customStyle="1" w:styleId="field-content">
    <w:name w:val="field-content"/>
    <w:rsid w:val="00A05034"/>
  </w:style>
  <w:style w:type="character" w:customStyle="1" w:styleId="Ttulo2Car">
    <w:name w:val="Título 2 Car"/>
    <w:basedOn w:val="Fuentedeprrafopredeter"/>
    <w:link w:val="Ttulo2"/>
    <w:rsid w:val="00A05034"/>
    <w:rPr>
      <w:rFonts w:ascii="Arial" w:eastAsia="Times New Roman" w:hAnsi="Arial" w:cs="Times New Roman"/>
      <w:b/>
      <w:kern w:val="18"/>
      <w:sz w:val="24"/>
      <w:szCs w:val="20"/>
      <w:lang w:eastAsia="es-ES"/>
    </w:rPr>
  </w:style>
  <w:style w:type="paragraph" w:styleId="Prrafodelista">
    <w:name w:val="List Paragraph"/>
    <w:basedOn w:val="Normal"/>
    <w:uiPriority w:val="99"/>
    <w:qFormat/>
    <w:rsid w:val="00A05034"/>
    <w:pPr>
      <w:spacing w:after="200" w:line="276" w:lineRule="auto"/>
      <w:ind w:left="720"/>
      <w:contextualSpacing/>
    </w:pPr>
    <w:rPr>
      <w:rFonts w:ascii="Calibri" w:hAnsi="Calibri"/>
      <w:sz w:val="22"/>
      <w:szCs w:val="22"/>
      <w:lang w:val="es-UY" w:eastAsia="es-UY"/>
    </w:rPr>
  </w:style>
  <w:style w:type="paragraph" w:styleId="Sangra2detindependiente">
    <w:name w:val="Body Text Indent 2"/>
    <w:basedOn w:val="Normal"/>
    <w:link w:val="Sangra2detindependienteCar"/>
    <w:uiPriority w:val="99"/>
    <w:semiHidden/>
    <w:unhideWhenUsed/>
    <w:rsid w:val="00A05034"/>
    <w:pPr>
      <w:spacing w:after="120" w:line="480" w:lineRule="auto"/>
      <w:ind w:left="283"/>
    </w:pPr>
    <w:rPr>
      <w:rFonts w:ascii="Calibri" w:hAnsi="Calibri"/>
      <w:sz w:val="22"/>
      <w:szCs w:val="22"/>
      <w:lang w:val="es-UY" w:eastAsia="es-UY"/>
    </w:rPr>
  </w:style>
  <w:style w:type="character" w:customStyle="1" w:styleId="Sangra2detindependienteCar">
    <w:name w:val="Sangría 2 de t. independiente Car"/>
    <w:basedOn w:val="Fuentedeprrafopredeter"/>
    <w:link w:val="Sangra2detindependiente"/>
    <w:uiPriority w:val="99"/>
    <w:semiHidden/>
    <w:rsid w:val="00A05034"/>
    <w:rPr>
      <w:rFonts w:ascii="Calibri" w:eastAsia="Times New Roman" w:hAnsi="Calibri" w:cs="Times New Roman"/>
      <w:lang w:val="es-UY"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A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05034"/>
    <w:pPr>
      <w:spacing w:after="180" w:line="360" w:lineRule="auto"/>
      <w:outlineLvl w:val="0"/>
    </w:pPr>
    <w:rPr>
      <w:rFonts w:ascii="Arial" w:hAnsi="Arial" w:cs="Arial"/>
      <w:b/>
      <w:kern w:val="18"/>
      <w:szCs w:val="20"/>
    </w:rPr>
  </w:style>
  <w:style w:type="paragraph" w:styleId="Ttulo2">
    <w:name w:val="heading 2"/>
    <w:basedOn w:val="Normal"/>
    <w:next w:val="Textoindependiente"/>
    <w:link w:val="Ttulo2Car"/>
    <w:qFormat/>
    <w:rsid w:val="00A05034"/>
    <w:pPr>
      <w:spacing w:line="360" w:lineRule="auto"/>
      <w:jc w:val="both"/>
      <w:outlineLvl w:val="1"/>
    </w:pPr>
    <w:rPr>
      <w:rFonts w:ascii="Arial" w:hAnsi="Arial"/>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rmal">
    <w:name w:val="Texto normal"/>
    <w:basedOn w:val="Textoindependiente"/>
    <w:rsid w:val="00B124A4"/>
    <w:pPr>
      <w:widowControl w:val="0"/>
      <w:tabs>
        <w:tab w:val="left" w:pos="-720"/>
      </w:tabs>
      <w:suppressAutoHyphens/>
      <w:spacing w:after="0" w:line="480" w:lineRule="auto"/>
      <w:jc w:val="both"/>
    </w:pPr>
    <w:rPr>
      <w:rFonts w:ascii="Courier" w:hAnsi="Courier" w:cs="Courier"/>
      <w:spacing w:val="-3"/>
      <w:lang w:val="es-ES_tradnl"/>
    </w:rPr>
  </w:style>
  <w:style w:type="paragraph" w:styleId="Textoindependiente">
    <w:name w:val="Body Text"/>
    <w:basedOn w:val="Normal"/>
    <w:link w:val="TextoindependienteCar"/>
    <w:semiHidden/>
    <w:unhideWhenUsed/>
    <w:rsid w:val="00B124A4"/>
    <w:pPr>
      <w:spacing w:after="120"/>
    </w:pPr>
  </w:style>
  <w:style w:type="character" w:customStyle="1" w:styleId="TextoindependienteCar">
    <w:name w:val="Texto independiente Car"/>
    <w:basedOn w:val="Fuentedeprrafopredeter"/>
    <w:link w:val="Textoindependiente"/>
    <w:semiHidden/>
    <w:rsid w:val="00B124A4"/>
    <w:rPr>
      <w:rFonts w:ascii="Times New Roman" w:eastAsia="Times New Roman" w:hAnsi="Times New Roman" w:cs="Times New Roman"/>
      <w:sz w:val="24"/>
      <w:szCs w:val="24"/>
      <w:lang w:eastAsia="es-ES"/>
    </w:rPr>
  </w:style>
  <w:style w:type="paragraph" w:customStyle="1" w:styleId="Nombredireccin">
    <w:name w:val="Nombre dirección"/>
    <w:basedOn w:val="Normal"/>
    <w:next w:val="Normal"/>
    <w:rsid w:val="00657CEC"/>
    <w:pPr>
      <w:spacing w:before="220" w:line="240" w:lineRule="atLeast"/>
      <w:jc w:val="both"/>
    </w:pPr>
    <w:rPr>
      <w:rFonts w:ascii="Arial" w:hAnsi="Arial"/>
      <w:kern w:val="18"/>
      <w:szCs w:val="20"/>
    </w:rPr>
  </w:style>
  <w:style w:type="paragraph" w:styleId="Sangradetextonormal">
    <w:name w:val="Body Text Indent"/>
    <w:basedOn w:val="Normal"/>
    <w:link w:val="SangradetextonormalCar"/>
    <w:semiHidden/>
    <w:unhideWhenUsed/>
    <w:rsid w:val="00433E9A"/>
    <w:pPr>
      <w:spacing w:after="120"/>
      <w:ind w:left="283"/>
    </w:pPr>
  </w:style>
  <w:style w:type="character" w:customStyle="1" w:styleId="SangradetextonormalCar">
    <w:name w:val="Sangría de texto normal Car"/>
    <w:basedOn w:val="Fuentedeprrafopredeter"/>
    <w:link w:val="Sangradetextonormal"/>
    <w:uiPriority w:val="99"/>
    <w:semiHidden/>
    <w:rsid w:val="00433E9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D5812"/>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812"/>
    <w:rPr>
      <w:rFonts w:ascii="Tahoma" w:eastAsia="Times New Roman" w:hAnsi="Tahoma" w:cs="Tahoma"/>
      <w:sz w:val="16"/>
      <w:szCs w:val="16"/>
      <w:lang w:eastAsia="es-ES"/>
    </w:rPr>
  </w:style>
  <w:style w:type="character" w:customStyle="1" w:styleId="Ttulo1Car">
    <w:name w:val="Título 1 Car"/>
    <w:basedOn w:val="Fuentedeprrafopredeter"/>
    <w:link w:val="Ttulo1"/>
    <w:rsid w:val="00A05034"/>
    <w:rPr>
      <w:rFonts w:ascii="Arial" w:eastAsia="Times New Roman" w:hAnsi="Arial" w:cs="Arial"/>
      <w:b/>
      <w:kern w:val="18"/>
      <w:sz w:val="24"/>
      <w:szCs w:val="20"/>
      <w:lang w:eastAsia="es-ES"/>
    </w:rPr>
  </w:style>
  <w:style w:type="paragraph" w:styleId="Subttulo">
    <w:name w:val="Subtitle"/>
    <w:basedOn w:val="Normal"/>
    <w:next w:val="Textoindependiente"/>
    <w:link w:val="SubttuloCar"/>
    <w:qFormat/>
    <w:rsid w:val="00A05034"/>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A05034"/>
    <w:rPr>
      <w:rFonts w:ascii="Bookman Old Style" w:eastAsia="Times New Roman" w:hAnsi="Bookman Old Style" w:cs="Times New Roman"/>
      <w:b/>
      <w:kern w:val="1"/>
      <w:sz w:val="24"/>
      <w:szCs w:val="20"/>
      <w:lang w:eastAsia="ar-SA"/>
    </w:rPr>
  </w:style>
  <w:style w:type="paragraph" w:styleId="Textoindependiente3">
    <w:name w:val="Body Text 3"/>
    <w:basedOn w:val="Normal"/>
    <w:link w:val="Textoindependiente3Car"/>
    <w:semiHidden/>
    <w:rsid w:val="00A05034"/>
    <w:pPr>
      <w:spacing w:line="360" w:lineRule="auto"/>
    </w:pPr>
    <w:rPr>
      <w:rFonts w:ascii="Bookman Old Style" w:hAnsi="Bookman Old Style"/>
      <w:b/>
      <w:bCs/>
      <w:kern w:val="18"/>
      <w:szCs w:val="20"/>
    </w:rPr>
  </w:style>
  <w:style w:type="character" w:customStyle="1" w:styleId="Textoindependiente3Car">
    <w:name w:val="Texto independiente 3 Car"/>
    <w:basedOn w:val="Fuentedeprrafopredeter"/>
    <w:link w:val="Textoindependiente3"/>
    <w:semiHidden/>
    <w:rsid w:val="00A05034"/>
    <w:rPr>
      <w:rFonts w:ascii="Bookman Old Style" w:eastAsia="Times New Roman" w:hAnsi="Bookman Old Style" w:cs="Times New Roman"/>
      <w:b/>
      <w:bCs/>
      <w:kern w:val="18"/>
      <w:sz w:val="24"/>
      <w:szCs w:val="20"/>
      <w:lang w:eastAsia="es-ES"/>
    </w:rPr>
  </w:style>
  <w:style w:type="character" w:customStyle="1" w:styleId="field-content">
    <w:name w:val="field-content"/>
    <w:rsid w:val="00A05034"/>
  </w:style>
  <w:style w:type="character" w:customStyle="1" w:styleId="Ttulo2Car">
    <w:name w:val="Título 2 Car"/>
    <w:basedOn w:val="Fuentedeprrafopredeter"/>
    <w:link w:val="Ttulo2"/>
    <w:rsid w:val="00A05034"/>
    <w:rPr>
      <w:rFonts w:ascii="Arial" w:eastAsia="Times New Roman" w:hAnsi="Arial" w:cs="Times New Roman"/>
      <w:b/>
      <w:kern w:val="18"/>
      <w:sz w:val="24"/>
      <w:szCs w:val="20"/>
      <w:lang w:eastAsia="es-ES"/>
    </w:rPr>
  </w:style>
  <w:style w:type="paragraph" w:styleId="Prrafodelista">
    <w:name w:val="List Paragraph"/>
    <w:basedOn w:val="Normal"/>
    <w:uiPriority w:val="99"/>
    <w:qFormat/>
    <w:rsid w:val="00A05034"/>
    <w:pPr>
      <w:spacing w:after="200" w:line="276" w:lineRule="auto"/>
      <w:ind w:left="720"/>
      <w:contextualSpacing/>
    </w:pPr>
    <w:rPr>
      <w:rFonts w:ascii="Calibri" w:hAnsi="Calibri"/>
      <w:sz w:val="22"/>
      <w:szCs w:val="22"/>
      <w:lang w:val="es-UY" w:eastAsia="es-UY"/>
    </w:rPr>
  </w:style>
  <w:style w:type="paragraph" w:styleId="Sangra2detindependiente">
    <w:name w:val="Body Text Indent 2"/>
    <w:basedOn w:val="Normal"/>
    <w:link w:val="Sangra2detindependienteCar"/>
    <w:uiPriority w:val="99"/>
    <w:semiHidden/>
    <w:unhideWhenUsed/>
    <w:rsid w:val="00A05034"/>
    <w:pPr>
      <w:spacing w:after="120" w:line="480" w:lineRule="auto"/>
      <w:ind w:left="283"/>
    </w:pPr>
    <w:rPr>
      <w:rFonts w:ascii="Calibri" w:hAnsi="Calibri"/>
      <w:sz w:val="22"/>
      <w:szCs w:val="22"/>
      <w:lang w:val="es-UY" w:eastAsia="es-UY"/>
    </w:rPr>
  </w:style>
  <w:style w:type="character" w:customStyle="1" w:styleId="Sangra2detindependienteCar">
    <w:name w:val="Sangría 2 de t. independiente Car"/>
    <w:basedOn w:val="Fuentedeprrafopredeter"/>
    <w:link w:val="Sangra2detindependiente"/>
    <w:uiPriority w:val="99"/>
    <w:semiHidden/>
    <w:rsid w:val="00A05034"/>
    <w:rPr>
      <w:rFonts w:ascii="Calibri" w:eastAsia="Times New Roman" w:hAnsi="Calibri" w:cs="Times New Roman"/>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7B15E-80EB-4BB1-845C-A0E1BB3A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3636</Words>
  <Characters>20000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7</cp:revision>
  <cp:lastPrinted>2016-11-23T14:47:00Z</cp:lastPrinted>
  <dcterms:created xsi:type="dcterms:W3CDTF">2016-11-23T14:43:00Z</dcterms:created>
  <dcterms:modified xsi:type="dcterms:W3CDTF">2017-03-27T19:20:00Z</dcterms:modified>
</cp:coreProperties>
</file>