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02" w:rsidRPr="009C6202" w:rsidRDefault="009C6202" w:rsidP="00E45A5D">
      <w:pPr>
        <w:widowControl w:val="0"/>
        <w:tabs>
          <w:tab w:val="center" w:pos="4253"/>
        </w:tabs>
        <w:jc w:val="right"/>
        <w:rPr>
          <w:rFonts w:cs="Arial"/>
          <w:b/>
          <w:sz w:val="28"/>
          <w:szCs w:val="28"/>
          <w:lang w:val="es-ES_tradnl"/>
        </w:rPr>
      </w:pPr>
      <w:bookmarkStart w:id="0" w:name="_GoBack"/>
      <w:bookmarkEnd w:id="0"/>
      <w:r w:rsidRPr="009C6202">
        <w:rPr>
          <w:rFonts w:cs="Arial"/>
          <w:b/>
          <w:sz w:val="28"/>
          <w:szCs w:val="28"/>
          <w:lang w:val="es-ES_tradnl"/>
        </w:rPr>
        <w:t xml:space="preserve">RES. </w:t>
      </w:r>
      <w:r w:rsidR="00237B44">
        <w:rPr>
          <w:rFonts w:cs="Arial"/>
          <w:b/>
          <w:sz w:val="28"/>
          <w:szCs w:val="28"/>
          <w:lang w:val="es-ES_tradnl"/>
        </w:rPr>
        <w:t>4015</w:t>
      </w:r>
      <w:r w:rsidRPr="009C6202">
        <w:rPr>
          <w:rFonts w:cs="Arial"/>
          <w:b/>
          <w:sz w:val="28"/>
          <w:szCs w:val="28"/>
          <w:lang w:val="es-ES_tradnl"/>
        </w:rPr>
        <w:t>/16</w:t>
      </w:r>
    </w:p>
    <w:p w:rsidR="009C6202" w:rsidRPr="009C6202" w:rsidRDefault="009C6202" w:rsidP="00E45A5D">
      <w:pPr>
        <w:widowControl w:val="0"/>
        <w:tabs>
          <w:tab w:val="center" w:pos="4253"/>
        </w:tabs>
        <w:jc w:val="center"/>
        <w:rPr>
          <w:rFonts w:cs="Arial"/>
          <w:b/>
          <w:lang w:val="es-ES_tradnl"/>
        </w:rPr>
      </w:pPr>
    </w:p>
    <w:p w:rsidR="009C6202" w:rsidRPr="009C6202" w:rsidRDefault="009C6202" w:rsidP="00E45A5D">
      <w:pPr>
        <w:widowControl w:val="0"/>
        <w:tabs>
          <w:tab w:val="center" w:pos="4253"/>
        </w:tabs>
        <w:jc w:val="center"/>
        <w:rPr>
          <w:rFonts w:ascii="Helvetica" w:hAnsi="Helvetica"/>
          <w:b/>
          <w:lang w:val="es-ES_tradnl"/>
        </w:rPr>
      </w:pPr>
      <w:r w:rsidRPr="009C6202">
        <w:rPr>
          <w:rFonts w:ascii="Helvetica" w:hAnsi="Helvetica"/>
          <w:b/>
          <w:lang w:val="es-ES_tradnl"/>
        </w:rPr>
        <w:t>RESOLUCION ADOPTADA POR EL</w:t>
      </w:r>
    </w:p>
    <w:p w:rsidR="009C6202" w:rsidRPr="009C6202" w:rsidRDefault="009C6202" w:rsidP="00E45A5D">
      <w:pPr>
        <w:widowControl w:val="0"/>
        <w:tabs>
          <w:tab w:val="left" w:pos="-720"/>
        </w:tabs>
        <w:jc w:val="center"/>
        <w:rPr>
          <w:rFonts w:ascii="Helvetica" w:hAnsi="Helvetica"/>
          <w:b/>
          <w:lang w:val="es-ES_tradnl"/>
        </w:rPr>
      </w:pPr>
    </w:p>
    <w:p w:rsidR="009C6202" w:rsidRPr="009C6202" w:rsidRDefault="009C6202" w:rsidP="00E45A5D">
      <w:pPr>
        <w:widowControl w:val="0"/>
        <w:tabs>
          <w:tab w:val="center" w:pos="4253"/>
        </w:tabs>
        <w:jc w:val="center"/>
        <w:rPr>
          <w:rFonts w:ascii="Helvetica" w:hAnsi="Helvetica"/>
          <w:b/>
          <w:lang w:val="es-ES_tradnl"/>
        </w:rPr>
      </w:pPr>
      <w:r w:rsidRPr="009C6202">
        <w:rPr>
          <w:rFonts w:ascii="Helvetica" w:hAnsi="Helvetica"/>
          <w:b/>
          <w:lang w:val="es-ES_tradnl"/>
        </w:rPr>
        <w:t>TRIBUNAL DE CUENTAS</w:t>
      </w:r>
    </w:p>
    <w:p w:rsidR="009C6202" w:rsidRPr="009C6202" w:rsidRDefault="009C6202" w:rsidP="00E45A5D">
      <w:pPr>
        <w:widowControl w:val="0"/>
        <w:tabs>
          <w:tab w:val="left" w:pos="-720"/>
        </w:tabs>
        <w:jc w:val="center"/>
        <w:rPr>
          <w:rFonts w:ascii="Helvetica" w:hAnsi="Helvetica"/>
          <w:b/>
          <w:lang w:val="es-ES_tradnl"/>
        </w:rPr>
      </w:pPr>
    </w:p>
    <w:p w:rsidR="009C6202" w:rsidRPr="009C6202" w:rsidRDefault="009C6202" w:rsidP="00E45A5D">
      <w:pPr>
        <w:widowControl w:val="0"/>
        <w:tabs>
          <w:tab w:val="center" w:pos="4253"/>
        </w:tabs>
        <w:jc w:val="center"/>
        <w:rPr>
          <w:rFonts w:ascii="Helvetica" w:hAnsi="Helvetica"/>
          <w:b/>
          <w:lang w:val="es-ES_tradnl"/>
        </w:rPr>
      </w:pPr>
      <w:r w:rsidRPr="009C6202">
        <w:rPr>
          <w:rFonts w:ascii="Helvetica" w:hAnsi="Helvetica"/>
          <w:b/>
          <w:lang w:val="es-ES_tradnl"/>
        </w:rPr>
        <w:t>EN SESION DE FECHA 16 DE NOVIEMBRE DE 2016</w:t>
      </w:r>
    </w:p>
    <w:p w:rsidR="009C6202" w:rsidRPr="009C6202" w:rsidRDefault="009C6202" w:rsidP="00E45A5D">
      <w:pPr>
        <w:widowControl w:val="0"/>
        <w:tabs>
          <w:tab w:val="center" w:pos="4253"/>
        </w:tabs>
        <w:jc w:val="center"/>
        <w:rPr>
          <w:rFonts w:ascii="Helvetica" w:hAnsi="Helvetica"/>
          <w:b/>
          <w:lang w:val="es-ES_tradnl"/>
        </w:rPr>
      </w:pPr>
    </w:p>
    <w:p w:rsidR="009C6202" w:rsidRPr="009C6202" w:rsidRDefault="009C6202" w:rsidP="00E45A5D">
      <w:pPr>
        <w:widowControl w:val="0"/>
        <w:tabs>
          <w:tab w:val="center" w:pos="4253"/>
        </w:tabs>
        <w:jc w:val="center"/>
        <w:rPr>
          <w:rFonts w:ascii="Helvetica" w:hAnsi="Helvetica"/>
          <w:b/>
          <w:lang w:val="es-UY"/>
        </w:rPr>
      </w:pPr>
      <w:r w:rsidRPr="009C6202">
        <w:rPr>
          <w:rFonts w:ascii="Helvetica" w:hAnsi="Helvetica"/>
          <w:b/>
          <w:lang w:val="es-UY"/>
        </w:rPr>
        <w:t>(E. E. Nº 2016-17-1-000</w:t>
      </w:r>
      <w:r>
        <w:rPr>
          <w:rFonts w:ascii="Helvetica" w:hAnsi="Helvetica"/>
          <w:b/>
          <w:lang w:val="es-UY"/>
        </w:rPr>
        <w:t>4513</w:t>
      </w:r>
      <w:r w:rsidRPr="009C6202">
        <w:rPr>
          <w:rFonts w:ascii="Helvetica" w:hAnsi="Helvetica"/>
          <w:b/>
          <w:lang w:val="es-UY"/>
        </w:rPr>
        <w:t xml:space="preserve">, </w:t>
      </w:r>
      <w:proofErr w:type="spellStart"/>
      <w:r w:rsidRPr="009C6202">
        <w:rPr>
          <w:rFonts w:ascii="Helvetica" w:hAnsi="Helvetica"/>
          <w:b/>
          <w:lang w:val="es-UY"/>
        </w:rPr>
        <w:t>Ent</w:t>
      </w:r>
      <w:proofErr w:type="spellEnd"/>
      <w:r w:rsidRPr="009C6202">
        <w:rPr>
          <w:rFonts w:ascii="Helvetica" w:hAnsi="Helvetica"/>
          <w:b/>
          <w:lang w:val="es-UY"/>
        </w:rPr>
        <w:t xml:space="preserve">. N° </w:t>
      </w:r>
      <w:r>
        <w:rPr>
          <w:rFonts w:ascii="Helvetica" w:hAnsi="Helvetica"/>
          <w:b/>
          <w:lang w:val="es-UY"/>
        </w:rPr>
        <w:t>3439</w:t>
      </w:r>
      <w:r w:rsidRPr="009C6202">
        <w:rPr>
          <w:rFonts w:ascii="Helvetica" w:hAnsi="Helvetica"/>
          <w:b/>
          <w:lang w:val="es-UY"/>
        </w:rPr>
        <w:t>/16)</w:t>
      </w:r>
    </w:p>
    <w:p w:rsidR="009C6202" w:rsidRDefault="009C6202" w:rsidP="00E45A5D">
      <w:pPr>
        <w:widowControl w:val="0"/>
        <w:tabs>
          <w:tab w:val="center" w:pos="4253"/>
        </w:tabs>
        <w:spacing w:line="360" w:lineRule="auto"/>
        <w:jc w:val="both"/>
        <w:rPr>
          <w:rFonts w:cs="Arial"/>
          <w:b/>
          <w:lang w:val="es-UY"/>
        </w:rPr>
      </w:pPr>
    </w:p>
    <w:p w:rsidR="001A0427" w:rsidRDefault="001A0427" w:rsidP="00E45A5D">
      <w:pPr>
        <w:widowControl w:val="0"/>
        <w:tabs>
          <w:tab w:val="left" w:pos="-720"/>
        </w:tabs>
        <w:spacing w:line="360" w:lineRule="auto"/>
        <w:jc w:val="both"/>
        <w:rPr>
          <w:rFonts w:cs="Arial"/>
          <w:b/>
          <w:lang w:val="es-ES_tradnl"/>
        </w:rPr>
      </w:pPr>
    </w:p>
    <w:p w:rsidR="001A0427" w:rsidRPr="009D27AB" w:rsidRDefault="00561B16" w:rsidP="00E45A5D">
      <w:pPr>
        <w:widowControl w:val="0"/>
        <w:autoSpaceDE w:val="0"/>
        <w:autoSpaceDN w:val="0"/>
        <w:adjustRightInd w:val="0"/>
        <w:spacing w:line="360" w:lineRule="auto"/>
        <w:ind w:firstLine="851"/>
        <w:jc w:val="both"/>
        <w:rPr>
          <w:rFonts w:cs="Arial"/>
        </w:rPr>
      </w:pPr>
      <w:r>
        <w:rPr>
          <w:rFonts w:cs="Arial"/>
          <w:b/>
          <w:bCs/>
        </w:rPr>
        <w:t>V</w:t>
      </w:r>
      <w:r w:rsidR="001A0427" w:rsidRPr="009D27AB">
        <w:rPr>
          <w:rFonts w:cs="Arial"/>
          <w:b/>
          <w:bCs/>
        </w:rPr>
        <w:t xml:space="preserve">ISTO: </w:t>
      </w:r>
      <w:r w:rsidR="001A0427" w:rsidRPr="009D27AB">
        <w:rPr>
          <w:rFonts w:cs="Arial"/>
        </w:rPr>
        <w:t>la Rendición de Cuentas y Balance de Ejecución Presupues</w:t>
      </w:r>
      <w:r w:rsidR="007F2EC1">
        <w:rPr>
          <w:rFonts w:cs="Arial"/>
        </w:rPr>
        <w:t>tal de la Intendencia de Florida</w:t>
      </w:r>
      <w:r w:rsidR="001A0427" w:rsidRPr="009D27AB">
        <w:rPr>
          <w:rFonts w:cs="Arial"/>
        </w:rPr>
        <w:t xml:space="preserve"> correspondiente al </w:t>
      </w:r>
      <w:r w:rsidR="00133E33">
        <w:rPr>
          <w:rFonts w:cs="Arial"/>
        </w:rPr>
        <w:t>E</w:t>
      </w:r>
      <w:r w:rsidR="001A0427" w:rsidRPr="009D27AB">
        <w:rPr>
          <w:rFonts w:cs="Arial"/>
        </w:rPr>
        <w:t>jercicio 2015;</w:t>
      </w:r>
    </w:p>
    <w:p w:rsidR="001A0427" w:rsidRPr="009D27AB" w:rsidRDefault="001A0427" w:rsidP="00E45A5D">
      <w:pPr>
        <w:widowControl w:val="0"/>
        <w:tabs>
          <w:tab w:val="left" w:pos="284"/>
        </w:tabs>
        <w:autoSpaceDE w:val="0"/>
        <w:autoSpaceDN w:val="0"/>
        <w:adjustRightInd w:val="0"/>
        <w:spacing w:line="360" w:lineRule="auto"/>
        <w:ind w:firstLine="851"/>
        <w:jc w:val="both"/>
        <w:rPr>
          <w:rFonts w:cs="Arial"/>
        </w:rPr>
      </w:pPr>
      <w:r w:rsidRPr="009D27AB">
        <w:rPr>
          <w:rFonts w:cs="Arial"/>
          <w:b/>
          <w:bCs/>
        </w:rPr>
        <w:t xml:space="preserve">RESULTANDO: </w:t>
      </w:r>
      <w:r w:rsidRPr="009D27AB">
        <w:rPr>
          <w:rFonts w:cs="Arial"/>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9D27AB">
          <w:rPr>
            <w:rFonts w:cs="Arial"/>
          </w:rPr>
          <w:t>1000 a</w:t>
        </w:r>
      </w:smartTag>
      <w:r w:rsidRPr="009D27AB">
        <w:rPr>
          <w:rFonts w:cs="Arial"/>
        </w:rPr>
        <w:t xml:space="preserve"> 1810) de la Organización Internacional de Entidades Fiscalizadoras Superiores (INTOSAI), habiéndose llevado a cabo los procedimientos considerados necesarios en las circunstancias;</w:t>
      </w:r>
    </w:p>
    <w:p w:rsidR="001A0427" w:rsidRPr="009D27AB" w:rsidRDefault="001A0427" w:rsidP="00E45A5D">
      <w:pPr>
        <w:widowControl w:val="0"/>
        <w:autoSpaceDE w:val="0"/>
        <w:autoSpaceDN w:val="0"/>
        <w:adjustRightInd w:val="0"/>
        <w:spacing w:line="360" w:lineRule="auto"/>
        <w:ind w:firstLine="851"/>
        <w:jc w:val="both"/>
        <w:rPr>
          <w:rFonts w:cs="Arial"/>
        </w:rPr>
      </w:pPr>
      <w:r w:rsidRPr="009D27AB">
        <w:rPr>
          <w:rFonts w:cs="Arial"/>
          <w:b/>
          <w:bCs/>
        </w:rPr>
        <w:t xml:space="preserve">CONSIDERANDO: </w:t>
      </w:r>
      <w:r w:rsidRPr="009D27AB">
        <w:rPr>
          <w:rFonts w:cs="Arial"/>
        </w:rPr>
        <w:t>que las conclusiones y evidencias obtenidas son las que se expresan en el Informe de Auditoría, que incluye Dictamen e Informe a la Administración;</w:t>
      </w:r>
    </w:p>
    <w:p w:rsidR="001A0427" w:rsidRPr="009D27AB" w:rsidRDefault="001A0427" w:rsidP="00E45A5D">
      <w:pPr>
        <w:widowControl w:val="0"/>
        <w:autoSpaceDE w:val="0"/>
        <w:autoSpaceDN w:val="0"/>
        <w:adjustRightInd w:val="0"/>
        <w:spacing w:line="360" w:lineRule="auto"/>
        <w:ind w:firstLine="851"/>
        <w:jc w:val="both"/>
        <w:rPr>
          <w:rFonts w:cs="Arial"/>
        </w:rPr>
      </w:pPr>
      <w:r w:rsidRPr="009D27AB">
        <w:rPr>
          <w:rFonts w:cs="Arial"/>
          <w:b/>
          <w:bCs/>
        </w:rPr>
        <w:t xml:space="preserve">ATENTO: </w:t>
      </w:r>
      <w:r w:rsidRPr="009D27AB">
        <w:rPr>
          <w:rFonts w:cs="Arial"/>
        </w:rPr>
        <w:t>a lo dispuesto por el Artículo 211 Literal C) de la Constitución de la República;</w:t>
      </w:r>
    </w:p>
    <w:p w:rsidR="001A0427" w:rsidRPr="009D27AB" w:rsidRDefault="001A0427" w:rsidP="00E45A5D">
      <w:pPr>
        <w:widowControl w:val="0"/>
        <w:autoSpaceDE w:val="0"/>
        <w:autoSpaceDN w:val="0"/>
        <w:adjustRightInd w:val="0"/>
        <w:spacing w:line="360" w:lineRule="auto"/>
        <w:jc w:val="center"/>
        <w:rPr>
          <w:rFonts w:cs="Arial"/>
          <w:b/>
          <w:bCs/>
        </w:rPr>
      </w:pPr>
      <w:r w:rsidRPr="009D27AB">
        <w:rPr>
          <w:rFonts w:cs="Arial"/>
          <w:b/>
          <w:bCs/>
        </w:rPr>
        <w:t>EL TRIBUNAL ACUERDA</w:t>
      </w:r>
    </w:p>
    <w:p w:rsidR="001A0427" w:rsidRPr="00561B16" w:rsidRDefault="004078E4" w:rsidP="00E45A5D">
      <w:pPr>
        <w:widowControl w:val="0"/>
        <w:spacing w:line="360" w:lineRule="auto"/>
        <w:jc w:val="both"/>
      </w:pPr>
      <w:r w:rsidRPr="004078E4">
        <w:rPr>
          <w:b/>
        </w:rPr>
        <w:t>1)</w:t>
      </w:r>
      <w:r>
        <w:t xml:space="preserve"> </w:t>
      </w:r>
      <w:r w:rsidR="001A0427" w:rsidRPr="00561B16">
        <w:t>Expedirse en los términos del Informe de Auditoría que se adjunta</w:t>
      </w:r>
      <w:r w:rsidR="00133E33">
        <w:t>;</w:t>
      </w:r>
    </w:p>
    <w:p w:rsidR="001A0427" w:rsidRPr="009D27AB" w:rsidRDefault="001A0427" w:rsidP="00E45A5D">
      <w:pPr>
        <w:widowControl w:val="0"/>
        <w:spacing w:line="360" w:lineRule="auto"/>
        <w:ind w:left="284" w:hanging="284"/>
        <w:jc w:val="both"/>
      </w:pPr>
      <w:r w:rsidRPr="009D27AB">
        <w:rPr>
          <w:b/>
          <w:bCs/>
        </w:rPr>
        <w:t xml:space="preserve">2) </w:t>
      </w:r>
      <w:r w:rsidRPr="009D27AB">
        <w:t xml:space="preserve">Comunicar la presente Resolución a la Intendencia y a la Junta </w:t>
      </w:r>
      <w:r w:rsidR="00561B16">
        <w:t xml:space="preserve"> </w:t>
      </w:r>
      <w:r w:rsidR="007F2EC1">
        <w:t>Departamental de Florida</w:t>
      </w:r>
      <w:r w:rsidR="00133E33">
        <w:t>;</w:t>
      </w:r>
    </w:p>
    <w:p w:rsidR="001A0427" w:rsidRPr="009D27AB" w:rsidRDefault="001A0427" w:rsidP="00E45A5D">
      <w:pPr>
        <w:widowControl w:val="0"/>
        <w:spacing w:line="360" w:lineRule="auto"/>
        <w:jc w:val="both"/>
      </w:pPr>
      <w:r w:rsidRPr="009D27AB">
        <w:rPr>
          <w:b/>
          <w:bCs/>
        </w:rPr>
        <w:t xml:space="preserve">3) </w:t>
      </w:r>
      <w:r w:rsidRPr="009D27AB">
        <w:t>Dar cuenta a la Asamblea General.</w:t>
      </w:r>
    </w:p>
    <w:p w:rsidR="001A0427" w:rsidRDefault="001A0427" w:rsidP="00E45A5D">
      <w:pPr>
        <w:widowControl w:val="0"/>
        <w:spacing w:line="360" w:lineRule="auto"/>
        <w:jc w:val="both"/>
        <w:rPr>
          <w:rFonts w:cs="Arial"/>
        </w:rPr>
      </w:pPr>
    </w:p>
    <w:p w:rsidR="00561B16" w:rsidRDefault="00133E33" w:rsidP="00E45A5D">
      <w:pPr>
        <w:widowControl w:val="0"/>
      </w:pPr>
      <w:proofErr w:type="spellStart"/>
      <w:proofErr w:type="gramStart"/>
      <w:r w:rsidRPr="00133E33">
        <w:t>ag</w:t>
      </w:r>
      <w:proofErr w:type="spellEnd"/>
      <w:proofErr w:type="gramEnd"/>
    </w:p>
    <w:p w:rsidR="003A0F9F" w:rsidRDefault="003A0F9F" w:rsidP="00E45A5D">
      <w:pPr>
        <w:widowControl w:val="0"/>
      </w:pPr>
    </w:p>
    <w:p w:rsidR="003A0F9F" w:rsidRDefault="003A0F9F" w:rsidP="00E45A5D">
      <w:pPr>
        <w:widowControl w:val="0"/>
      </w:pPr>
    </w:p>
    <w:p w:rsidR="003A0F9F" w:rsidRDefault="003A0F9F" w:rsidP="00E45A5D">
      <w:pPr>
        <w:widowControl w:val="0"/>
      </w:pPr>
    </w:p>
    <w:p w:rsidR="003A0F9F" w:rsidRDefault="003A0F9F" w:rsidP="00E45A5D">
      <w:pPr>
        <w:widowControl w:val="0"/>
      </w:pPr>
    </w:p>
    <w:p w:rsidR="003A0F9F" w:rsidRDefault="003A0F9F" w:rsidP="00E45A5D">
      <w:pPr>
        <w:pStyle w:val="Ttulo1"/>
        <w:widowControl w:val="0"/>
        <w:spacing w:before="0" w:after="0" w:line="360" w:lineRule="auto"/>
        <w:jc w:val="center"/>
        <w:rPr>
          <w:szCs w:val="24"/>
        </w:rPr>
      </w:pPr>
      <w:bookmarkStart w:id="1" w:name="_Toc400023262"/>
      <w:r w:rsidRPr="00EB600C">
        <w:rPr>
          <w:szCs w:val="24"/>
        </w:rPr>
        <w:lastRenderedPageBreak/>
        <w:t>DICTAMEN</w:t>
      </w:r>
      <w:bookmarkEnd w:id="1"/>
    </w:p>
    <w:p w:rsidR="003A0F9F" w:rsidRPr="00600D86" w:rsidRDefault="003A0F9F" w:rsidP="00E45A5D">
      <w:pPr>
        <w:widowControl w:val="0"/>
      </w:pPr>
    </w:p>
    <w:p w:rsidR="003A0F9F" w:rsidRDefault="003A0F9F" w:rsidP="00E45A5D">
      <w:pPr>
        <w:pStyle w:val="Subttulo"/>
        <w:widowControl w:val="0"/>
        <w:rPr>
          <w:rFonts w:ascii="Arial" w:hAnsi="Arial" w:cs="Arial"/>
          <w:b w:val="0"/>
        </w:rPr>
      </w:pPr>
      <w:r>
        <w:rPr>
          <w:rFonts w:ascii="Arial" w:hAnsi="Arial" w:cs="Arial"/>
          <w:b w:val="0"/>
        </w:rPr>
        <w:t>El Tribunal de Cuentas ha examinado la Rendición de Cuentas y el Balance de Ejecución Presupuestal de la Intendencia de Florida correspondiente al ejercicio 2015, que incluye los siguientes estados: de Ejecución Presupuestal con relación a los Créditos y a los Recursos, Resultado del Ejercicio, Resultado Acumulado y otros estados complementarios.</w:t>
      </w:r>
    </w:p>
    <w:p w:rsidR="003A0F9F" w:rsidRPr="003F31DC" w:rsidRDefault="003A0F9F" w:rsidP="00E45A5D">
      <w:pPr>
        <w:pStyle w:val="Subttulo"/>
        <w:widowControl w:val="0"/>
        <w:rPr>
          <w:rFonts w:ascii="Arial" w:hAnsi="Arial" w:cs="Arial"/>
          <w:b w:val="0"/>
          <w:szCs w:val="24"/>
        </w:rPr>
      </w:pPr>
      <w:r w:rsidRPr="003F31DC">
        <w:rPr>
          <w:rFonts w:ascii="Arial" w:hAnsi="Arial" w:cs="Arial"/>
          <w:b w:val="0"/>
          <w:szCs w:val="24"/>
        </w:rPr>
        <w:t>También se presentan, en caso de corresponder, los incumplimientos legales constatados por el Tribunal de Cuentas en el curso de la auditoría efectuada.</w:t>
      </w:r>
    </w:p>
    <w:p w:rsidR="003A0F9F" w:rsidRPr="003F31DC" w:rsidRDefault="003A0F9F" w:rsidP="00E45A5D">
      <w:pPr>
        <w:pStyle w:val="Subttulo"/>
        <w:widowControl w:val="0"/>
        <w:rPr>
          <w:rFonts w:ascii="Arial" w:hAnsi="Arial" w:cs="Arial"/>
          <w:b w:val="0"/>
          <w:szCs w:val="24"/>
        </w:rPr>
      </w:pPr>
    </w:p>
    <w:p w:rsidR="003A0F9F" w:rsidRPr="003F31DC" w:rsidRDefault="003A0F9F" w:rsidP="00E45A5D">
      <w:pPr>
        <w:pStyle w:val="Subttulo"/>
        <w:widowControl w:val="0"/>
        <w:rPr>
          <w:rFonts w:ascii="Arial" w:hAnsi="Arial" w:cs="Arial"/>
          <w:bCs/>
          <w:szCs w:val="24"/>
        </w:rPr>
      </w:pPr>
      <w:r w:rsidRPr="003F31DC">
        <w:rPr>
          <w:rFonts w:ascii="Arial" w:hAnsi="Arial" w:cs="Arial"/>
          <w:bCs/>
          <w:szCs w:val="24"/>
        </w:rPr>
        <w:t>Responsabilidad de la Intendencia</w:t>
      </w:r>
    </w:p>
    <w:p w:rsidR="003A0F9F" w:rsidRPr="003F31DC" w:rsidRDefault="003A0F9F" w:rsidP="00E45A5D">
      <w:pPr>
        <w:pStyle w:val="Subttulo"/>
        <w:widowControl w:val="0"/>
        <w:rPr>
          <w:rFonts w:ascii="Arial" w:hAnsi="Arial" w:cs="Arial"/>
          <w:b w:val="0"/>
          <w:szCs w:val="24"/>
        </w:rPr>
      </w:pPr>
      <w:r w:rsidRPr="003F31DC">
        <w:rPr>
          <w:rFonts w:ascii="Arial" w:hAnsi="Arial" w:cs="Arial"/>
          <w:b w:val="0"/>
          <w:szCs w:val="24"/>
        </w:rPr>
        <w:t xml:space="preserve">La Intendencia es responsable por la preparación y la razonable presentación de estos estados </w:t>
      </w:r>
      <w:r>
        <w:rPr>
          <w:rFonts w:ascii="Arial" w:hAnsi="Arial" w:cs="Arial"/>
          <w:b w:val="0"/>
          <w:szCs w:val="24"/>
        </w:rPr>
        <w:t xml:space="preserve">de ejecución presupuestal </w:t>
      </w:r>
      <w:r w:rsidRPr="003F31DC">
        <w:rPr>
          <w:rFonts w:ascii="Arial" w:hAnsi="Arial" w:cs="Arial"/>
          <w:b w:val="0"/>
          <w:szCs w:val="24"/>
        </w:rPr>
        <w:t>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3A0F9F" w:rsidRPr="003F31DC" w:rsidRDefault="003A0F9F" w:rsidP="00E45A5D">
      <w:pPr>
        <w:pStyle w:val="Subttulo"/>
        <w:widowControl w:val="0"/>
        <w:ind w:firstLine="708"/>
        <w:rPr>
          <w:rFonts w:ascii="Arial" w:hAnsi="Arial" w:cs="Arial"/>
          <w:b w:val="0"/>
          <w:szCs w:val="24"/>
        </w:rPr>
      </w:pPr>
    </w:p>
    <w:p w:rsidR="003A0F9F" w:rsidRPr="003F31DC" w:rsidRDefault="003A0F9F" w:rsidP="00E45A5D">
      <w:pPr>
        <w:pStyle w:val="Subttulo"/>
        <w:widowControl w:val="0"/>
        <w:rPr>
          <w:rFonts w:ascii="Arial" w:hAnsi="Arial" w:cs="Arial"/>
          <w:bCs/>
          <w:szCs w:val="24"/>
        </w:rPr>
      </w:pPr>
      <w:r w:rsidRPr="003F31DC">
        <w:rPr>
          <w:rFonts w:ascii="Arial" w:hAnsi="Arial" w:cs="Arial"/>
          <w:bCs/>
          <w:szCs w:val="24"/>
        </w:rPr>
        <w:t>Responsabilidad del auditor</w:t>
      </w:r>
    </w:p>
    <w:p w:rsidR="003A0F9F" w:rsidRDefault="003A0F9F" w:rsidP="00E45A5D">
      <w:pPr>
        <w:pStyle w:val="Subttulo"/>
        <w:widowControl w:val="0"/>
        <w:rPr>
          <w:rFonts w:ascii="Arial" w:hAnsi="Arial"/>
          <w:b w:val="0"/>
        </w:rPr>
      </w:pPr>
      <w:r w:rsidRPr="003F31DC">
        <w:rPr>
          <w:rFonts w:ascii="Arial" w:hAnsi="Arial" w:cs="Arial"/>
          <w:b w:val="0"/>
          <w:szCs w:val="24"/>
        </w:rP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w:t>
      </w:r>
      <w:r w:rsidRPr="003F31DC">
        <w:rPr>
          <w:rFonts w:ascii="Arial" w:hAnsi="Arial"/>
          <w:b w:val="0"/>
        </w:rPr>
        <w:t xml:space="preserve"> obtener seguridad razonable acerca de si los estados contables están li</w:t>
      </w:r>
      <w:r>
        <w:rPr>
          <w:rFonts w:ascii="Arial" w:hAnsi="Arial"/>
          <w:b w:val="0"/>
        </w:rPr>
        <w:t>bres de errores significativos.</w:t>
      </w:r>
    </w:p>
    <w:p w:rsidR="003A0F9F" w:rsidRDefault="003A0F9F" w:rsidP="00E45A5D">
      <w:pPr>
        <w:pStyle w:val="Subttulo"/>
        <w:widowControl w:val="0"/>
        <w:rPr>
          <w:rFonts w:ascii="Arial" w:hAnsi="Arial"/>
          <w:b w:val="0"/>
        </w:rPr>
      </w:pPr>
    </w:p>
    <w:p w:rsidR="001A70F0" w:rsidRPr="003F31DC" w:rsidRDefault="001A70F0" w:rsidP="00E45A5D">
      <w:pPr>
        <w:pStyle w:val="Subttulo"/>
        <w:widowControl w:val="0"/>
        <w:rPr>
          <w:rFonts w:ascii="Arial" w:hAnsi="Arial"/>
          <w:b w:val="0"/>
        </w:rPr>
      </w:pPr>
    </w:p>
    <w:p w:rsidR="003A0F9F" w:rsidRPr="003F31DC" w:rsidRDefault="003A0F9F" w:rsidP="00E45A5D">
      <w:pPr>
        <w:pStyle w:val="Subttulo"/>
        <w:widowControl w:val="0"/>
        <w:rPr>
          <w:rFonts w:ascii="Arial" w:hAnsi="Arial" w:cs="Arial"/>
          <w:b w:val="0"/>
          <w:szCs w:val="24"/>
        </w:rPr>
      </w:pPr>
      <w:r w:rsidRPr="003F31DC">
        <w:rPr>
          <w:rFonts w:ascii="Arial" w:hAnsi="Arial" w:cs="Arial"/>
          <w:b w:val="0"/>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3A0F9F" w:rsidRDefault="003A0F9F" w:rsidP="00E45A5D">
      <w:pPr>
        <w:pStyle w:val="Subttulo"/>
        <w:widowControl w:val="0"/>
        <w:rPr>
          <w:rFonts w:ascii="Arial" w:hAnsi="Arial" w:cs="Arial"/>
          <w:b w:val="0"/>
          <w:szCs w:val="24"/>
        </w:rPr>
      </w:pPr>
      <w:r w:rsidRPr="003F31DC">
        <w:rPr>
          <w:rFonts w:ascii="Arial" w:hAnsi="Arial" w:cs="Arial"/>
          <w:b w:val="0"/>
          <w:szCs w:val="24"/>
        </w:rPr>
        <w:t>Se considera que la evidencia de auditoría obtenida brinda una base suficiente y apropiada para sustentar la opinión.</w:t>
      </w:r>
    </w:p>
    <w:p w:rsidR="003A0F9F" w:rsidRPr="003F31DC" w:rsidRDefault="003A0F9F" w:rsidP="00E45A5D">
      <w:pPr>
        <w:pStyle w:val="Subttulo"/>
        <w:widowControl w:val="0"/>
        <w:rPr>
          <w:rFonts w:ascii="Arial" w:hAnsi="Arial" w:cs="Arial"/>
          <w:b w:val="0"/>
          <w:szCs w:val="24"/>
        </w:rPr>
      </w:pPr>
    </w:p>
    <w:p w:rsidR="003A0F9F" w:rsidRDefault="003A0F9F" w:rsidP="00E45A5D">
      <w:pPr>
        <w:widowControl w:val="0"/>
        <w:spacing w:line="360" w:lineRule="auto"/>
        <w:rPr>
          <w:b/>
          <w:kern w:val="18"/>
        </w:rPr>
      </w:pPr>
      <w:r w:rsidRPr="00C4364E">
        <w:rPr>
          <w:b/>
          <w:kern w:val="18"/>
        </w:rPr>
        <w:t>Bases para la calificación de opinión</w:t>
      </w:r>
    </w:p>
    <w:p w:rsidR="003A0F9F" w:rsidRPr="00B97B39" w:rsidRDefault="003A0F9F" w:rsidP="00E45A5D">
      <w:pPr>
        <w:widowControl w:val="0"/>
        <w:spacing w:line="360" w:lineRule="auto"/>
        <w:jc w:val="both"/>
        <w:rPr>
          <w:rFonts w:cs="Arial"/>
        </w:rPr>
      </w:pPr>
      <w:r w:rsidRPr="00B97B39">
        <w:rPr>
          <w:rFonts w:cs="Arial"/>
        </w:rPr>
        <w:t xml:space="preserve">El Resultado acumulado del </w:t>
      </w:r>
      <w:r>
        <w:rPr>
          <w:rFonts w:cs="Arial"/>
        </w:rPr>
        <w:t>E</w:t>
      </w:r>
      <w:r w:rsidRPr="00B97B39">
        <w:rPr>
          <w:rFonts w:cs="Arial"/>
        </w:rPr>
        <w:t xml:space="preserve">jercicio 2014 más el resultado del </w:t>
      </w:r>
      <w:r>
        <w:rPr>
          <w:rFonts w:cs="Arial"/>
        </w:rPr>
        <w:t>E</w:t>
      </w:r>
      <w:r w:rsidRPr="00B97B39">
        <w:rPr>
          <w:rFonts w:cs="Arial"/>
        </w:rPr>
        <w:t>jercicio 2015 no verifica con el Resultado Acumulado al 31/12/2015 expuesto en el documento de la Rendición de Cuentas. Al respecto se constató que, las deudas en dólares y en UI, fueron expresadas correctamente al tipo de cambio del 31/12/2015, por lo que se consideraron correctamente los saldos a pagar para la determinación del déficit acumulado, pero no se imputaron a objetos presupuestales ni se consideraron en la determinación del resultado del ejercicio, las pérdidas correspondientes  a las diferencias de cambio por un importe total de $ 36:006.790.</w:t>
      </w:r>
    </w:p>
    <w:p w:rsidR="003A0F9F" w:rsidRPr="00B97B39" w:rsidRDefault="003A0F9F" w:rsidP="00E45A5D">
      <w:pPr>
        <w:widowControl w:val="0"/>
        <w:spacing w:line="360" w:lineRule="auto"/>
        <w:jc w:val="both"/>
        <w:rPr>
          <w:rFonts w:cs="Arial"/>
        </w:rPr>
      </w:pPr>
      <w:r w:rsidRPr="00B97B39">
        <w:rPr>
          <w:rFonts w:cs="Arial"/>
        </w:rPr>
        <w:t>Por lo expuesto, el "Estado de Ejecución Presupuestal de Gastos" no presenta adecuadamente los importes gastados por todos los conceptos, afectando en consecuencia los montos presentados como gastados en más y en menos, respecto de los créditos presupuestales autorizados.</w:t>
      </w:r>
      <w:r w:rsidRPr="00B97B39">
        <w:rPr>
          <w:rFonts w:cs="Arial"/>
        </w:rPr>
        <w:tab/>
        <w:t xml:space="preserve"> Asimismo, el Resultado del ejercicio, no presenta la totalidad de</w:t>
      </w:r>
      <w:r>
        <w:rPr>
          <w:rFonts w:cs="Arial"/>
        </w:rPr>
        <w:t>l déficit generado</w:t>
      </w:r>
      <w:r w:rsidRPr="00B97B39">
        <w:rPr>
          <w:rFonts w:cs="Arial"/>
        </w:rPr>
        <w:t xml:space="preserve"> en el ejercicio.</w:t>
      </w:r>
    </w:p>
    <w:p w:rsidR="003A0F9F" w:rsidRDefault="003A0F9F" w:rsidP="00E45A5D">
      <w:pPr>
        <w:pStyle w:val="Textoindependiente"/>
        <w:widowControl w:val="0"/>
        <w:suppressAutoHyphens w:val="0"/>
        <w:spacing w:after="0" w:line="360" w:lineRule="auto"/>
        <w:rPr>
          <w:rFonts w:cs="Arial"/>
          <w:b/>
          <w:bCs/>
          <w:szCs w:val="24"/>
        </w:rPr>
      </w:pPr>
      <w:r w:rsidRPr="003F31DC">
        <w:rPr>
          <w:rFonts w:cs="Arial"/>
          <w:b/>
          <w:bCs/>
          <w:szCs w:val="24"/>
        </w:rPr>
        <w:t>Opinión</w:t>
      </w:r>
    </w:p>
    <w:p w:rsidR="003A0F9F" w:rsidRPr="00B97B39" w:rsidRDefault="003A0F9F" w:rsidP="00E45A5D">
      <w:pPr>
        <w:widowControl w:val="0"/>
        <w:spacing w:line="360" w:lineRule="auto"/>
        <w:jc w:val="both"/>
        <w:rPr>
          <w:rFonts w:cs="Arial"/>
        </w:rPr>
      </w:pPr>
      <w:r w:rsidRPr="00B97B39">
        <w:rPr>
          <w:rFonts w:cs="Arial"/>
        </w:rPr>
        <w:t>En opinión del Tribunal de Cuentas, los estados mencionados presentan razonablemente, en todos sus aspectos importantes, la ejecución de los recursos, y el resultado acumulado al 31/12/15, de acuerdo con las normas establecidas en el TOCAF y la Resolución de este Tribunal de fecha 28/01/2004.</w:t>
      </w:r>
    </w:p>
    <w:p w:rsidR="003A0F9F" w:rsidRPr="00B97B39" w:rsidRDefault="003A0F9F" w:rsidP="00E45A5D">
      <w:pPr>
        <w:widowControl w:val="0"/>
        <w:spacing w:line="360" w:lineRule="auto"/>
        <w:jc w:val="both"/>
        <w:rPr>
          <w:rFonts w:cs="Arial"/>
        </w:rPr>
      </w:pPr>
      <w:r w:rsidRPr="00B97B39">
        <w:rPr>
          <w:rFonts w:cs="Arial"/>
        </w:rPr>
        <w:t xml:space="preserve">Excepto por lo señalado en el párrafo “Bases para la calificación de opinión”, el </w:t>
      </w:r>
      <w:r>
        <w:rPr>
          <w:rFonts w:cs="Arial"/>
        </w:rPr>
        <w:t>E</w:t>
      </w:r>
      <w:r w:rsidRPr="00B97B39">
        <w:rPr>
          <w:rFonts w:cs="Arial"/>
        </w:rPr>
        <w:t>stado de ejecución presupuestal con relación a los créditos</w:t>
      </w:r>
      <w:r>
        <w:rPr>
          <w:rFonts w:cs="Arial"/>
        </w:rPr>
        <w:t xml:space="preserve"> y el Estado del Resultado del ejercicio</w:t>
      </w:r>
      <w:r w:rsidRPr="00B97B39">
        <w:rPr>
          <w:rFonts w:cs="Arial"/>
        </w:rPr>
        <w:t>, presenta</w:t>
      </w:r>
      <w:r>
        <w:rPr>
          <w:rFonts w:cs="Arial"/>
        </w:rPr>
        <w:t>n</w:t>
      </w:r>
      <w:r w:rsidRPr="00B97B39">
        <w:rPr>
          <w:rFonts w:cs="Arial"/>
        </w:rPr>
        <w:t xml:space="preserve"> razonablemente, en todos sus aspectos importantes, la ejecución de los créditos </w:t>
      </w:r>
      <w:r>
        <w:rPr>
          <w:rFonts w:cs="Arial"/>
        </w:rPr>
        <w:t xml:space="preserve">y el Resultado del Ejercicio 2015 </w:t>
      </w:r>
      <w:r w:rsidRPr="00B97B39">
        <w:rPr>
          <w:rFonts w:cs="Arial"/>
        </w:rPr>
        <w:t>de acuerdo con las normas establecidas en el TOCAF y la Resolución de este Tribunal de fecha 28/01/04.</w:t>
      </w:r>
    </w:p>
    <w:p w:rsidR="003A0F9F" w:rsidRPr="003F31DC" w:rsidRDefault="003A0F9F" w:rsidP="00E45A5D">
      <w:pPr>
        <w:widowControl w:val="0"/>
        <w:spacing w:line="360" w:lineRule="auto"/>
        <w:jc w:val="both"/>
        <w:rPr>
          <w:rFonts w:cs="Arial"/>
        </w:rPr>
      </w:pPr>
      <w:r w:rsidRPr="003F31DC">
        <w:rPr>
          <w:rFonts w:cs="Arial"/>
        </w:rPr>
        <w:t>Con relación</w:t>
      </w:r>
      <w:r>
        <w:rPr>
          <w:rFonts w:cs="Arial"/>
        </w:rPr>
        <w:t xml:space="preserve"> al cumplimiento de la normativa vigente, en el transcurso de la auditoría realizada, </w:t>
      </w:r>
      <w:r w:rsidRPr="003F31DC">
        <w:rPr>
          <w:rFonts w:cs="Arial"/>
        </w:rPr>
        <w:t xml:space="preserve">se ha constatado </w:t>
      </w:r>
      <w:r>
        <w:rPr>
          <w:rFonts w:cs="Arial"/>
        </w:rPr>
        <w:t>que</w:t>
      </w:r>
      <w:r w:rsidRPr="003F31DC">
        <w:rPr>
          <w:rFonts w:cs="Arial"/>
        </w:rPr>
        <w:t>:</w:t>
      </w:r>
    </w:p>
    <w:p w:rsidR="003A0F9F" w:rsidRPr="00873E2E" w:rsidRDefault="003A0F9F" w:rsidP="00E45A5D">
      <w:pPr>
        <w:pStyle w:val="Sangradetextonormal"/>
        <w:widowControl w:val="0"/>
        <w:tabs>
          <w:tab w:val="left" w:pos="0"/>
          <w:tab w:val="left" w:pos="284"/>
        </w:tabs>
        <w:ind w:left="0"/>
        <w:rPr>
          <w:bCs/>
        </w:rPr>
      </w:pPr>
      <w:r>
        <w:rPr>
          <w:b/>
          <w:bCs/>
        </w:rPr>
        <w:t xml:space="preserve">1. </w:t>
      </w:r>
      <w:r w:rsidRPr="003F31DC">
        <w:rPr>
          <w:b/>
          <w:bCs/>
        </w:rPr>
        <w:t>Artículo 86 de la Constitución de la República</w:t>
      </w:r>
      <w:r w:rsidRPr="00873E2E">
        <w:rPr>
          <w:b/>
          <w:bCs/>
          <w:kern w:val="1"/>
        </w:rPr>
        <w:t xml:space="preserve">: </w:t>
      </w:r>
      <w:r w:rsidRPr="00873E2E">
        <w:rPr>
          <w:kern w:val="1"/>
        </w:rPr>
        <w:t xml:space="preserve">La Intendencia abonó partidas por </w:t>
      </w:r>
      <w:proofErr w:type="spellStart"/>
      <w:r w:rsidRPr="00873E2E">
        <w:rPr>
          <w:kern w:val="1"/>
        </w:rPr>
        <w:t>presentismo</w:t>
      </w:r>
      <w:proofErr w:type="spellEnd"/>
      <w:r w:rsidRPr="00873E2E">
        <w:rPr>
          <w:kern w:val="1"/>
        </w:rPr>
        <w:t xml:space="preserve"> sin norma legal habilitante. </w:t>
      </w:r>
      <w:r w:rsidRPr="00873E2E">
        <w:rPr>
          <w:bCs/>
        </w:rPr>
        <w:t>Asimismo, el importe pagado por concepto de Quebranto de Caja a Tesorero, Pro-Tesorero, Cajero en el edificio central y Cajeros en las Juntas locales y Municipios, excede lo establecido en la norm</w:t>
      </w:r>
      <w:r w:rsidR="00C1010F">
        <w:rPr>
          <w:bCs/>
        </w:rPr>
        <w:t>a presupuestal que lo habilita.</w:t>
      </w:r>
    </w:p>
    <w:p w:rsidR="003A0F9F" w:rsidRDefault="003A0F9F" w:rsidP="00E45A5D">
      <w:pPr>
        <w:widowControl w:val="0"/>
        <w:tabs>
          <w:tab w:val="left" w:pos="0"/>
          <w:tab w:val="left" w:pos="284"/>
        </w:tabs>
        <w:spacing w:line="360" w:lineRule="auto"/>
        <w:jc w:val="both"/>
        <w:rPr>
          <w:rFonts w:cs="Arial"/>
          <w:bCs/>
        </w:rPr>
      </w:pPr>
      <w:r>
        <w:rPr>
          <w:b/>
          <w:bCs/>
        </w:rPr>
        <w:t xml:space="preserve">2. </w:t>
      </w:r>
      <w:r w:rsidRPr="00873E2E">
        <w:rPr>
          <w:b/>
          <w:bCs/>
        </w:rPr>
        <w:t xml:space="preserve">Artículo 86 de la Constitución de la República y </w:t>
      </w:r>
      <w:r w:rsidRPr="00873E2E">
        <w:rPr>
          <w:rFonts w:cs="Arial"/>
          <w:b/>
        </w:rPr>
        <w:t xml:space="preserve">Artículo 8 del Decreto de la Junta de Florida Nº 23/07: </w:t>
      </w:r>
      <w:r w:rsidRPr="00873E2E">
        <w:rPr>
          <w:rFonts w:cs="Arial"/>
          <w:bCs/>
        </w:rPr>
        <w:t xml:space="preserve">Se otorgaron compensaciones por estar a </w:t>
      </w:r>
      <w:proofErr w:type="gramStart"/>
      <w:r w:rsidRPr="00873E2E">
        <w:rPr>
          <w:rFonts w:cs="Arial"/>
          <w:bCs/>
        </w:rPr>
        <w:t>la orden correspondientes</w:t>
      </w:r>
      <w:proofErr w:type="gramEnd"/>
      <w:r w:rsidRPr="00873E2E">
        <w:rPr>
          <w:rFonts w:cs="Arial"/>
          <w:bCs/>
        </w:rPr>
        <w:t xml:space="preserve"> al 30% del sueldo base, a funcionarios del escalafón directivo, que no están comprendidos en la norma del Legislativo Departamental. En el Presupuesto Quinquenal 2016-2020 se aprobó una norma que subs</w:t>
      </w:r>
      <w:r w:rsidR="00C1010F">
        <w:rPr>
          <w:rFonts w:cs="Arial"/>
          <w:bCs/>
        </w:rPr>
        <w:t>ana el referido incumplimiento.</w:t>
      </w:r>
    </w:p>
    <w:p w:rsidR="003A0F9F" w:rsidRPr="00D56DF5" w:rsidRDefault="003A0F9F" w:rsidP="00E45A5D">
      <w:pPr>
        <w:pStyle w:val="Encabezado"/>
        <w:widowControl w:val="0"/>
        <w:tabs>
          <w:tab w:val="clear" w:pos="4252"/>
          <w:tab w:val="clear" w:pos="8504"/>
          <w:tab w:val="left" w:pos="360"/>
          <w:tab w:val="left" w:pos="540"/>
          <w:tab w:val="center" w:pos="4419"/>
          <w:tab w:val="right" w:pos="8838"/>
        </w:tabs>
        <w:spacing w:after="0" w:line="360" w:lineRule="auto"/>
        <w:rPr>
          <w:color w:val="000000"/>
          <w:lang w:val="es-ES"/>
        </w:rPr>
      </w:pPr>
      <w:r w:rsidRPr="003A0EA3">
        <w:rPr>
          <w:b/>
          <w:bCs/>
          <w:lang w:val="es-UY"/>
        </w:rPr>
        <w:t xml:space="preserve">3. </w:t>
      </w:r>
      <w:r w:rsidRPr="003A0EA3">
        <w:rPr>
          <w:b/>
          <w:bCs/>
        </w:rPr>
        <w:t>Art</w:t>
      </w:r>
      <w:r>
        <w:rPr>
          <w:b/>
          <w:bCs/>
          <w:lang w:val="es-UY"/>
        </w:rPr>
        <w:t>ículo</w:t>
      </w:r>
      <w:r w:rsidRPr="003A0EA3">
        <w:rPr>
          <w:b/>
          <w:bCs/>
        </w:rPr>
        <w:t xml:space="preserve"> 297 </w:t>
      </w:r>
      <w:r w:rsidRPr="00873E2E">
        <w:rPr>
          <w:b/>
          <w:color w:val="000000"/>
        </w:rPr>
        <w:t xml:space="preserve">Numeral 1) </w:t>
      </w:r>
      <w:r w:rsidRPr="00873E2E">
        <w:rPr>
          <w:b/>
          <w:bCs/>
        </w:rPr>
        <w:t>de la Constitución de la República</w:t>
      </w:r>
      <w:r w:rsidRPr="00873E2E">
        <w:rPr>
          <w:b/>
          <w:bCs/>
          <w:lang w:val="es-UY"/>
        </w:rPr>
        <w:t xml:space="preserve"> y Artículo 94 del Código Tributario</w:t>
      </w:r>
      <w:r w:rsidRPr="00873E2E">
        <w:rPr>
          <w:b/>
          <w:color w:val="000000"/>
        </w:rPr>
        <w:t>:</w:t>
      </w:r>
      <w:r w:rsidRPr="00873E2E">
        <w:rPr>
          <w:color w:val="000000"/>
        </w:rPr>
        <w:t xml:space="preserve"> </w:t>
      </w:r>
      <w:r w:rsidRPr="00873E2E">
        <w:rPr>
          <w:color w:val="000000"/>
          <w:lang w:val="es-UY"/>
        </w:rPr>
        <w:t>Las multas aplicadas a los pagos fuera de fecha de</w:t>
      </w:r>
      <w:r w:rsidRPr="00873E2E">
        <w:rPr>
          <w:color w:val="000000"/>
        </w:rPr>
        <w:t xml:space="preserve"> la Contribución Inmobiliaria Rural</w:t>
      </w:r>
      <w:r w:rsidRPr="00873E2E">
        <w:rPr>
          <w:color w:val="000000"/>
          <w:lang w:val="es-UY"/>
        </w:rPr>
        <w:t>,</w:t>
      </w:r>
      <w:r w:rsidRPr="00873E2E">
        <w:rPr>
          <w:color w:val="000000"/>
        </w:rPr>
        <w:t xml:space="preserve"> contravin</w:t>
      </w:r>
      <w:r w:rsidRPr="00873E2E">
        <w:rPr>
          <w:color w:val="000000"/>
          <w:lang w:val="es-UY"/>
        </w:rPr>
        <w:t>ieron</w:t>
      </w:r>
      <w:r w:rsidRPr="00873E2E">
        <w:rPr>
          <w:color w:val="000000"/>
        </w:rPr>
        <w:t xml:space="preserve"> la normativa constitucional </w:t>
      </w:r>
      <w:r>
        <w:rPr>
          <w:color w:val="000000"/>
          <w:lang w:val="es-ES"/>
        </w:rPr>
        <w:t xml:space="preserve">            </w:t>
      </w:r>
      <w:r w:rsidRPr="00873E2E">
        <w:rPr>
          <w:color w:val="000000"/>
        </w:rPr>
        <w:t>men</w:t>
      </w:r>
      <w:r w:rsidRPr="00873E2E">
        <w:rPr>
          <w:color w:val="000000"/>
        </w:rPr>
        <w:softHyphen/>
        <w:t>cionada</w:t>
      </w:r>
      <w:r w:rsidRPr="00873E2E">
        <w:rPr>
          <w:color w:val="000000"/>
          <w:lang w:val="es-UY"/>
        </w:rPr>
        <w:t>,</w:t>
      </w:r>
      <w:r w:rsidRPr="00873E2E">
        <w:rPr>
          <w:color w:val="000000"/>
        </w:rPr>
        <w:t xml:space="preserve"> dado que dicha facultad no es competencia de los Gobiernos Departamentales.</w:t>
      </w:r>
    </w:p>
    <w:p w:rsidR="003A0F9F" w:rsidRPr="003A0EA3" w:rsidRDefault="003A0F9F" w:rsidP="00E45A5D">
      <w:pPr>
        <w:widowControl w:val="0"/>
        <w:spacing w:line="360" w:lineRule="auto"/>
        <w:jc w:val="both"/>
        <w:rPr>
          <w:rFonts w:cs="Arial"/>
        </w:rPr>
      </w:pPr>
      <w:r w:rsidRPr="00873E2E">
        <w:rPr>
          <w:b/>
          <w:color w:val="000000"/>
        </w:rPr>
        <w:t>4. Artículo 301 de la Constitución de la República:</w:t>
      </w:r>
      <w:r w:rsidRPr="00873E2E">
        <w:rPr>
          <w:color w:val="000000"/>
        </w:rPr>
        <w:t xml:space="preserve"> En el </w:t>
      </w:r>
      <w:r>
        <w:rPr>
          <w:color w:val="000000"/>
        </w:rPr>
        <w:t>E</w:t>
      </w:r>
      <w:r w:rsidRPr="00873E2E">
        <w:rPr>
          <w:color w:val="000000"/>
        </w:rPr>
        <w:t>jercicio 2015 no se dio cumplimiento a lo dispuesto en el inciso 2 de esta norma, al haberse autorizado por parte de la Junta Departamental, la suscripción de un fideicomiso financiero en forma previa al Dictamen del Tribunal de Cuentas.</w:t>
      </w:r>
    </w:p>
    <w:p w:rsidR="003A0F9F" w:rsidRPr="003A0EA3" w:rsidRDefault="003A0F9F" w:rsidP="00E45A5D">
      <w:pPr>
        <w:widowControl w:val="0"/>
        <w:tabs>
          <w:tab w:val="left" w:pos="0"/>
          <w:tab w:val="left" w:pos="284"/>
        </w:tabs>
        <w:spacing w:line="360" w:lineRule="auto"/>
        <w:jc w:val="both"/>
        <w:rPr>
          <w:rFonts w:cs="Arial"/>
          <w:b/>
        </w:rPr>
      </w:pPr>
      <w:r>
        <w:rPr>
          <w:b/>
        </w:rPr>
        <w:t xml:space="preserve">5. </w:t>
      </w:r>
      <w:r w:rsidRPr="003A0EA3">
        <w:rPr>
          <w:b/>
        </w:rPr>
        <w:t xml:space="preserve">Artículo 2 de la Ley Nº 12.840: </w:t>
      </w:r>
      <w:r w:rsidRPr="00873E2E">
        <w:t xml:space="preserve">Para la liquidación del sueldo anual complementario no fue considerada la partida por concepto de </w:t>
      </w:r>
      <w:proofErr w:type="spellStart"/>
      <w:r w:rsidRPr="00873E2E">
        <w:t>presentismo</w:t>
      </w:r>
      <w:proofErr w:type="spellEnd"/>
      <w:r w:rsidRPr="00873E2E">
        <w:t>.</w:t>
      </w:r>
    </w:p>
    <w:p w:rsidR="003A0F9F" w:rsidRPr="003A0EA3" w:rsidRDefault="003A0F9F" w:rsidP="00E45A5D">
      <w:pPr>
        <w:pStyle w:val="Sangradetextonormal"/>
        <w:widowControl w:val="0"/>
        <w:ind w:left="0"/>
        <w:rPr>
          <w:b/>
          <w:kern w:val="1"/>
        </w:rPr>
      </w:pPr>
      <w:r>
        <w:rPr>
          <w:b/>
          <w:kern w:val="1"/>
        </w:rPr>
        <w:t>6</w:t>
      </w:r>
      <w:r w:rsidRPr="00873E2E">
        <w:rPr>
          <w:b/>
          <w:kern w:val="1"/>
        </w:rPr>
        <w:t xml:space="preserve">. Artículos 12 y 14 de la Ley Nº 19.272: </w:t>
      </w:r>
      <w:r w:rsidRPr="00873E2E">
        <w:rPr>
          <w:kern w:val="1"/>
        </w:rPr>
        <w:t>L</w:t>
      </w:r>
      <w:r w:rsidRPr="00873E2E">
        <w:rPr>
          <w:rFonts w:eastAsia="Calibri"/>
          <w:bCs/>
          <w:lang w:val="es-UY" w:eastAsia="en-US"/>
        </w:rPr>
        <w:t xml:space="preserve">a Intendencia no ha implementado adecuadamente el funcionamiento de los Municipios del Departamento, </w:t>
      </w:r>
      <w:r>
        <w:rPr>
          <w:rFonts w:eastAsia="Calibri"/>
          <w:bCs/>
          <w:lang w:val="es-UY" w:eastAsia="en-US"/>
        </w:rPr>
        <w:t>ya</w:t>
      </w:r>
      <w:r w:rsidRPr="00873E2E">
        <w:rPr>
          <w:rFonts w:eastAsia="Calibri"/>
          <w:bCs/>
          <w:lang w:val="es-UY" w:eastAsia="en-US"/>
        </w:rPr>
        <w:t xml:space="preserve"> que los gastos y pagos son ordenados siguiendo los mismos procedimientos que las Juntas Locales, dependiendo de la Intendencia, en vez de ser ordenados </w:t>
      </w:r>
      <w:r w:rsidRPr="00873E2E">
        <w:rPr>
          <w:bCs/>
        </w:rPr>
        <w:t>por el Concejo o por el Alcalde respectivamente.</w:t>
      </w:r>
    </w:p>
    <w:p w:rsidR="003A0F9F" w:rsidRPr="00137811" w:rsidRDefault="003A0F9F" w:rsidP="00E45A5D">
      <w:pPr>
        <w:pStyle w:val="Textoindependiente"/>
        <w:widowControl w:val="0"/>
        <w:suppressAutoHyphens w:val="0"/>
        <w:spacing w:after="0" w:line="360" w:lineRule="auto"/>
        <w:rPr>
          <w:rFonts w:cs="Arial"/>
          <w:b/>
          <w:szCs w:val="24"/>
        </w:rPr>
      </w:pPr>
      <w:r>
        <w:rPr>
          <w:rFonts w:cs="Arial"/>
          <w:b/>
          <w:szCs w:val="24"/>
        </w:rPr>
        <w:t>7</w:t>
      </w:r>
      <w:r w:rsidRPr="003A0EA3">
        <w:rPr>
          <w:rFonts w:cs="Arial"/>
          <w:b/>
          <w:szCs w:val="24"/>
        </w:rPr>
        <w:t xml:space="preserve">. Artículo 14 del TOCAF: </w:t>
      </w:r>
      <w:r w:rsidRPr="00873E2E">
        <w:t>Se ejecutaron gastos cuya autorización del ordenador es posterior a la fecha de otorgado el servicio o entregado el bien, habiendo sido en la mayoría de los casos observados por la C</w:t>
      </w:r>
      <w:r>
        <w:t>ontado</w:t>
      </w:r>
      <w:r w:rsidRPr="00873E2E">
        <w:t>ra Delegada.</w:t>
      </w:r>
      <w:r w:rsidRPr="00873E2E">
        <w:rPr>
          <w:bCs/>
        </w:rPr>
        <w:t xml:space="preserve"> Asimismo, </w:t>
      </w:r>
      <w:r w:rsidRPr="00873E2E">
        <w:rPr>
          <w:rFonts w:cs="Arial"/>
        </w:rPr>
        <w:t>no se imputaron a los objetos presupuestales correspondientes, pérdidas por diferencias de cotización</w:t>
      </w:r>
      <w:r>
        <w:rPr>
          <w:rFonts w:cs="Arial"/>
        </w:rPr>
        <w:t>.</w:t>
      </w:r>
    </w:p>
    <w:p w:rsidR="003A0F9F" w:rsidRPr="00873E2E" w:rsidRDefault="003A0F9F" w:rsidP="00E45A5D">
      <w:pPr>
        <w:widowControl w:val="0"/>
        <w:spacing w:line="360" w:lineRule="auto"/>
        <w:rPr>
          <w:rFonts w:cs="Arial"/>
          <w:b/>
        </w:rPr>
      </w:pPr>
      <w:r>
        <w:rPr>
          <w:rFonts w:cs="Arial"/>
          <w:b/>
        </w:rPr>
        <w:t>8</w:t>
      </w:r>
      <w:r w:rsidRPr="003A0EA3">
        <w:rPr>
          <w:rFonts w:cs="Arial"/>
          <w:b/>
        </w:rPr>
        <w:t xml:space="preserve">. Artículo 16 del TOCAF: </w:t>
      </w:r>
      <w:r w:rsidRPr="00873E2E">
        <w:rPr>
          <w:rFonts w:cs="Arial"/>
        </w:rPr>
        <w:t>Se imputaron gastos en objetos presupuestales que no corresponden por su concepto.</w:t>
      </w:r>
    </w:p>
    <w:p w:rsidR="003A0F9F" w:rsidRPr="003A0EA3" w:rsidRDefault="003A0F9F" w:rsidP="00E45A5D">
      <w:pPr>
        <w:pStyle w:val="Textoindependiente"/>
        <w:widowControl w:val="0"/>
        <w:suppressAutoHyphens w:val="0"/>
        <w:spacing w:after="0" w:line="360" w:lineRule="auto"/>
        <w:rPr>
          <w:rFonts w:cs="Arial"/>
          <w:b/>
          <w:szCs w:val="24"/>
        </w:rPr>
      </w:pPr>
      <w:r>
        <w:rPr>
          <w:rFonts w:cs="Arial"/>
          <w:b/>
          <w:szCs w:val="24"/>
        </w:rPr>
        <w:t>9</w:t>
      </w:r>
      <w:r w:rsidRPr="00873E2E">
        <w:rPr>
          <w:rFonts w:cs="Arial"/>
          <w:b/>
          <w:szCs w:val="24"/>
        </w:rPr>
        <w:t xml:space="preserve">. Artículos 33 y 74 del TOCAF: </w:t>
      </w:r>
      <w:r w:rsidRPr="00873E2E">
        <w:rPr>
          <w:rFonts w:cs="Arial"/>
          <w:szCs w:val="24"/>
        </w:rPr>
        <w:t xml:space="preserve">Se constataron incumplimientos al </w:t>
      </w:r>
      <w:r>
        <w:rPr>
          <w:rFonts w:cs="Arial"/>
          <w:szCs w:val="24"/>
        </w:rPr>
        <w:t>A</w:t>
      </w:r>
      <w:r w:rsidRPr="00873E2E">
        <w:rPr>
          <w:rFonts w:cs="Arial"/>
          <w:szCs w:val="24"/>
        </w:rPr>
        <w:t>rtículo 33 del TOCAF cuando, en la renovación de algunos contratos, se superó el límite establecido para el procedimiento inicial, excediendo el tope de la compra directa. Asimismo, se detectaron incumplimientos al Artículo 74 del TOCAF en cuanto se realizaron prórrogas de contratos (ampliaciones) que superan el 100%.</w:t>
      </w:r>
    </w:p>
    <w:p w:rsidR="003A0F9F" w:rsidRPr="00873E2E" w:rsidRDefault="003A0F9F" w:rsidP="00E45A5D">
      <w:pPr>
        <w:pStyle w:val="Textoindependiente"/>
        <w:widowControl w:val="0"/>
        <w:suppressAutoHyphens w:val="0"/>
        <w:spacing w:after="0" w:line="360" w:lineRule="auto"/>
        <w:rPr>
          <w:rFonts w:cs="Arial"/>
          <w:bCs/>
          <w:szCs w:val="24"/>
        </w:rPr>
      </w:pPr>
      <w:r w:rsidRPr="00873E2E">
        <w:rPr>
          <w:rFonts w:cs="Arial"/>
          <w:b/>
          <w:bCs/>
          <w:szCs w:val="24"/>
        </w:rPr>
        <w:t>1</w:t>
      </w:r>
      <w:r>
        <w:rPr>
          <w:rFonts w:cs="Arial"/>
          <w:b/>
          <w:bCs/>
          <w:szCs w:val="24"/>
        </w:rPr>
        <w:t>0</w:t>
      </w:r>
      <w:r w:rsidRPr="00873E2E">
        <w:rPr>
          <w:rFonts w:cs="Arial"/>
          <w:b/>
          <w:bCs/>
          <w:szCs w:val="24"/>
        </w:rPr>
        <w:t xml:space="preserve">. </w:t>
      </w:r>
      <w:r w:rsidRPr="00873E2E">
        <w:rPr>
          <w:rFonts w:cs="Arial"/>
          <w:b/>
          <w:szCs w:val="24"/>
        </w:rPr>
        <w:t xml:space="preserve">Artículos </w:t>
      </w:r>
      <w:r w:rsidRPr="00873E2E">
        <w:rPr>
          <w:rFonts w:cs="Arial"/>
          <w:b/>
          <w:bCs/>
          <w:szCs w:val="24"/>
        </w:rPr>
        <w:t xml:space="preserve">84 y 97 del TOCAF: </w:t>
      </w:r>
      <w:r w:rsidRPr="00873E2E">
        <w:rPr>
          <w:rFonts w:cs="Arial"/>
          <w:szCs w:val="24"/>
          <w:lang w:val="es-ES" w:eastAsia="es-ES"/>
        </w:rPr>
        <w:t>La Intendencia no cuenta con un inventario actualizado y valuado de la totalidad de los bienes que integran su patrimonio.</w:t>
      </w:r>
    </w:p>
    <w:p w:rsidR="003A0F9F" w:rsidRDefault="003A0F9F" w:rsidP="00E45A5D">
      <w:pPr>
        <w:widowControl w:val="0"/>
        <w:spacing w:line="360" w:lineRule="auto"/>
        <w:jc w:val="both"/>
        <w:rPr>
          <w:rFonts w:cs="Arial"/>
          <w:bCs/>
        </w:rPr>
      </w:pPr>
      <w:r>
        <w:rPr>
          <w:rFonts w:cs="Arial"/>
          <w:b/>
        </w:rPr>
        <w:t>11</w:t>
      </w:r>
      <w:r w:rsidRPr="00873E2E">
        <w:rPr>
          <w:rFonts w:cs="Arial"/>
          <w:b/>
        </w:rPr>
        <w:t xml:space="preserve">. Artículos 90 y 154 del TOCAF: </w:t>
      </w:r>
      <w:r w:rsidRPr="00873E2E">
        <w:rPr>
          <w:rFonts w:cs="Arial"/>
          <w:bCs/>
        </w:rPr>
        <w:t>La Administración no ha efectuado contrato de fianza o seguro de caución de fidelidad respecto de la totalidad de los funcionarios que maneja</w:t>
      </w:r>
      <w:r w:rsidR="00C1010F">
        <w:rPr>
          <w:rFonts w:cs="Arial"/>
          <w:bCs/>
        </w:rPr>
        <w:t>n o custodian fondos o valores.</w:t>
      </w:r>
    </w:p>
    <w:p w:rsidR="001A70F0" w:rsidRPr="00873E2E" w:rsidRDefault="001A70F0" w:rsidP="00E45A5D">
      <w:pPr>
        <w:widowControl w:val="0"/>
        <w:spacing w:line="360" w:lineRule="auto"/>
        <w:jc w:val="both"/>
        <w:rPr>
          <w:rFonts w:cs="Arial"/>
          <w:b/>
        </w:rPr>
      </w:pPr>
    </w:p>
    <w:p w:rsidR="003A0F9F" w:rsidRPr="00873E2E" w:rsidRDefault="003A0F9F" w:rsidP="00E45A5D">
      <w:pPr>
        <w:widowControl w:val="0"/>
        <w:spacing w:line="360" w:lineRule="auto"/>
        <w:jc w:val="both"/>
        <w:rPr>
          <w:rFonts w:cs="Arial"/>
          <w:b/>
          <w:bCs/>
        </w:rPr>
      </w:pPr>
      <w:r>
        <w:rPr>
          <w:rFonts w:cs="Arial"/>
          <w:b/>
        </w:rPr>
        <w:t>12</w:t>
      </w:r>
      <w:r w:rsidRPr="00873E2E">
        <w:rPr>
          <w:rFonts w:cs="Arial"/>
          <w:b/>
        </w:rPr>
        <w:t>. Artículo 94 del TOCAF y Ordenanza Nº 81 del Tribunal de Cuentas:</w:t>
      </w:r>
      <w:r w:rsidRPr="00873E2E">
        <w:rPr>
          <w:rFonts w:cs="Arial"/>
          <w:b/>
          <w:bCs/>
        </w:rPr>
        <w:t xml:space="preserve"> </w:t>
      </w:r>
      <w:r w:rsidRPr="00873E2E">
        <w:rPr>
          <w:rFonts w:cs="Arial"/>
          <w:bCs/>
        </w:rPr>
        <w:t xml:space="preserve">La Intendencia no ha implementado en su totalidad un sistema de contabilidad patrimonial que permita cumplir con </w:t>
      </w:r>
      <w:r w:rsidR="00C1010F">
        <w:rPr>
          <w:rFonts w:cs="Arial"/>
          <w:bCs/>
        </w:rPr>
        <w:t>lo establecido en estas normas.</w:t>
      </w:r>
    </w:p>
    <w:p w:rsidR="003A0F9F" w:rsidRPr="004431FD" w:rsidRDefault="003A0F9F" w:rsidP="00E45A5D">
      <w:pPr>
        <w:widowControl w:val="0"/>
        <w:spacing w:line="360" w:lineRule="auto"/>
        <w:jc w:val="both"/>
        <w:rPr>
          <w:rFonts w:cs="Arial"/>
          <w:b/>
        </w:rPr>
      </w:pPr>
      <w:r>
        <w:rPr>
          <w:rFonts w:cs="Arial"/>
          <w:b/>
        </w:rPr>
        <w:t>13</w:t>
      </w:r>
      <w:r w:rsidRPr="00873E2E">
        <w:rPr>
          <w:rFonts w:cs="Arial"/>
          <w:b/>
        </w:rPr>
        <w:t xml:space="preserve">. Artículos 15 y 102 Numeral 3) del TOCAF: </w:t>
      </w:r>
      <w:r w:rsidRPr="00873E2E">
        <w:rPr>
          <w:rFonts w:cs="Arial"/>
        </w:rPr>
        <w:t xml:space="preserve">Las compras de combustible se imputaron durante el ejercicio a un rubro </w:t>
      </w:r>
      <w:proofErr w:type="spellStart"/>
      <w:r w:rsidRPr="00873E2E">
        <w:rPr>
          <w:rFonts w:cs="Arial"/>
        </w:rPr>
        <w:t>extrapresupuestal</w:t>
      </w:r>
      <w:proofErr w:type="spellEnd"/>
      <w:r w:rsidRPr="00873E2E">
        <w:rPr>
          <w:rFonts w:cs="Arial"/>
        </w:rPr>
        <w:t xml:space="preserve">, por lo que no se verificó la existencia de disponibilidad presupuestal en forma previa. Al cierre del ejercicio se realiza un ajuste y se vuelca lo </w:t>
      </w:r>
      <w:proofErr w:type="spellStart"/>
      <w:r w:rsidRPr="00873E2E">
        <w:rPr>
          <w:rFonts w:cs="Arial"/>
        </w:rPr>
        <w:t>extrapresupuestal</w:t>
      </w:r>
      <w:proofErr w:type="spellEnd"/>
      <w:r w:rsidRPr="00873E2E">
        <w:rPr>
          <w:rFonts w:cs="Arial"/>
        </w:rPr>
        <w:t xml:space="preserve"> al Objeto 141 de cada programa, de forma que el gasto presupuestal queda correctamente presentado.</w:t>
      </w:r>
    </w:p>
    <w:p w:rsidR="003A0F9F" w:rsidRPr="00C161A4" w:rsidRDefault="003A0F9F" w:rsidP="00E45A5D">
      <w:pPr>
        <w:widowControl w:val="0"/>
        <w:spacing w:line="360" w:lineRule="auto"/>
        <w:jc w:val="both"/>
        <w:rPr>
          <w:rFonts w:cs="Arial"/>
          <w:bCs/>
        </w:rPr>
      </w:pPr>
      <w:r>
        <w:rPr>
          <w:rFonts w:cs="Arial"/>
          <w:b/>
        </w:rPr>
        <w:t>14</w:t>
      </w:r>
      <w:r w:rsidRPr="003A0EA3">
        <w:rPr>
          <w:rFonts w:cs="Arial"/>
          <w:b/>
        </w:rPr>
        <w:t xml:space="preserve">. Artículo 111 Numeral 6) TOCAF: </w:t>
      </w:r>
      <w:r w:rsidRPr="003A0EA3">
        <w:rPr>
          <w:rFonts w:cs="Arial"/>
        </w:rPr>
        <w:t>La Unidad de Auditoría Interna no coordinó con el Tribunal de Cuentas la planificación de las tareas de auditoría a realizar.</w:t>
      </w:r>
    </w:p>
    <w:p w:rsidR="003A0F9F" w:rsidRPr="003A0EA3" w:rsidRDefault="003A0F9F" w:rsidP="00E45A5D">
      <w:pPr>
        <w:widowControl w:val="0"/>
        <w:spacing w:line="360" w:lineRule="auto"/>
        <w:jc w:val="both"/>
        <w:rPr>
          <w:rFonts w:cs="Arial"/>
          <w:bCs/>
        </w:rPr>
      </w:pPr>
      <w:r>
        <w:rPr>
          <w:rFonts w:cs="Arial"/>
          <w:b/>
        </w:rPr>
        <w:t>15</w:t>
      </w:r>
      <w:r w:rsidRPr="00873E2E">
        <w:rPr>
          <w:rFonts w:cs="Arial"/>
          <w:b/>
        </w:rPr>
        <w:t xml:space="preserve">. Convenio Nº 30 de la OIT: </w:t>
      </w:r>
      <w:r w:rsidRPr="00873E2E">
        <w:rPr>
          <w:rFonts w:cs="Arial"/>
        </w:rPr>
        <w:t xml:space="preserve">Las liquidaciones de horas extras realizadas en el </w:t>
      </w:r>
      <w:r>
        <w:rPr>
          <w:rFonts w:cs="Arial"/>
        </w:rPr>
        <w:t>E</w:t>
      </w:r>
      <w:r w:rsidRPr="00873E2E">
        <w:rPr>
          <w:rFonts w:cs="Arial"/>
        </w:rPr>
        <w:t>jercicio 2015, en algunos casos han superado los límites establecidos por esta norma.</w:t>
      </w:r>
    </w:p>
    <w:p w:rsidR="003A0F9F" w:rsidRPr="00873E2E" w:rsidRDefault="003A0F9F" w:rsidP="00E45A5D">
      <w:pPr>
        <w:widowControl w:val="0"/>
        <w:spacing w:line="360" w:lineRule="auto"/>
        <w:jc w:val="both"/>
        <w:rPr>
          <w:rFonts w:cs="Arial"/>
          <w:b/>
        </w:rPr>
      </w:pPr>
      <w:r>
        <w:rPr>
          <w:rFonts w:cs="Arial"/>
          <w:b/>
        </w:rPr>
        <w:t>16</w:t>
      </w:r>
      <w:r w:rsidRPr="00873E2E">
        <w:rPr>
          <w:rFonts w:cs="Arial"/>
          <w:b/>
        </w:rPr>
        <w:t xml:space="preserve">. Artículo 4 del Decreto de la Junta de Florida Nº 61/08: </w:t>
      </w:r>
      <w:r>
        <w:rPr>
          <w:rFonts w:cs="Arial"/>
        </w:rPr>
        <w:t xml:space="preserve">No se aplicó correctamente en la totalidad de los casos, el </w:t>
      </w:r>
      <w:r w:rsidRPr="00D80421">
        <w:rPr>
          <w:rFonts w:cs="Arial"/>
        </w:rPr>
        <w:t>descuento por buen pagador</w:t>
      </w:r>
      <w:r>
        <w:rPr>
          <w:rFonts w:cs="Arial"/>
        </w:rPr>
        <w:t>, porque no se cumplió la condición establecida en la norma de no registrar atrasos en el pago de los tributos en los dos ejercicios anteriores.</w:t>
      </w:r>
    </w:p>
    <w:p w:rsidR="003A0F9F" w:rsidRPr="003A0EA3" w:rsidRDefault="003A0F9F" w:rsidP="00E45A5D">
      <w:pPr>
        <w:widowControl w:val="0"/>
        <w:tabs>
          <w:tab w:val="left" w:pos="142"/>
          <w:tab w:val="left" w:pos="284"/>
          <w:tab w:val="left" w:pos="851"/>
        </w:tabs>
        <w:spacing w:line="360" w:lineRule="auto"/>
        <w:jc w:val="both"/>
        <w:rPr>
          <w:rFonts w:cs="Arial"/>
        </w:rPr>
      </w:pPr>
      <w:r>
        <w:rPr>
          <w:rFonts w:cs="Arial"/>
          <w:b/>
          <w:bCs/>
        </w:rPr>
        <w:t>17</w:t>
      </w:r>
      <w:r w:rsidRPr="00873E2E">
        <w:rPr>
          <w:rFonts w:cs="Arial"/>
          <w:b/>
          <w:bCs/>
        </w:rPr>
        <w:t>. Ordenanza Nº 62 del Tribunal de Cuentas:</w:t>
      </w:r>
      <w:r w:rsidRPr="00873E2E">
        <w:rPr>
          <w:rFonts w:cs="Arial"/>
        </w:rPr>
        <w:t xml:space="preserve"> La Intendencia promulgó dos Decretos relativos a modificaciones de recursos, sin que el Tribunal de Cuentas se hubiera expedido, no cumpliendo con el procedimiento dispuesto en la citada Ordenanza.</w:t>
      </w:r>
    </w:p>
    <w:p w:rsidR="003A0F9F" w:rsidRDefault="003A0F9F" w:rsidP="00E45A5D">
      <w:pPr>
        <w:widowControl w:val="0"/>
        <w:spacing w:line="360" w:lineRule="auto"/>
        <w:jc w:val="both"/>
        <w:rPr>
          <w:rFonts w:cs="Arial"/>
          <w:color w:val="000000"/>
        </w:rPr>
      </w:pPr>
      <w:r>
        <w:rPr>
          <w:b/>
        </w:rPr>
        <w:t>18</w:t>
      </w:r>
      <w:r w:rsidRPr="00873E2E">
        <w:rPr>
          <w:b/>
        </w:rPr>
        <w:t>. Decreto N° 388/92 y Resolución N° 688/92 de DGI</w:t>
      </w:r>
      <w:r w:rsidRPr="00873E2E">
        <w:rPr>
          <w:rFonts w:cs="Arial"/>
          <w:b/>
          <w:bCs/>
          <w:color w:val="000000"/>
        </w:rPr>
        <w:t>:</w:t>
      </w:r>
      <w:r w:rsidRPr="00873E2E">
        <w:rPr>
          <w:rFonts w:cs="Arial"/>
          <w:color w:val="000000"/>
        </w:rPr>
        <w:t xml:space="preserve"> La mayoría de las compras de balasto efectuadas durante el ejercicio, no contaron con la respectiva documentación oficial que las respaldara.</w:t>
      </w:r>
    </w:p>
    <w:p w:rsidR="003A0F9F" w:rsidRPr="00873E2E" w:rsidRDefault="003A0F9F" w:rsidP="00E45A5D">
      <w:pPr>
        <w:widowControl w:val="0"/>
        <w:spacing w:line="360" w:lineRule="auto"/>
        <w:jc w:val="both"/>
        <w:rPr>
          <w:rFonts w:cs="Arial"/>
          <w:b/>
        </w:rPr>
      </w:pPr>
    </w:p>
    <w:p w:rsidR="003A0F9F" w:rsidRDefault="003A0F9F" w:rsidP="00E45A5D">
      <w:pPr>
        <w:widowControl w:val="0"/>
        <w:spacing w:line="360" w:lineRule="auto"/>
        <w:jc w:val="both"/>
        <w:rPr>
          <w:rFonts w:cs="Arial"/>
          <w:color w:val="FF0000"/>
        </w:rPr>
      </w:pPr>
      <w:r w:rsidRPr="00873E2E">
        <w:rPr>
          <w:rFonts w:cs="Arial"/>
        </w:rPr>
        <w:t>Asimismo, durante el ejercicio se observaron gastos, los que fueron reiterados por el Ordenador y puestos oportunamente en conocimiento de la Junta Departamental, por incumplimiento de las siguientes normas: Artículo 211 Literal B) de la Constitución de la República, Artículo 71 de la Ley Nº 18.083, Ley Nº 19.2</w:t>
      </w:r>
      <w:r>
        <w:rPr>
          <w:rFonts w:cs="Arial"/>
        </w:rPr>
        <w:t>7</w:t>
      </w:r>
      <w:r w:rsidRPr="00873E2E">
        <w:rPr>
          <w:rFonts w:cs="Arial"/>
        </w:rPr>
        <w:t>2, Decreto 597/88, Decreto 199/07, y Artículos 13, 15, 32, 33, 43, 48, 74, 114 del TOCAF.</w:t>
      </w:r>
    </w:p>
    <w:p w:rsidR="003A0F9F" w:rsidRPr="00FC10DF" w:rsidRDefault="003A0F9F" w:rsidP="00E45A5D">
      <w:pPr>
        <w:widowControl w:val="0"/>
        <w:jc w:val="right"/>
        <w:rPr>
          <w:rFonts w:cs="Arial"/>
        </w:rPr>
      </w:pPr>
      <w:r w:rsidRPr="00FC10DF">
        <w:rPr>
          <w:rFonts w:cs="Arial"/>
        </w:rPr>
        <w:t xml:space="preserve">Montevideo, </w:t>
      </w:r>
      <w:r w:rsidR="00C1010F">
        <w:rPr>
          <w:rFonts w:cs="Arial"/>
        </w:rPr>
        <w:t>9 de noviembre de 2016</w:t>
      </w:r>
    </w:p>
    <w:p w:rsidR="003A0F9F" w:rsidRDefault="003A0F9F" w:rsidP="00E45A5D">
      <w:pPr>
        <w:widowControl w:val="0"/>
        <w:rPr>
          <w:rFonts w:cs="Arial"/>
        </w:rPr>
      </w:pPr>
    </w:p>
    <w:p w:rsidR="003A0F9F" w:rsidRDefault="003A0F9F" w:rsidP="00E45A5D">
      <w:pPr>
        <w:widowControl w:val="0"/>
        <w:rPr>
          <w:rFonts w:cs="Arial"/>
        </w:rPr>
      </w:pPr>
    </w:p>
    <w:p w:rsidR="003A0F9F" w:rsidRDefault="003A0F9F" w:rsidP="00E45A5D">
      <w:pPr>
        <w:widowControl w:val="0"/>
        <w:jc w:val="center"/>
        <w:rPr>
          <w:rFonts w:cs="Arial"/>
          <w:b/>
        </w:rPr>
      </w:pPr>
      <w:r>
        <w:rPr>
          <w:rFonts w:cs="Arial"/>
          <w:b/>
        </w:rPr>
        <w:br w:type="page"/>
      </w:r>
    </w:p>
    <w:p w:rsidR="003A0F9F" w:rsidRPr="00961289" w:rsidRDefault="003A0F9F" w:rsidP="00E45A5D">
      <w:pPr>
        <w:widowControl w:val="0"/>
        <w:jc w:val="center"/>
        <w:rPr>
          <w:rFonts w:cs="Arial"/>
          <w:b/>
        </w:rPr>
      </w:pPr>
      <w:r w:rsidRPr="00961289">
        <w:rPr>
          <w:rFonts w:cs="Arial"/>
          <w:b/>
        </w:rPr>
        <w:t>INFORME A LA ADMINISTRACIÓN</w:t>
      </w:r>
    </w:p>
    <w:p w:rsidR="003A0F9F" w:rsidRPr="003F31DC" w:rsidRDefault="003A0F9F" w:rsidP="00E45A5D">
      <w:pPr>
        <w:widowControl w:val="0"/>
        <w:jc w:val="center"/>
        <w:rPr>
          <w:rFonts w:cs="Arial"/>
          <w:b/>
          <w:highlight w:val="yellow"/>
        </w:rPr>
      </w:pPr>
    </w:p>
    <w:p w:rsidR="003A0F9F" w:rsidRPr="004360CF" w:rsidRDefault="003A0F9F" w:rsidP="00E45A5D">
      <w:pPr>
        <w:pStyle w:val="Textoindependiente2"/>
        <w:widowControl w:val="0"/>
        <w:jc w:val="both"/>
        <w:rPr>
          <w:rFonts w:ascii="Arial" w:hAnsi="Arial" w:cs="Arial"/>
          <w:szCs w:val="24"/>
        </w:rPr>
      </w:pPr>
      <w:r w:rsidRPr="004360CF">
        <w:rPr>
          <w:rFonts w:ascii="Arial" w:hAnsi="Arial" w:cs="Arial"/>
          <w:szCs w:val="24"/>
        </w:rPr>
        <w:t>El Tribunal de Cuentas ha examinado la Rendición de Cuentas y Balance de Ejecución Presupuestal de la Intendencia de Florida  correspondientes al ej</w:t>
      </w:r>
      <w:r>
        <w:rPr>
          <w:rFonts w:ascii="Arial" w:hAnsi="Arial" w:cs="Arial"/>
          <w:szCs w:val="24"/>
        </w:rPr>
        <w:t>ercicio finalizado el 31/12/2015</w:t>
      </w:r>
      <w:r w:rsidRPr="004360CF">
        <w:rPr>
          <w:rFonts w:ascii="Arial" w:hAnsi="Arial" w:cs="Arial"/>
          <w:szCs w:val="24"/>
        </w:rPr>
        <w:t xml:space="preserve"> y ha emitido su correspondiente Dictamen.</w:t>
      </w:r>
    </w:p>
    <w:p w:rsidR="003A0F9F" w:rsidRPr="004360CF" w:rsidRDefault="003A0F9F" w:rsidP="00E45A5D">
      <w:pPr>
        <w:pStyle w:val="Textoindependiente2"/>
        <w:widowControl w:val="0"/>
        <w:jc w:val="both"/>
        <w:rPr>
          <w:rFonts w:ascii="Arial" w:hAnsi="Arial" w:cs="Arial"/>
          <w:szCs w:val="24"/>
        </w:rPr>
      </w:pPr>
      <w:r w:rsidRPr="004360CF">
        <w:rPr>
          <w:rFonts w:ascii="Arial" w:hAnsi="Arial" w:cs="Arial"/>
          <w:szCs w:val="24"/>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cumplimiento de las recomendaciones presentadas en el informe de auditoría del ejercicio anterior.</w:t>
      </w:r>
    </w:p>
    <w:p w:rsidR="003A0F9F" w:rsidRDefault="003A0F9F" w:rsidP="00E45A5D">
      <w:pPr>
        <w:pStyle w:val="Ttulo2"/>
        <w:keepNext w:val="0"/>
        <w:widowControl w:val="0"/>
        <w:numPr>
          <w:ilvl w:val="1"/>
          <w:numId w:val="0"/>
        </w:numPr>
        <w:tabs>
          <w:tab w:val="num" w:pos="0"/>
        </w:tabs>
        <w:spacing w:before="0" w:after="0" w:line="360" w:lineRule="auto"/>
        <w:ind w:left="450" w:hanging="450"/>
        <w:jc w:val="both"/>
        <w:rPr>
          <w:bCs w:val="0"/>
          <w:i w:val="0"/>
          <w:iCs w:val="0"/>
          <w:kern w:val="18"/>
          <w:sz w:val="24"/>
          <w:szCs w:val="24"/>
          <w:highlight w:val="yellow"/>
        </w:rPr>
      </w:pPr>
      <w:bookmarkStart w:id="2" w:name="_Toc400023265"/>
    </w:p>
    <w:p w:rsidR="003A0F9F" w:rsidRDefault="003A0F9F" w:rsidP="00E45A5D">
      <w:pPr>
        <w:pStyle w:val="Textoindependiente"/>
        <w:widowControl w:val="0"/>
        <w:suppressAutoHyphens w:val="0"/>
        <w:spacing w:after="0" w:line="360" w:lineRule="auto"/>
        <w:rPr>
          <w:rFonts w:cs="Arial"/>
          <w:b/>
          <w:kern w:val="0"/>
          <w:szCs w:val="24"/>
          <w:lang w:val="es-ES"/>
        </w:rPr>
      </w:pPr>
      <w:r>
        <w:rPr>
          <w:rFonts w:cs="Arial"/>
          <w:b/>
          <w:kern w:val="0"/>
          <w:szCs w:val="24"/>
          <w:lang w:val="es-ES"/>
        </w:rPr>
        <w:t xml:space="preserve">1. </w:t>
      </w:r>
      <w:r w:rsidRPr="00316A91">
        <w:rPr>
          <w:rFonts w:cs="Arial"/>
          <w:b/>
          <w:kern w:val="0"/>
          <w:szCs w:val="24"/>
          <w:lang w:val="es-ES"/>
        </w:rPr>
        <w:t xml:space="preserve">CONSTATACIONES QUE </w:t>
      </w:r>
      <w:r>
        <w:rPr>
          <w:rFonts w:cs="Arial"/>
          <w:b/>
          <w:kern w:val="0"/>
          <w:szCs w:val="24"/>
          <w:lang w:val="es-ES"/>
        </w:rPr>
        <w:t xml:space="preserve">AFECTAN </w:t>
      </w:r>
      <w:r w:rsidRPr="00316A91">
        <w:rPr>
          <w:rFonts w:cs="Arial"/>
          <w:b/>
          <w:kern w:val="0"/>
          <w:szCs w:val="24"/>
          <w:lang w:val="es-ES"/>
        </w:rPr>
        <w:t>L</w:t>
      </w:r>
      <w:r>
        <w:rPr>
          <w:rFonts w:cs="Arial"/>
          <w:b/>
          <w:kern w:val="0"/>
          <w:szCs w:val="24"/>
          <w:lang w:val="es-ES"/>
        </w:rPr>
        <w:t>A</w:t>
      </w:r>
      <w:r w:rsidRPr="00316A91">
        <w:rPr>
          <w:rFonts w:cs="Arial"/>
          <w:b/>
          <w:kern w:val="0"/>
          <w:szCs w:val="24"/>
          <w:lang w:val="es-ES"/>
        </w:rPr>
        <w:t xml:space="preserve"> OPINIÓN</w:t>
      </w:r>
    </w:p>
    <w:p w:rsidR="003A0F9F" w:rsidRPr="00316A91" w:rsidRDefault="003A0F9F" w:rsidP="00E45A5D">
      <w:pPr>
        <w:pStyle w:val="Textoindependiente"/>
        <w:widowControl w:val="0"/>
        <w:suppressAutoHyphens w:val="0"/>
        <w:spacing w:after="0" w:line="360" w:lineRule="auto"/>
        <w:ind w:left="720"/>
        <w:rPr>
          <w:rFonts w:cs="Arial"/>
          <w:b/>
          <w:kern w:val="0"/>
          <w:szCs w:val="24"/>
          <w:lang w:val="es-ES"/>
        </w:rPr>
      </w:pPr>
    </w:p>
    <w:p w:rsidR="003A0F9F" w:rsidRDefault="003A0F9F" w:rsidP="00E45A5D">
      <w:pPr>
        <w:widowControl w:val="0"/>
        <w:rPr>
          <w:b/>
        </w:rPr>
      </w:pPr>
      <w:r w:rsidRPr="004C6EC0">
        <w:rPr>
          <w:b/>
        </w:rPr>
        <w:t>Ajustes al Resultado del eje</w:t>
      </w:r>
      <w:r w:rsidR="001A70F0">
        <w:rPr>
          <w:b/>
        </w:rPr>
        <w:t>rcicio y al Resultado acumulado</w:t>
      </w:r>
    </w:p>
    <w:p w:rsidR="003A0F9F" w:rsidRPr="004C6EC0" w:rsidRDefault="003A0F9F" w:rsidP="00E45A5D">
      <w:pPr>
        <w:widowControl w:val="0"/>
        <w:rPr>
          <w:b/>
        </w:rPr>
      </w:pPr>
    </w:p>
    <w:p w:rsidR="003A0F9F" w:rsidRDefault="003A0F9F" w:rsidP="00E45A5D">
      <w:pPr>
        <w:widowControl w:val="0"/>
        <w:spacing w:line="360" w:lineRule="auto"/>
        <w:jc w:val="both"/>
        <w:rPr>
          <w:rFonts w:cs="Arial"/>
        </w:rPr>
      </w:pPr>
      <w:r>
        <w:rPr>
          <w:rFonts w:cs="Arial"/>
        </w:rPr>
        <w:t>El déficit acumulado de acuerdo a la Rendición de Cuentas del ejercicio</w:t>
      </w:r>
      <w:r w:rsidRPr="00B97B39">
        <w:rPr>
          <w:rFonts w:cs="Arial"/>
        </w:rPr>
        <w:t xml:space="preserve"> 2014 </w:t>
      </w:r>
      <w:r>
        <w:rPr>
          <w:rFonts w:cs="Arial"/>
        </w:rPr>
        <w:t>ascendió a $ 372:349.767, y el expuesto en el documento del 2015 es de            $ 416:544.272, mientras que el Resultado del Ejercicio 2015 expuesto en el mismo documento, fue de $ 3:612.293 de pérdida.</w:t>
      </w:r>
    </w:p>
    <w:p w:rsidR="003A0F9F" w:rsidRDefault="003A0F9F" w:rsidP="00E45A5D">
      <w:pPr>
        <w:widowControl w:val="0"/>
        <w:spacing w:line="360" w:lineRule="auto"/>
        <w:jc w:val="both"/>
        <w:rPr>
          <w:rFonts w:cs="Arial"/>
        </w:rPr>
      </w:pPr>
      <w:r>
        <w:rPr>
          <w:rFonts w:cs="Arial"/>
        </w:rPr>
        <w:t>De la diferencia señalada, $ 9:929.133 fueron correctamente explicados en las “Notas a los Estados Contables” incluidas en el Documento de la Rendición de Cuentas, en las que se explicita que se formularon ajustes al Resultado Acumulado del 2014 correspondientes a Obligaciones Presupuestales Impagas, a Fondos Extrapresupuestales y a Convenios. Por lo expuesto el Resultado acumulado al 31/12/2014 aju</w:t>
      </w:r>
      <w:r w:rsidR="00F92A6E">
        <w:rPr>
          <w:rFonts w:cs="Arial"/>
        </w:rPr>
        <w:t>stado asciende a $ 382:278.900.</w:t>
      </w:r>
    </w:p>
    <w:p w:rsidR="003A0F9F" w:rsidRDefault="003A0F9F" w:rsidP="00E45A5D">
      <w:pPr>
        <w:widowControl w:val="0"/>
        <w:spacing w:line="360" w:lineRule="auto"/>
        <w:jc w:val="both"/>
        <w:rPr>
          <w:rFonts w:cs="Arial"/>
        </w:rPr>
      </w:pPr>
      <w:r>
        <w:rPr>
          <w:rFonts w:cs="Arial"/>
        </w:rPr>
        <w:t xml:space="preserve">Asimismo, se constató que las deudas por Obligaciones Presupuestales Impagas, y las correspondientes a Convenios en UI y en dólares, fueron correctamente </w:t>
      </w:r>
      <w:proofErr w:type="spellStart"/>
      <w:r>
        <w:rPr>
          <w:rFonts w:cs="Arial"/>
        </w:rPr>
        <w:t>reexpresadas</w:t>
      </w:r>
      <w:proofErr w:type="spellEnd"/>
      <w:r>
        <w:rPr>
          <w:rFonts w:cs="Arial"/>
        </w:rPr>
        <w:t xml:space="preserve"> a la cotización al 31/12/2015, por lo que, los saldos a pagar que forman parte de la determinación del déficit acumulado fueron los ajustados a la cotización de cierre del ejercicio. No obstante, si bien en los respectivos cuadros de la Rendición de Cuentas, se presentan las diferencias de cambio perdidas, las mismas no fueron imputadas presupuestalmente a objetos de gastos ni se consideraron para la determinación del Resultado del ejercicio, por lo que el mismo se encuentra subval</w:t>
      </w:r>
      <w:r w:rsidR="00F92A6E">
        <w:rPr>
          <w:rFonts w:cs="Arial"/>
        </w:rPr>
        <w:t>uado en $ 36:006.790.</w:t>
      </w:r>
    </w:p>
    <w:p w:rsidR="003A0F9F" w:rsidRDefault="003A0F9F" w:rsidP="00E45A5D">
      <w:pPr>
        <w:widowControl w:val="0"/>
        <w:spacing w:line="360" w:lineRule="auto"/>
        <w:jc w:val="both"/>
        <w:rPr>
          <w:rFonts w:cs="Arial"/>
        </w:rPr>
      </w:pPr>
      <w:r>
        <w:rPr>
          <w:rFonts w:cs="Arial"/>
        </w:rPr>
        <w:t xml:space="preserve">Respecto de la determinación del Déficit Acumulado, se incluyeron integrando parte del Activo, documentos a cobrar por $ 5:353.711 correspondientes a </w:t>
      </w:r>
      <w:proofErr w:type="spellStart"/>
      <w:r>
        <w:rPr>
          <w:rFonts w:cs="Arial"/>
        </w:rPr>
        <w:t>vouchers</w:t>
      </w:r>
      <w:proofErr w:type="spellEnd"/>
      <w:r>
        <w:rPr>
          <w:rFonts w:cs="Arial"/>
        </w:rPr>
        <w:t xml:space="preserve"> de tarjetas de créditos y cheques diferidos a cobrar. El mismo importe fue excluido de lo recaudado en el ejercicio, dando cumplimiento a lo dispuesto en el Artículo 12 del TOCAF pero, al no ser dados de baja del Activo, explican parte de las diferencias a las que se hace referencia en el p</w:t>
      </w:r>
      <w:r w:rsidR="00F92A6E">
        <w:rPr>
          <w:rFonts w:cs="Arial"/>
        </w:rPr>
        <w:t>rimer párrafo de este apartado.</w:t>
      </w:r>
    </w:p>
    <w:p w:rsidR="003A0F9F" w:rsidRDefault="003A0F9F" w:rsidP="00E45A5D">
      <w:pPr>
        <w:widowControl w:val="0"/>
        <w:spacing w:line="360" w:lineRule="auto"/>
        <w:jc w:val="both"/>
        <w:rPr>
          <w:rFonts w:cs="Arial"/>
        </w:rPr>
      </w:pPr>
      <w:r>
        <w:rPr>
          <w:rFonts w:cs="Arial"/>
        </w:rPr>
        <w:t>Por lo expuesto, el resultado del Ejercicio 2015 ajustado asciende a                               $ 39:619.083 de déficit, y el déficit acumulado al 31/12/2015 asciende a                         $ 421:897.983 de acuerdo al siguiente detalle:</w:t>
      </w:r>
    </w:p>
    <w:p w:rsidR="003A0F9F" w:rsidRPr="003004D4" w:rsidRDefault="003A0F9F" w:rsidP="00E45A5D">
      <w:pPr>
        <w:widowControl w:val="0"/>
        <w:rPr>
          <w:highlight w:val="yellow"/>
        </w:rPr>
      </w:pPr>
    </w:p>
    <w:tbl>
      <w:tblPr>
        <w:tblW w:w="8706" w:type="dxa"/>
        <w:tblInd w:w="55" w:type="dxa"/>
        <w:tblCellMar>
          <w:left w:w="70" w:type="dxa"/>
          <w:right w:w="70" w:type="dxa"/>
        </w:tblCellMar>
        <w:tblLook w:val="04A0" w:firstRow="1" w:lastRow="0" w:firstColumn="1" w:lastColumn="0" w:noHBand="0" w:noVBand="1"/>
      </w:tblPr>
      <w:tblGrid>
        <w:gridCol w:w="5969"/>
        <w:gridCol w:w="2737"/>
      </w:tblGrid>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Resultado del ejercicio 2015</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3.612.293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Ajustes al Resultado del ejercicio (</w:t>
            </w:r>
            <w:proofErr w:type="spellStart"/>
            <w:r w:rsidRPr="003004D4">
              <w:rPr>
                <w:rFonts w:ascii="Calibri" w:hAnsi="Calibri" w:cs="Calibri"/>
                <w:color w:val="000000"/>
                <w:sz w:val="22"/>
                <w:szCs w:val="22"/>
              </w:rPr>
              <w:t>dif</w:t>
            </w:r>
            <w:proofErr w:type="spellEnd"/>
            <w:r w:rsidRPr="003004D4">
              <w:rPr>
                <w:rFonts w:ascii="Calibri" w:hAnsi="Calibri" w:cs="Calibri"/>
                <w:color w:val="000000"/>
                <w:sz w:val="22"/>
                <w:szCs w:val="22"/>
              </w:rPr>
              <w:t xml:space="preserve"> de cambio perdidas)</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36.006.790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Resultado del ejercicio 2015 ajustado</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39.619.083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Resultados Acumulados al 31/12/14</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372.349.767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 xml:space="preserve">Ajustes al saldo inicial de Res. </w:t>
            </w:r>
            <w:r>
              <w:rPr>
                <w:rFonts w:ascii="Calibri" w:hAnsi="Calibri" w:cs="Calibri"/>
                <w:color w:val="000000"/>
                <w:sz w:val="22"/>
                <w:szCs w:val="22"/>
              </w:rPr>
              <w:t xml:space="preserve"> </w:t>
            </w:r>
            <w:proofErr w:type="spellStart"/>
            <w:r w:rsidRPr="003004D4">
              <w:rPr>
                <w:rFonts w:ascii="Calibri" w:hAnsi="Calibri" w:cs="Calibri"/>
                <w:color w:val="000000"/>
                <w:sz w:val="22"/>
                <w:szCs w:val="22"/>
              </w:rPr>
              <w:t>Acum</w:t>
            </w:r>
            <w:proofErr w:type="spellEnd"/>
            <w:r w:rsidRPr="003004D4">
              <w:rPr>
                <w:rFonts w:ascii="Calibri" w:hAnsi="Calibri" w:cs="Calibri"/>
                <w:color w:val="000000"/>
                <w:sz w:val="22"/>
                <w:szCs w:val="22"/>
              </w:rPr>
              <w:t xml:space="preserve"> 2014</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9.929.133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proofErr w:type="spellStart"/>
            <w:r w:rsidRPr="003004D4">
              <w:rPr>
                <w:rFonts w:ascii="Calibri" w:hAnsi="Calibri" w:cs="Calibri"/>
                <w:color w:val="000000"/>
                <w:sz w:val="22"/>
                <w:szCs w:val="22"/>
              </w:rPr>
              <w:t>Result</w:t>
            </w:r>
            <w:proofErr w:type="spellEnd"/>
            <w:r w:rsidRPr="003004D4">
              <w:rPr>
                <w:rFonts w:ascii="Calibri" w:hAnsi="Calibri" w:cs="Calibri"/>
                <w:color w:val="000000"/>
                <w:sz w:val="22"/>
                <w:szCs w:val="22"/>
              </w:rPr>
              <w:t xml:space="preserve"> </w:t>
            </w:r>
            <w:r>
              <w:rPr>
                <w:rFonts w:ascii="Calibri" w:hAnsi="Calibri" w:cs="Calibri"/>
                <w:color w:val="000000"/>
                <w:sz w:val="22"/>
                <w:szCs w:val="22"/>
              </w:rPr>
              <w:t xml:space="preserve"> </w:t>
            </w:r>
            <w:proofErr w:type="spellStart"/>
            <w:r w:rsidRPr="003004D4">
              <w:rPr>
                <w:rFonts w:ascii="Calibri" w:hAnsi="Calibri" w:cs="Calibri"/>
                <w:color w:val="000000"/>
                <w:sz w:val="22"/>
                <w:szCs w:val="22"/>
              </w:rPr>
              <w:t>Acumul</w:t>
            </w:r>
            <w:proofErr w:type="spellEnd"/>
            <w:r w:rsidRPr="003004D4">
              <w:rPr>
                <w:rFonts w:ascii="Calibri" w:hAnsi="Calibri" w:cs="Calibri"/>
                <w:color w:val="000000"/>
                <w:sz w:val="22"/>
                <w:szCs w:val="22"/>
              </w:rPr>
              <w:t xml:space="preserve"> al 31/12/14 ajustado</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382.278.900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Resultado del ejercicio ajustado</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39.619.083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Resultado acumulado al 31/12/2015 ajustado</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421.897.983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 xml:space="preserve">Resultado acumulado al 31/12/2015 </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416.544.272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Ajuste por documentos al cobro</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5.353.711   </w:t>
            </w:r>
          </w:p>
        </w:tc>
      </w:tr>
      <w:tr w:rsidR="003A0F9F" w:rsidRPr="003004D4" w:rsidTr="003A0F9F">
        <w:trPr>
          <w:trHeight w:val="300"/>
        </w:trPr>
        <w:tc>
          <w:tcPr>
            <w:tcW w:w="5969" w:type="dxa"/>
            <w:tcBorders>
              <w:top w:val="nil"/>
              <w:left w:val="nil"/>
              <w:bottom w:val="nil"/>
              <w:right w:val="nil"/>
            </w:tcBorders>
            <w:shd w:val="clear" w:color="auto" w:fill="auto"/>
            <w:noWrap/>
            <w:vAlign w:val="bottom"/>
            <w:hideMark/>
          </w:tcPr>
          <w:p w:rsidR="003A0F9F" w:rsidRPr="003004D4" w:rsidRDefault="003A0F9F" w:rsidP="00E45A5D">
            <w:pPr>
              <w:widowControl w:val="0"/>
              <w:rPr>
                <w:rFonts w:ascii="Calibri" w:hAnsi="Calibri" w:cs="Calibri"/>
                <w:color w:val="000000"/>
                <w:sz w:val="22"/>
                <w:szCs w:val="22"/>
              </w:rPr>
            </w:pPr>
            <w:r w:rsidRPr="003004D4">
              <w:rPr>
                <w:rFonts w:ascii="Calibri" w:hAnsi="Calibri" w:cs="Calibri"/>
                <w:color w:val="000000"/>
                <w:sz w:val="22"/>
                <w:szCs w:val="22"/>
              </w:rPr>
              <w:t>Resultado acumulado al 31/12/2015 ajustado</w:t>
            </w:r>
          </w:p>
        </w:tc>
        <w:tc>
          <w:tcPr>
            <w:tcW w:w="2737" w:type="dxa"/>
            <w:tcBorders>
              <w:top w:val="nil"/>
              <w:left w:val="nil"/>
              <w:bottom w:val="nil"/>
              <w:right w:val="nil"/>
            </w:tcBorders>
            <w:shd w:val="clear" w:color="auto" w:fill="auto"/>
            <w:noWrap/>
            <w:vAlign w:val="bottom"/>
            <w:hideMark/>
          </w:tcPr>
          <w:p w:rsidR="003A0F9F" w:rsidRPr="003004D4" w:rsidRDefault="003A0F9F" w:rsidP="00E45A5D">
            <w:pPr>
              <w:widowControl w:val="0"/>
              <w:jc w:val="right"/>
              <w:rPr>
                <w:rFonts w:ascii="Calibri" w:hAnsi="Calibri" w:cs="Calibri"/>
                <w:color w:val="000000"/>
                <w:sz w:val="22"/>
                <w:szCs w:val="22"/>
              </w:rPr>
            </w:pPr>
            <w:r w:rsidRPr="003004D4">
              <w:rPr>
                <w:rFonts w:ascii="Calibri" w:hAnsi="Calibri" w:cs="Calibri"/>
                <w:color w:val="000000"/>
                <w:sz w:val="22"/>
                <w:szCs w:val="22"/>
              </w:rPr>
              <w:t xml:space="preserve">-     421.897.983   </w:t>
            </w:r>
          </w:p>
        </w:tc>
      </w:tr>
    </w:tbl>
    <w:p w:rsidR="003A0F9F" w:rsidRDefault="003A0F9F" w:rsidP="00E45A5D">
      <w:pPr>
        <w:widowControl w:val="0"/>
        <w:rPr>
          <w:highlight w:val="yellow"/>
        </w:rPr>
      </w:pPr>
    </w:p>
    <w:p w:rsidR="003A0F9F" w:rsidRDefault="003A0F9F" w:rsidP="00E45A5D">
      <w:pPr>
        <w:widowControl w:val="0"/>
        <w:rPr>
          <w:highlight w:val="yellow"/>
        </w:rPr>
      </w:pPr>
    </w:p>
    <w:p w:rsidR="003A0F9F" w:rsidRPr="00316A91" w:rsidRDefault="003A0F9F" w:rsidP="00E45A5D">
      <w:pPr>
        <w:pStyle w:val="Textoindependiente"/>
        <w:widowControl w:val="0"/>
        <w:suppressAutoHyphens w:val="0"/>
        <w:spacing w:after="0" w:line="360" w:lineRule="auto"/>
        <w:rPr>
          <w:rFonts w:cs="Arial"/>
          <w:b/>
          <w:kern w:val="0"/>
          <w:szCs w:val="24"/>
          <w:lang w:val="es-ES"/>
        </w:rPr>
      </w:pPr>
      <w:r>
        <w:rPr>
          <w:rFonts w:cs="Arial"/>
          <w:b/>
          <w:kern w:val="0"/>
          <w:szCs w:val="24"/>
          <w:lang w:val="es-ES"/>
        </w:rPr>
        <w:t>2.</w:t>
      </w:r>
      <w:r w:rsidRPr="00316A91">
        <w:rPr>
          <w:rFonts w:cs="Arial"/>
          <w:b/>
          <w:kern w:val="0"/>
          <w:szCs w:val="24"/>
          <w:lang w:val="es-ES"/>
        </w:rPr>
        <w:t xml:space="preserve"> </w:t>
      </w:r>
      <w:bookmarkEnd w:id="2"/>
      <w:r>
        <w:rPr>
          <w:rFonts w:cs="Arial"/>
          <w:b/>
          <w:kern w:val="0"/>
          <w:szCs w:val="24"/>
          <w:lang w:val="es-ES"/>
        </w:rPr>
        <w:t xml:space="preserve">CONSTATACIONES QUE NO AFECTAN </w:t>
      </w:r>
      <w:r w:rsidRPr="00316A91">
        <w:rPr>
          <w:rFonts w:cs="Arial"/>
          <w:b/>
          <w:kern w:val="0"/>
          <w:szCs w:val="24"/>
          <w:lang w:val="es-ES"/>
        </w:rPr>
        <w:t>L</w:t>
      </w:r>
      <w:r>
        <w:rPr>
          <w:rFonts w:cs="Arial"/>
          <w:b/>
          <w:kern w:val="0"/>
          <w:szCs w:val="24"/>
          <w:lang w:val="es-ES"/>
        </w:rPr>
        <w:t>A</w:t>
      </w:r>
      <w:r w:rsidRPr="00316A91">
        <w:rPr>
          <w:rFonts w:cs="Arial"/>
          <w:b/>
          <w:kern w:val="0"/>
          <w:szCs w:val="24"/>
          <w:lang w:val="es-ES"/>
        </w:rPr>
        <w:t xml:space="preserve"> OPINIÓN</w:t>
      </w:r>
    </w:p>
    <w:p w:rsidR="003A0F9F" w:rsidRDefault="003A0F9F" w:rsidP="00E45A5D">
      <w:pPr>
        <w:widowControl w:val="0"/>
        <w:rPr>
          <w:rFonts w:cs="Arial"/>
          <w:bCs/>
        </w:rPr>
      </w:pPr>
    </w:p>
    <w:p w:rsidR="00F92A6E" w:rsidRDefault="00F92A6E" w:rsidP="00E45A5D">
      <w:pPr>
        <w:widowControl w:val="0"/>
        <w:rPr>
          <w:rFonts w:cs="Arial"/>
          <w:bCs/>
        </w:rPr>
      </w:pPr>
    </w:p>
    <w:p w:rsidR="001A70F0" w:rsidRPr="00944F51" w:rsidRDefault="001A70F0" w:rsidP="00E45A5D">
      <w:pPr>
        <w:widowControl w:val="0"/>
        <w:rPr>
          <w:rFonts w:cs="Arial"/>
          <w:bCs/>
        </w:rPr>
      </w:pPr>
    </w:p>
    <w:p w:rsidR="003A0F9F" w:rsidRDefault="003A0F9F" w:rsidP="001A70F0">
      <w:pPr>
        <w:widowControl w:val="0"/>
        <w:spacing w:line="360" w:lineRule="auto"/>
        <w:jc w:val="both"/>
        <w:rPr>
          <w:color w:val="000000"/>
        </w:rPr>
      </w:pPr>
      <w:r>
        <w:rPr>
          <w:b/>
          <w:color w:val="000000"/>
        </w:rPr>
        <w:t>2.1 Fideicomiso Financiero (Artículo 301 de la Constitución de la República)</w:t>
      </w:r>
    </w:p>
    <w:p w:rsidR="003A0F9F" w:rsidRPr="00873E2E" w:rsidRDefault="003A0F9F" w:rsidP="001A70F0">
      <w:pPr>
        <w:widowControl w:val="0"/>
        <w:spacing w:line="360" w:lineRule="auto"/>
        <w:jc w:val="both"/>
        <w:rPr>
          <w:rFonts w:cs="Arial"/>
        </w:rPr>
      </w:pPr>
      <w:r w:rsidRPr="00873E2E">
        <w:rPr>
          <w:color w:val="000000"/>
        </w:rPr>
        <w:t>Por Resolución del 02/10/2015, la Junta Departamental autorizó a la Intendencia a suscribir un fideicomiso financiero</w:t>
      </w:r>
      <w:r w:rsidRPr="00873E2E">
        <w:rPr>
          <w:rFonts w:cs="Arial"/>
        </w:rPr>
        <w:t xml:space="preserve"> para la realización de obras viales y de infraestructura en el departamento. El 30/12/2015 se suscribió el contrato correspondiente c</w:t>
      </w:r>
      <w:r>
        <w:rPr>
          <w:rFonts w:cs="Arial"/>
        </w:rPr>
        <w:t>on AFISA por un monto de UI 158:</w:t>
      </w:r>
      <w:r w:rsidRPr="00873E2E">
        <w:rPr>
          <w:rFonts w:cs="Arial"/>
        </w:rPr>
        <w:t>870.000. En el documento de la Rendición de Cuentas, no se incluye el referido fideico</w:t>
      </w:r>
      <w:r>
        <w:rPr>
          <w:rFonts w:cs="Arial"/>
        </w:rPr>
        <w:t>miso.</w:t>
      </w:r>
      <w:r w:rsidRPr="00873E2E">
        <w:rPr>
          <w:rFonts w:cs="Arial"/>
        </w:rPr>
        <w:t xml:space="preserve"> </w:t>
      </w:r>
      <w:r>
        <w:rPr>
          <w:rFonts w:cs="Arial"/>
        </w:rPr>
        <w:t>N</w:t>
      </w:r>
      <w:r w:rsidRPr="00873E2E">
        <w:rPr>
          <w:rFonts w:cs="Arial"/>
        </w:rPr>
        <w:t xml:space="preserve">o obstante, </w:t>
      </w:r>
      <w:r>
        <w:rPr>
          <w:rFonts w:cs="Arial"/>
        </w:rPr>
        <w:t xml:space="preserve">el mismo </w:t>
      </w:r>
      <w:r w:rsidRPr="00873E2E">
        <w:rPr>
          <w:rFonts w:cs="Arial"/>
        </w:rPr>
        <w:t>no afecta la determinación del déficit acumulado</w:t>
      </w:r>
      <w:r>
        <w:rPr>
          <w:rFonts w:cs="Arial"/>
        </w:rPr>
        <w:t xml:space="preserve"> ya que se debería incluir el mismo importe como Activo y como Pasivo</w:t>
      </w:r>
      <w:r w:rsidRPr="00873E2E">
        <w:rPr>
          <w:rFonts w:cs="Arial"/>
        </w:rPr>
        <w:t>.</w:t>
      </w:r>
    </w:p>
    <w:p w:rsidR="003A0F9F" w:rsidRPr="00873E2E" w:rsidRDefault="003A0F9F" w:rsidP="00E45A5D">
      <w:pPr>
        <w:widowControl w:val="0"/>
        <w:spacing w:line="360" w:lineRule="auto"/>
        <w:jc w:val="both"/>
        <w:rPr>
          <w:rFonts w:cs="Arial"/>
          <w:iCs/>
          <w:color w:val="000000"/>
        </w:rPr>
      </w:pPr>
      <w:r w:rsidRPr="00873E2E">
        <w:rPr>
          <w:rFonts w:cs="Arial"/>
        </w:rPr>
        <w:t xml:space="preserve">Asimismo, corresponde señalar que por </w:t>
      </w:r>
      <w:r w:rsidRPr="00873E2E">
        <w:rPr>
          <w:rFonts w:cs="Arial"/>
          <w:iCs/>
          <w:color w:val="000000"/>
        </w:rPr>
        <w:t xml:space="preserve">Resolución del 12/11/2015, el Tribunal de Cuentas observó el procedimiento </w:t>
      </w:r>
      <w:r>
        <w:rPr>
          <w:rFonts w:cs="Arial"/>
          <w:iCs/>
          <w:color w:val="000000"/>
        </w:rPr>
        <w:t>seguido porque,</w:t>
      </w:r>
      <w:r w:rsidRPr="00873E2E">
        <w:rPr>
          <w:rFonts w:cs="Arial"/>
          <w:iCs/>
          <w:color w:val="000000"/>
        </w:rPr>
        <w:t xml:space="preserve"> si bien </w:t>
      </w:r>
      <w:r>
        <w:rPr>
          <w:rFonts w:cs="Arial"/>
          <w:iCs/>
          <w:color w:val="000000"/>
        </w:rPr>
        <w:t xml:space="preserve">se </w:t>
      </w:r>
      <w:r w:rsidRPr="00873E2E">
        <w:rPr>
          <w:rFonts w:cs="Arial"/>
          <w:iCs/>
          <w:color w:val="000000"/>
        </w:rPr>
        <w:t xml:space="preserve">cumplió con la mayoría exigida para su autorización, la anuencia </w:t>
      </w:r>
      <w:r>
        <w:rPr>
          <w:rFonts w:cs="Arial"/>
          <w:iCs/>
          <w:color w:val="000000"/>
        </w:rPr>
        <w:t xml:space="preserve">fue concedida </w:t>
      </w:r>
      <w:r w:rsidRPr="00873E2E">
        <w:rPr>
          <w:rFonts w:cs="Arial"/>
          <w:iCs/>
          <w:color w:val="000000"/>
        </w:rPr>
        <w:t xml:space="preserve">por parte de la Junta Departamental en forma previa al informe que compete a este Tribunal, por lo que </w:t>
      </w:r>
      <w:r>
        <w:rPr>
          <w:rFonts w:cs="Arial"/>
          <w:iCs/>
          <w:color w:val="000000"/>
        </w:rPr>
        <w:t>lo actuado por el Gobierno Departamental</w:t>
      </w:r>
      <w:r w:rsidRPr="00873E2E">
        <w:rPr>
          <w:rFonts w:cs="Arial"/>
          <w:iCs/>
          <w:color w:val="000000"/>
        </w:rPr>
        <w:t xml:space="preserve"> no se ajustó a lo previsto en el Artículo 301 de la Constitución de la República</w:t>
      </w:r>
      <w:r w:rsidR="00F92A6E">
        <w:rPr>
          <w:rFonts w:cs="Arial"/>
          <w:iCs/>
          <w:color w:val="000000"/>
        </w:rPr>
        <w:t>.</w:t>
      </w:r>
    </w:p>
    <w:p w:rsidR="003A0F9F" w:rsidRPr="00873E2E" w:rsidRDefault="003A0F9F" w:rsidP="00E45A5D">
      <w:pPr>
        <w:widowControl w:val="0"/>
        <w:spacing w:line="360" w:lineRule="auto"/>
        <w:jc w:val="both"/>
        <w:rPr>
          <w:rFonts w:cs="Arial"/>
        </w:rPr>
      </w:pPr>
    </w:p>
    <w:p w:rsidR="003A0F9F" w:rsidRPr="00873E2E" w:rsidRDefault="003A0F9F" w:rsidP="00E45A5D">
      <w:pPr>
        <w:widowControl w:val="0"/>
        <w:spacing w:line="360" w:lineRule="auto"/>
        <w:jc w:val="both"/>
        <w:rPr>
          <w:rFonts w:cs="Arial"/>
          <w:b/>
        </w:rPr>
      </w:pPr>
      <w:r>
        <w:rPr>
          <w:rFonts w:cs="Arial"/>
          <w:b/>
        </w:rPr>
        <w:t>2</w:t>
      </w:r>
      <w:r w:rsidRPr="00873E2E">
        <w:rPr>
          <w:rFonts w:cs="Arial"/>
          <w:b/>
        </w:rPr>
        <w:t>.2 Estado 3.5 “Compromisos de inversión no ejecutados al cierre”</w:t>
      </w:r>
    </w:p>
    <w:p w:rsidR="003A0F9F" w:rsidRPr="00E06948" w:rsidRDefault="003A0F9F" w:rsidP="00E45A5D">
      <w:pPr>
        <w:widowControl w:val="0"/>
        <w:spacing w:line="360" w:lineRule="auto"/>
        <w:jc w:val="both"/>
        <w:rPr>
          <w:rFonts w:cs="Arial"/>
        </w:rPr>
      </w:pPr>
      <w:r w:rsidRPr="00873E2E">
        <w:rPr>
          <w:rFonts w:cs="Arial"/>
        </w:rPr>
        <w:t>En el referido estado, no se incluyeron las siguientes inversiones comprometidas y no ejecutadas:</w:t>
      </w:r>
    </w:p>
    <w:p w:rsidR="003A0F9F" w:rsidRDefault="003A0F9F" w:rsidP="00E45A5D">
      <w:pPr>
        <w:widowControl w:val="0"/>
        <w:autoSpaceDE w:val="0"/>
        <w:autoSpaceDN w:val="0"/>
        <w:adjustRightInd w:val="0"/>
        <w:rPr>
          <w:rFonts w:cs="Arial"/>
          <w:b/>
          <w:bCs/>
        </w:rPr>
      </w:pPr>
    </w:p>
    <w:tbl>
      <w:tblPr>
        <w:tblW w:w="8918" w:type="dxa"/>
        <w:tblInd w:w="55" w:type="dxa"/>
        <w:tblCellMar>
          <w:left w:w="70" w:type="dxa"/>
          <w:right w:w="70" w:type="dxa"/>
        </w:tblCellMar>
        <w:tblLook w:val="04A0" w:firstRow="1" w:lastRow="0" w:firstColumn="1" w:lastColumn="0" w:noHBand="0" w:noVBand="1"/>
      </w:tblPr>
      <w:tblGrid>
        <w:gridCol w:w="1074"/>
        <w:gridCol w:w="784"/>
        <w:gridCol w:w="4678"/>
        <w:gridCol w:w="1276"/>
        <w:gridCol w:w="1106"/>
      </w:tblGrid>
      <w:tr w:rsidR="003A0F9F" w:rsidRPr="00B7347C" w:rsidTr="003A0F9F">
        <w:trPr>
          <w:trHeight w:val="300"/>
        </w:trPr>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0F9F" w:rsidRPr="00B7347C" w:rsidRDefault="003A0F9F" w:rsidP="00E45A5D">
            <w:pPr>
              <w:widowControl w:val="0"/>
              <w:jc w:val="center"/>
              <w:rPr>
                <w:rFonts w:cs="Arial"/>
                <w:b/>
                <w:bCs/>
                <w:sz w:val="20"/>
              </w:rPr>
            </w:pPr>
            <w:r w:rsidRPr="00B7347C">
              <w:rPr>
                <w:rFonts w:cs="Arial"/>
                <w:b/>
                <w:bCs/>
                <w:sz w:val="20"/>
              </w:rPr>
              <w:t>Programa</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0F9F" w:rsidRPr="00B7347C" w:rsidRDefault="003A0F9F" w:rsidP="00E45A5D">
            <w:pPr>
              <w:widowControl w:val="0"/>
              <w:jc w:val="center"/>
              <w:rPr>
                <w:rFonts w:cs="Arial"/>
                <w:b/>
                <w:bCs/>
                <w:sz w:val="20"/>
              </w:rPr>
            </w:pPr>
            <w:r w:rsidRPr="00B7347C">
              <w:rPr>
                <w:rFonts w:cs="Arial"/>
                <w:b/>
                <w:bCs/>
                <w:sz w:val="20"/>
              </w:rPr>
              <w:t>Objeto</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0F9F" w:rsidRPr="00B7347C" w:rsidRDefault="003A0F9F" w:rsidP="00E45A5D">
            <w:pPr>
              <w:widowControl w:val="0"/>
              <w:jc w:val="center"/>
              <w:rPr>
                <w:rFonts w:cs="Arial"/>
                <w:b/>
                <w:bCs/>
                <w:sz w:val="20"/>
              </w:rPr>
            </w:pPr>
            <w:r w:rsidRPr="00B7347C">
              <w:rPr>
                <w:rFonts w:cs="Arial"/>
                <w:b/>
                <w:bCs/>
                <w:sz w:val="20"/>
              </w:rPr>
              <w:t>Concepto</w:t>
            </w:r>
          </w:p>
        </w:tc>
        <w:tc>
          <w:tcPr>
            <w:tcW w:w="2382" w:type="dxa"/>
            <w:gridSpan w:val="2"/>
            <w:tcBorders>
              <w:top w:val="single" w:sz="4" w:space="0" w:color="auto"/>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center"/>
              <w:rPr>
                <w:rFonts w:cs="Arial"/>
                <w:b/>
                <w:bCs/>
                <w:sz w:val="20"/>
              </w:rPr>
            </w:pPr>
            <w:r w:rsidRPr="00B7347C">
              <w:rPr>
                <w:rFonts w:cs="Arial"/>
                <w:b/>
                <w:bCs/>
                <w:sz w:val="20"/>
              </w:rPr>
              <w:t>IMPORTE</w:t>
            </w:r>
          </w:p>
        </w:tc>
      </w:tr>
      <w:tr w:rsidR="003A0F9F" w:rsidRPr="00B7347C" w:rsidTr="003A0F9F">
        <w:trPr>
          <w:trHeight w:val="30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3A0F9F" w:rsidRPr="00B7347C" w:rsidRDefault="003A0F9F" w:rsidP="00E45A5D">
            <w:pPr>
              <w:widowControl w:val="0"/>
              <w:rPr>
                <w:rFonts w:cs="Arial"/>
                <w:b/>
                <w:bCs/>
                <w:sz w:val="20"/>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3A0F9F" w:rsidRPr="00B7347C" w:rsidRDefault="003A0F9F" w:rsidP="00E45A5D">
            <w:pPr>
              <w:widowControl w:val="0"/>
              <w:rPr>
                <w:rFonts w:cs="Arial"/>
                <w:b/>
                <w:bCs/>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A0F9F" w:rsidRPr="00B7347C" w:rsidRDefault="003A0F9F" w:rsidP="00E45A5D">
            <w:pPr>
              <w:widowControl w:val="0"/>
              <w:rPr>
                <w:rFonts w:cs="Arial"/>
                <w:b/>
                <w:bCs/>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center"/>
              <w:rPr>
                <w:rFonts w:cs="Arial"/>
                <w:b/>
                <w:bCs/>
                <w:sz w:val="20"/>
              </w:rPr>
            </w:pPr>
            <w:r w:rsidRPr="00B7347C">
              <w:rPr>
                <w:rFonts w:cs="Arial"/>
                <w:b/>
                <w:bCs/>
                <w:sz w:val="20"/>
              </w:rPr>
              <w:t>$</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center"/>
              <w:rPr>
                <w:rFonts w:cs="Arial"/>
                <w:b/>
                <w:bCs/>
                <w:sz w:val="20"/>
              </w:rPr>
            </w:pPr>
            <w:r w:rsidRPr="00B7347C">
              <w:rPr>
                <w:rFonts w:cs="Arial"/>
                <w:b/>
                <w:bCs/>
                <w:sz w:val="20"/>
              </w:rPr>
              <w:t>U$S</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070000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5358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Equipo portátil de radiocomunicaciones (Handy)</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xml:space="preserve">    2.318 </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060000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5365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XCMG Uruguay S.A. - </w:t>
            </w:r>
            <w:proofErr w:type="spellStart"/>
            <w:r w:rsidRPr="00B7347C">
              <w:rPr>
                <w:rFonts w:cs="Arial"/>
                <w:sz w:val="20"/>
              </w:rPr>
              <w:t>Bulldozer</w:t>
            </w:r>
            <w:proofErr w:type="spellEnd"/>
            <w:r w:rsidRPr="00B7347C">
              <w:rPr>
                <w:rFonts w:cs="Arial"/>
                <w:sz w:val="20"/>
              </w:rPr>
              <w:t xml:space="preserve"> varios</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xml:space="preserve">    1.044 </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060000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5365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RILSER SA S.A. - </w:t>
            </w:r>
            <w:proofErr w:type="spellStart"/>
            <w:r w:rsidRPr="00B7347C">
              <w:rPr>
                <w:rFonts w:cs="Arial"/>
                <w:sz w:val="20"/>
              </w:rPr>
              <w:t>Bulldozer</w:t>
            </w:r>
            <w:proofErr w:type="spellEnd"/>
            <w:r w:rsidRPr="00B7347C">
              <w:rPr>
                <w:rFonts w:cs="Arial"/>
                <w:sz w:val="20"/>
              </w:rPr>
              <w:t xml:space="preserve"> 25</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xml:space="preserve">       937 </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090200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5365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Herramientas menores</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xml:space="preserve">       276 </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060000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5365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Tejera - Moto 27/ Fiat </w:t>
            </w:r>
            <w:proofErr w:type="spellStart"/>
            <w:r w:rsidRPr="00B7347C">
              <w:rPr>
                <w:rFonts w:cs="Arial"/>
                <w:sz w:val="20"/>
              </w:rPr>
              <w:t>Allis</w:t>
            </w:r>
            <w:proofErr w:type="spellEnd"/>
            <w:r w:rsidRPr="00B7347C">
              <w:rPr>
                <w:rFonts w:cs="Arial"/>
                <w:sz w:val="20"/>
              </w:rPr>
              <w:t xml:space="preserve"> / Mercedes 350</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xml:space="preserve">    2.501 </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060000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5365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Corporación Maquinaria SA - Retro11 New </w:t>
            </w:r>
            <w:proofErr w:type="spellStart"/>
            <w:r w:rsidRPr="00B7347C">
              <w:rPr>
                <w:rFonts w:cs="Arial"/>
                <w:sz w:val="20"/>
              </w:rPr>
              <w:t>Holland</w:t>
            </w:r>
            <w:proofErr w:type="spellEnd"/>
            <w:r w:rsidRPr="00B7347C">
              <w:rPr>
                <w:rFonts w:cs="Arial"/>
                <w:sz w:val="20"/>
              </w:rPr>
              <w:t xml:space="preserve"> 90B</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sz w:val="20"/>
              </w:rPr>
            </w:pPr>
            <w:r w:rsidRPr="00B7347C">
              <w:rPr>
                <w:rFonts w:cs="Arial"/>
                <w:sz w:val="20"/>
              </w:rPr>
              <w:t xml:space="preserve">    1.465 </w:t>
            </w: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color w:val="000000"/>
                <w:sz w:val="20"/>
              </w:rPr>
            </w:pPr>
            <w:r w:rsidRPr="00B7347C">
              <w:rPr>
                <w:rFonts w:cs="Arial"/>
                <w:color w:val="000000"/>
                <w:sz w:val="20"/>
              </w:rPr>
              <w:t xml:space="preserve">200403          </w:t>
            </w:r>
          </w:p>
        </w:tc>
        <w:tc>
          <w:tcPr>
            <w:tcW w:w="784"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color w:val="000000"/>
                <w:sz w:val="20"/>
              </w:rPr>
            </w:pPr>
            <w:r w:rsidRPr="00B7347C">
              <w:rPr>
                <w:rFonts w:cs="Arial"/>
                <w:color w:val="000000"/>
                <w:sz w:val="20"/>
              </w:rPr>
              <w:t xml:space="preserve">5389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sz w:val="20"/>
              </w:rPr>
            </w:pPr>
            <w:r w:rsidRPr="00B7347C">
              <w:rPr>
                <w:rFonts w:cs="Arial"/>
                <w:sz w:val="20"/>
              </w:rPr>
              <w:t xml:space="preserve">Impacto Construcciones SA - </w:t>
            </w:r>
            <w:proofErr w:type="spellStart"/>
            <w:r w:rsidRPr="00B7347C">
              <w:rPr>
                <w:rFonts w:cs="Arial"/>
                <w:sz w:val="20"/>
              </w:rPr>
              <w:t>Desagues</w:t>
            </w:r>
            <w:proofErr w:type="spellEnd"/>
            <w:r w:rsidRPr="00B7347C">
              <w:rPr>
                <w:rFonts w:cs="Arial"/>
                <w:sz w:val="20"/>
              </w:rPr>
              <w:t xml:space="preserve"> pluviales</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color w:val="000000"/>
                <w:sz w:val="20"/>
              </w:rPr>
            </w:pPr>
            <w:r w:rsidRPr="00B7347C">
              <w:rPr>
                <w:rFonts w:cs="Arial"/>
                <w:color w:val="000000"/>
                <w:sz w:val="20"/>
              </w:rPr>
              <w:t xml:space="preserve">   3.144.596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color w:val="000000"/>
                <w:sz w:val="20"/>
              </w:rPr>
            </w:pPr>
          </w:p>
        </w:tc>
      </w:tr>
      <w:tr w:rsidR="003A0F9F" w:rsidRPr="00B7347C" w:rsidTr="003A0F9F">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b/>
                <w:color w:val="000000"/>
                <w:sz w:val="20"/>
              </w:rPr>
            </w:pPr>
            <w:r w:rsidRPr="00B7347C">
              <w:rPr>
                <w:rFonts w:cs="Arial"/>
                <w:b/>
                <w:color w:val="000000"/>
                <w:sz w:val="20"/>
              </w:rPr>
              <w:t>Totales</w:t>
            </w:r>
          </w:p>
        </w:tc>
        <w:tc>
          <w:tcPr>
            <w:tcW w:w="784" w:type="dxa"/>
            <w:tcBorders>
              <w:top w:val="nil"/>
              <w:left w:val="nil"/>
              <w:bottom w:val="single" w:sz="4" w:space="0" w:color="auto"/>
              <w:right w:val="nil"/>
            </w:tcBorders>
            <w:shd w:val="clear" w:color="auto" w:fill="auto"/>
            <w:noWrap/>
            <w:vAlign w:val="bottom"/>
            <w:hideMark/>
          </w:tcPr>
          <w:p w:rsidR="003A0F9F" w:rsidRPr="00B7347C" w:rsidRDefault="003A0F9F" w:rsidP="00E45A5D">
            <w:pPr>
              <w:widowControl w:val="0"/>
              <w:rPr>
                <w:rFonts w:cs="Arial"/>
                <w:color w:val="000000"/>
                <w:sz w:val="20"/>
              </w:rPr>
            </w:pPr>
            <w:r w:rsidRPr="00B7347C">
              <w:rPr>
                <w:rFonts w:cs="Arial"/>
                <w:color w:val="000000"/>
                <w:sz w:val="20"/>
              </w:rPr>
              <w:t> </w:t>
            </w:r>
          </w:p>
        </w:tc>
        <w:tc>
          <w:tcPr>
            <w:tcW w:w="4678"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rPr>
                <w:rFonts w:cs="Arial"/>
                <w:color w:val="000000"/>
                <w:sz w:val="20"/>
              </w:rPr>
            </w:pPr>
            <w:r w:rsidRPr="00B7347C">
              <w:rPr>
                <w:rFonts w:cs="Arial"/>
                <w:color w:val="000000"/>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b/>
                <w:bCs/>
                <w:color w:val="000000"/>
                <w:sz w:val="20"/>
              </w:rPr>
            </w:pPr>
            <w:r w:rsidRPr="00B7347C">
              <w:rPr>
                <w:rFonts w:cs="Arial"/>
                <w:b/>
                <w:bCs/>
                <w:color w:val="000000"/>
                <w:sz w:val="20"/>
              </w:rPr>
              <w:t xml:space="preserve">   3.144.596 </w:t>
            </w:r>
          </w:p>
        </w:tc>
        <w:tc>
          <w:tcPr>
            <w:tcW w:w="1106" w:type="dxa"/>
            <w:tcBorders>
              <w:top w:val="nil"/>
              <w:left w:val="nil"/>
              <w:bottom w:val="single" w:sz="4" w:space="0" w:color="auto"/>
              <w:right w:val="single" w:sz="4" w:space="0" w:color="auto"/>
            </w:tcBorders>
            <w:shd w:val="clear" w:color="auto" w:fill="auto"/>
            <w:noWrap/>
            <w:vAlign w:val="bottom"/>
            <w:hideMark/>
          </w:tcPr>
          <w:p w:rsidR="003A0F9F" w:rsidRPr="00B7347C" w:rsidRDefault="003A0F9F" w:rsidP="00E45A5D">
            <w:pPr>
              <w:widowControl w:val="0"/>
              <w:jc w:val="right"/>
              <w:rPr>
                <w:rFonts w:cs="Arial"/>
                <w:b/>
                <w:bCs/>
                <w:color w:val="000000"/>
                <w:sz w:val="20"/>
              </w:rPr>
            </w:pPr>
            <w:r w:rsidRPr="00B7347C">
              <w:rPr>
                <w:rFonts w:cs="Arial"/>
                <w:b/>
                <w:bCs/>
                <w:color w:val="000000"/>
                <w:sz w:val="20"/>
              </w:rPr>
              <w:t>8.541</w:t>
            </w:r>
          </w:p>
        </w:tc>
      </w:tr>
    </w:tbl>
    <w:p w:rsidR="003A0F9F" w:rsidRDefault="003A0F9F" w:rsidP="00E45A5D">
      <w:pPr>
        <w:widowControl w:val="0"/>
        <w:rPr>
          <w:rFonts w:cs="Arial"/>
          <w:b/>
        </w:rPr>
      </w:pPr>
    </w:p>
    <w:p w:rsidR="00643BF4" w:rsidRDefault="00643BF4" w:rsidP="001A70F0">
      <w:pPr>
        <w:widowControl w:val="0"/>
        <w:spacing w:line="360" w:lineRule="auto"/>
        <w:jc w:val="both"/>
        <w:rPr>
          <w:rFonts w:cs="Arial"/>
          <w:b/>
        </w:rPr>
      </w:pPr>
    </w:p>
    <w:p w:rsidR="00643BF4" w:rsidRDefault="00643BF4" w:rsidP="001A70F0">
      <w:pPr>
        <w:widowControl w:val="0"/>
        <w:spacing w:line="360" w:lineRule="auto"/>
        <w:jc w:val="both"/>
        <w:rPr>
          <w:rFonts w:cs="Arial"/>
          <w:b/>
        </w:rPr>
      </w:pPr>
    </w:p>
    <w:p w:rsidR="003A0F9F" w:rsidRPr="00EA17A3" w:rsidRDefault="003A0F9F" w:rsidP="001A70F0">
      <w:pPr>
        <w:widowControl w:val="0"/>
        <w:spacing w:line="360" w:lineRule="auto"/>
        <w:jc w:val="both"/>
        <w:rPr>
          <w:rFonts w:cs="Arial"/>
          <w:b/>
        </w:rPr>
      </w:pPr>
      <w:r>
        <w:rPr>
          <w:rFonts w:cs="Arial"/>
          <w:b/>
        </w:rPr>
        <w:t>2.3</w:t>
      </w:r>
      <w:r w:rsidRPr="00EA17A3">
        <w:rPr>
          <w:rFonts w:cs="Arial"/>
          <w:b/>
        </w:rPr>
        <w:t xml:space="preserve"> Juicios pendientes contra la Intendencia</w:t>
      </w:r>
    </w:p>
    <w:p w:rsidR="003A0F9F" w:rsidRPr="00873E2E" w:rsidRDefault="003A0F9F" w:rsidP="001A70F0">
      <w:pPr>
        <w:widowControl w:val="0"/>
        <w:spacing w:line="360" w:lineRule="auto"/>
        <w:jc w:val="both"/>
        <w:rPr>
          <w:rFonts w:cs="Arial"/>
        </w:rPr>
      </w:pPr>
      <w:r w:rsidRPr="00873E2E">
        <w:rPr>
          <w:rFonts w:cs="Arial"/>
        </w:rPr>
        <w:t xml:space="preserve">En el documento de la Rendición de Cuentas correspondiente al </w:t>
      </w:r>
      <w:r>
        <w:rPr>
          <w:rFonts w:cs="Arial"/>
        </w:rPr>
        <w:t>E</w:t>
      </w:r>
      <w:r w:rsidRPr="00873E2E">
        <w:rPr>
          <w:rFonts w:cs="Arial"/>
        </w:rPr>
        <w:t>jercicio 2015 se presenta un listado de los juicios en trámite contra la Intendencia, los que totalizan $ 10</w:t>
      </w:r>
      <w:r>
        <w:rPr>
          <w:rFonts w:cs="Arial"/>
        </w:rPr>
        <w:t>:</w:t>
      </w:r>
      <w:r w:rsidRPr="00873E2E">
        <w:rPr>
          <w:rFonts w:cs="Arial"/>
        </w:rPr>
        <w:t>873.698 y U$S 250.000 y se informa sobre el estado de los mismos. Las eventuales erogaciones resultantes pueden modificar el resultado acumulado al 31/12/2015 de la Intendencia.</w:t>
      </w:r>
      <w:bookmarkStart w:id="3" w:name="_Toc179282297"/>
      <w:bookmarkStart w:id="4" w:name="_Toc400023267"/>
    </w:p>
    <w:p w:rsidR="003A0F9F" w:rsidRDefault="003A0F9F" w:rsidP="001A70F0">
      <w:pPr>
        <w:pStyle w:val="Textoindependiente"/>
        <w:widowControl w:val="0"/>
        <w:suppressAutoHyphens w:val="0"/>
        <w:spacing w:after="0" w:line="360" w:lineRule="auto"/>
        <w:rPr>
          <w:rFonts w:eastAsia="Calibri" w:cs="Arial"/>
          <w:kern w:val="0"/>
          <w:szCs w:val="24"/>
          <w:lang w:val="es-UY" w:eastAsia="en-US"/>
        </w:rPr>
      </w:pPr>
      <w:r w:rsidRPr="00873E2E">
        <w:rPr>
          <w:rFonts w:eastAsia="Calibri" w:cs="Arial"/>
          <w:kern w:val="0"/>
          <w:szCs w:val="24"/>
          <w:lang w:val="es-UY" w:eastAsia="en-US"/>
        </w:rPr>
        <w:t>Se incluye además un listado de los juicios promovidos por la Intendencia en el marco del análisis de morosidad realizado por el org</w:t>
      </w:r>
      <w:r>
        <w:rPr>
          <w:rFonts w:eastAsia="Calibri" w:cs="Arial"/>
          <w:kern w:val="0"/>
          <w:szCs w:val="24"/>
          <w:lang w:val="es-UY" w:eastAsia="en-US"/>
        </w:rPr>
        <w:t>anismo los que ascienden a $ 11:</w:t>
      </w:r>
      <w:r w:rsidRPr="00873E2E">
        <w:rPr>
          <w:rFonts w:eastAsia="Calibri" w:cs="Arial"/>
          <w:kern w:val="0"/>
          <w:szCs w:val="24"/>
          <w:lang w:val="es-UY" w:eastAsia="en-US"/>
        </w:rPr>
        <w:t>650.851 y UR 271.</w:t>
      </w:r>
    </w:p>
    <w:p w:rsidR="003A0F9F" w:rsidRPr="00EA17A3" w:rsidRDefault="003A0F9F" w:rsidP="00E45A5D">
      <w:pPr>
        <w:pStyle w:val="Textoindependiente"/>
        <w:widowControl w:val="0"/>
        <w:suppressAutoHyphens w:val="0"/>
        <w:spacing w:after="0" w:line="360" w:lineRule="auto"/>
        <w:rPr>
          <w:rFonts w:eastAsia="Calibri" w:cs="Arial"/>
          <w:kern w:val="0"/>
          <w:szCs w:val="24"/>
          <w:lang w:val="es-UY" w:eastAsia="en-US"/>
        </w:rPr>
      </w:pPr>
    </w:p>
    <w:bookmarkEnd w:id="3"/>
    <w:bookmarkEnd w:id="4"/>
    <w:p w:rsidR="003A0F9F" w:rsidRPr="00630DB8" w:rsidRDefault="003A0F9F" w:rsidP="00E45A5D">
      <w:pPr>
        <w:pStyle w:val="Textoindependiente"/>
        <w:widowControl w:val="0"/>
        <w:suppressAutoHyphens w:val="0"/>
        <w:spacing w:after="0" w:line="360" w:lineRule="auto"/>
        <w:rPr>
          <w:rFonts w:cs="Arial"/>
          <w:b/>
          <w:kern w:val="0"/>
          <w:szCs w:val="24"/>
          <w:lang w:val="es-ES"/>
        </w:rPr>
      </w:pPr>
      <w:r>
        <w:rPr>
          <w:rFonts w:cs="Arial"/>
          <w:b/>
          <w:kern w:val="0"/>
          <w:szCs w:val="24"/>
          <w:lang w:val="es-ES"/>
        </w:rPr>
        <w:t>3.</w:t>
      </w:r>
      <w:r w:rsidRPr="00630DB8">
        <w:rPr>
          <w:rFonts w:cs="Arial"/>
          <w:b/>
          <w:kern w:val="0"/>
          <w:szCs w:val="24"/>
          <w:lang w:val="es-ES"/>
        </w:rPr>
        <w:t xml:space="preserve"> INCUMPLIMIENTO DE NORMAS</w:t>
      </w:r>
    </w:p>
    <w:p w:rsidR="003A0F9F" w:rsidRDefault="003A0F9F" w:rsidP="00E45A5D">
      <w:pPr>
        <w:widowControl w:val="0"/>
        <w:spacing w:line="360" w:lineRule="auto"/>
        <w:jc w:val="both"/>
      </w:pPr>
      <w:r w:rsidRPr="00016FB3">
        <w:t>Con relación al incumplimiento de normas legales, corresponde realizar las siguientes consideraciones:</w:t>
      </w:r>
    </w:p>
    <w:p w:rsidR="003A0F9F" w:rsidRDefault="003A0F9F" w:rsidP="00E45A5D">
      <w:pPr>
        <w:widowControl w:val="0"/>
      </w:pPr>
    </w:p>
    <w:p w:rsidR="003A0F9F" w:rsidRDefault="003A0F9F" w:rsidP="00E45A5D">
      <w:pPr>
        <w:pStyle w:val="Sangradetextonormal"/>
        <w:widowControl w:val="0"/>
        <w:ind w:left="0"/>
        <w:rPr>
          <w:b/>
          <w:bCs/>
        </w:rPr>
      </w:pPr>
      <w:r>
        <w:rPr>
          <w:b/>
          <w:bCs/>
        </w:rPr>
        <w:t>3.1 Artículo 86 de la Constitución de la República, Artículo 153 de la Ley N° 16.713 y Artículo 2 de la Ley N° 12.840</w:t>
      </w:r>
    </w:p>
    <w:p w:rsidR="003A0F9F" w:rsidRDefault="003A0F9F" w:rsidP="00E45A5D">
      <w:pPr>
        <w:pStyle w:val="Sangradetextonormal"/>
        <w:widowControl w:val="0"/>
        <w:ind w:left="0"/>
        <w:rPr>
          <w:kern w:val="1"/>
        </w:rPr>
      </w:pPr>
      <w:r w:rsidRPr="00873E2E">
        <w:rPr>
          <w:kern w:val="1"/>
        </w:rPr>
        <w:t>La Intendencia abona desde febrero de 2014 una partida por “</w:t>
      </w:r>
      <w:proofErr w:type="spellStart"/>
      <w:r w:rsidRPr="00873E2E">
        <w:rPr>
          <w:kern w:val="1"/>
        </w:rPr>
        <w:t>Presentismo</w:t>
      </w:r>
      <w:proofErr w:type="spellEnd"/>
      <w:r w:rsidRPr="00873E2E">
        <w:rPr>
          <w:kern w:val="1"/>
        </w:rPr>
        <w:t xml:space="preserve">” respecto de la que no existe norma presupuestal que la habilite. Se constató que, por error, se consideró que dicha partida estaba amparada por la </w:t>
      </w:r>
      <w:r w:rsidRPr="00873E2E">
        <w:t xml:space="preserve">Resolución del Legislativo de Florida N° 49/2013, </w:t>
      </w:r>
      <w:r w:rsidRPr="00873E2E">
        <w:rPr>
          <w:kern w:val="1"/>
        </w:rPr>
        <w:t>cuando esta norma estaba avalando la partida de haberes denominada “Complemento 09/2013”.</w:t>
      </w:r>
    </w:p>
    <w:p w:rsidR="003A0F9F" w:rsidRDefault="003A0F9F" w:rsidP="00E45A5D">
      <w:pPr>
        <w:pStyle w:val="Sangradetextonormal"/>
        <w:widowControl w:val="0"/>
        <w:ind w:left="0"/>
        <w:rPr>
          <w:kern w:val="1"/>
        </w:rPr>
      </w:pPr>
    </w:p>
    <w:p w:rsidR="003A0F9F" w:rsidRDefault="003A0F9F" w:rsidP="00E45A5D">
      <w:pPr>
        <w:pStyle w:val="Sangradetextonormal"/>
        <w:widowControl w:val="0"/>
        <w:ind w:left="0"/>
        <w:rPr>
          <w:b/>
          <w:bCs/>
        </w:rPr>
      </w:pPr>
      <w:r>
        <w:rPr>
          <w:b/>
          <w:bCs/>
        </w:rPr>
        <w:t>3.2</w:t>
      </w:r>
      <w:r w:rsidRPr="00FB01AB">
        <w:rPr>
          <w:b/>
          <w:kern w:val="1"/>
        </w:rPr>
        <w:t xml:space="preserve"> </w:t>
      </w:r>
      <w:r>
        <w:rPr>
          <w:b/>
          <w:bCs/>
        </w:rPr>
        <w:t>Artículo 86 de la Constitución de la República</w:t>
      </w:r>
      <w:bookmarkStart w:id="5" w:name="_Toc397079388"/>
    </w:p>
    <w:p w:rsidR="003A0F9F" w:rsidRPr="00873E2E" w:rsidRDefault="003A0F9F" w:rsidP="00E45A5D">
      <w:pPr>
        <w:pStyle w:val="Sangradetextonormal"/>
        <w:widowControl w:val="0"/>
        <w:tabs>
          <w:tab w:val="left" w:pos="0"/>
          <w:tab w:val="left" w:pos="284"/>
        </w:tabs>
        <w:ind w:left="0"/>
        <w:rPr>
          <w:b/>
          <w:bCs/>
        </w:rPr>
      </w:pPr>
      <w:r w:rsidRPr="00873E2E">
        <w:rPr>
          <w:bCs/>
        </w:rPr>
        <w:t>A</w:t>
      </w:r>
      <w:r w:rsidRPr="00873E2E">
        <w:rPr>
          <w:bCs/>
        </w:rPr>
        <w:tab/>
      </w:r>
      <w:r w:rsidRPr="00873E2E">
        <w:t xml:space="preserve">los cajeros de las Juntas Locales y Municipios se les abonó una partida por concepto de “Quebranto de Caja” equivalente a dos sueldos al año, la que excede lo establecido en la respectiva norma presupuestal. </w:t>
      </w:r>
      <w:r w:rsidRPr="00873E2E">
        <w:rPr>
          <w:bCs/>
        </w:rPr>
        <w:t xml:space="preserve">Al respecto el Artículo 7 de la Modificación Presupuestal de 1976 establece que el Intendente podrá disponer una retribución en concepto de “Quebranto de caja” de hasta un sueldo al año, a aquellos funcionarios que manejen fondos. No obstante, por normas que no fueron aprobadas en instancias presupuestales, estos montos fueron incrementados. Al respecto, la Resolución Nº 59.824 de 1979 </w:t>
      </w:r>
      <w:r w:rsidRPr="00873E2E">
        <w:t>fija, por el concepto de quebranto, dos sueldos al año cobrados mensualmente en forma proporcional, a los funcionarios que cumplen funciones de Tesorero y a los que están al frente de las tres Cajas dependientes de la Tesorería de la Intendencia. La Resolución Nº 14.876 de 1999 establece</w:t>
      </w:r>
      <w:r>
        <w:t>,</w:t>
      </w:r>
      <w:r w:rsidRPr="00873E2E">
        <w:t xml:space="preserve"> por concepto de quebranto para los cajeros de la sede central de la Intendencia, tres sueldos anuales y para el Tesorero y Pro-Tesorero, dos sueldos y medio anuales.</w:t>
      </w:r>
      <w:r w:rsidRPr="00873E2E">
        <w:rPr>
          <w:b/>
          <w:bCs/>
        </w:rPr>
        <w:t xml:space="preserve"> </w:t>
      </w:r>
      <w:r>
        <w:t>Durante el 2015</w:t>
      </w:r>
      <w:r w:rsidRPr="00873E2E">
        <w:t xml:space="preserve"> se abonaron por este concepto los siguientes importes:</w:t>
      </w:r>
    </w:p>
    <w:p w:rsidR="003A0F9F" w:rsidRPr="00873E2E" w:rsidRDefault="003A0F9F" w:rsidP="00E45A5D">
      <w:pPr>
        <w:widowControl w:val="0"/>
        <w:spacing w:line="360" w:lineRule="auto"/>
        <w:ind w:left="425" w:hanging="68"/>
      </w:pPr>
      <w:r w:rsidRPr="00873E2E">
        <w:t>- Cajeros de Sede Central: 3 sueldos al año</w:t>
      </w:r>
    </w:p>
    <w:p w:rsidR="003A0F9F" w:rsidRPr="00873E2E" w:rsidRDefault="003A0F9F" w:rsidP="00E45A5D">
      <w:pPr>
        <w:widowControl w:val="0"/>
        <w:spacing w:line="360" w:lineRule="auto"/>
        <w:ind w:left="425" w:hanging="68"/>
      </w:pPr>
      <w:r w:rsidRPr="00873E2E">
        <w:t>- Cajeros de Juntas Locales y/o Municipios: 2 sueldos al año</w:t>
      </w:r>
    </w:p>
    <w:p w:rsidR="003A0F9F" w:rsidRPr="00873E2E" w:rsidRDefault="003A0F9F" w:rsidP="00E45A5D">
      <w:pPr>
        <w:widowControl w:val="0"/>
        <w:spacing w:line="360" w:lineRule="auto"/>
        <w:ind w:left="425" w:hanging="68"/>
      </w:pPr>
      <w:r w:rsidRPr="00873E2E">
        <w:t>- Tesorero y Pro-Tesorero: 2,5 sueldos al año</w:t>
      </w:r>
    </w:p>
    <w:p w:rsidR="003A0F9F" w:rsidRPr="00C52067" w:rsidRDefault="003A0F9F" w:rsidP="00E45A5D">
      <w:pPr>
        <w:widowControl w:val="0"/>
        <w:ind w:left="426" w:hanging="66"/>
        <w:rPr>
          <w:highlight w:val="green"/>
        </w:rPr>
      </w:pPr>
    </w:p>
    <w:p w:rsidR="003A0F9F" w:rsidRPr="00873E2E" w:rsidRDefault="003A0F9F" w:rsidP="00E45A5D">
      <w:pPr>
        <w:pStyle w:val="Sangradetextonormal"/>
        <w:widowControl w:val="0"/>
        <w:tabs>
          <w:tab w:val="left" w:pos="0"/>
          <w:tab w:val="left" w:pos="284"/>
        </w:tabs>
        <w:ind w:left="0"/>
        <w:rPr>
          <w:bCs/>
        </w:rPr>
      </w:pPr>
      <w:r w:rsidRPr="00873E2E">
        <w:rPr>
          <w:bCs/>
        </w:rPr>
        <w:t xml:space="preserve">Asimismo, se constató una partida abonada en concepto de diferencia de sueldo por reestructura a un funcionario, cuya norma es el </w:t>
      </w:r>
      <w:r>
        <w:rPr>
          <w:bCs/>
        </w:rPr>
        <w:t>Artículo</w:t>
      </w:r>
      <w:r w:rsidRPr="00873E2E">
        <w:rPr>
          <w:bCs/>
        </w:rPr>
        <w:t xml:space="preserve"> 14</w:t>
      </w:r>
      <w:r>
        <w:rPr>
          <w:bCs/>
        </w:rPr>
        <w:t xml:space="preserve"> del </w:t>
      </w:r>
      <w:r w:rsidRPr="00873E2E">
        <w:rPr>
          <w:bCs/>
        </w:rPr>
        <w:t>Decreto Nº 25/1996</w:t>
      </w:r>
      <w:r>
        <w:rPr>
          <w:bCs/>
        </w:rPr>
        <w:t xml:space="preserve"> que,</w:t>
      </w:r>
      <w:r w:rsidRPr="00873E2E">
        <w:rPr>
          <w:bCs/>
        </w:rPr>
        <w:t xml:space="preserve"> en el último párrafo</w:t>
      </w:r>
      <w:r>
        <w:rPr>
          <w:bCs/>
        </w:rPr>
        <w:t xml:space="preserve"> establece</w:t>
      </w:r>
      <w:r w:rsidRPr="00873E2E">
        <w:rPr>
          <w:bCs/>
        </w:rPr>
        <w:t xml:space="preserve"> que la partida quedará fija si el funcionario no compareciere a concursar teniendo la posibilidad de hacerlo. Se realizó el concurso en el 2014 y el funcionario no concurrió</w:t>
      </w:r>
      <w:r>
        <w:rPr>
          <w:bCs/>
        </w:rPr>
        <w:t>.</w:t>
      </w:r>
      <w:r w:rsidRPr="00873E2E">
        <w:rPr>
          <w:bCs/>
        </w:rPr>
        <w:t xml:space="preserve"> </w:t>
      </w:r>
      <w:r>
        <w:rPr>
          <w:bCs/>
        </w:rPr>
        <w:t>S</w:t>
      </w:r>
      <w:r w:rsidRPr="00873E2E">
        <w:rPr>
          <w:bCs/>
        </w:rPr>
        <w:t>in embargo</w:t>
      </w:r>
      <w:r>
        <w:rPr>
          <w:bCs/>
        </w:rPr>
        <w:t>,</w:t>
      </w:r>
      <w:r w:rsidRPr="00873E2E">
        <w:rPr>
          <w:bCs/>
        </w:rPr>
        <w:t xml:space="preserve"> hasta la fecha dicha partida se ha seguido incrementando por los aumentos salariales.</w:t>
      </w:r>
    </w:p>
    <w:p w:rsidR="003A0F9F" w:rsidRDefault="003A0F9F" w:rsidP="00E45A5D">
      <w:pPr>
        <w:keepNext/>
        <w:widowControl w:val="0"/>
        <w:spacing w:line="360" w:lineRule="auto"/>
        <w:jc w:val="both"/>
        <w:outlineLvl w:val="2"/>
        <w:rPr>
          <w:rFonts w:cs="Arial"/>
          <w:bCs/>
        </w:rPr>
      </w:pPr>
      <w:r w:rsidRPr="00873E2E">
        <w:rPr>
          <w:rFonts w:cs="Arial"/>
          <w:bCs/>
        </w:rPr>
        <w:t>Por lo expuesto</w:t>
      </w:r>
      <w:r>
        <w:rPr>
          <w:rFonts w:cs="Arial"/>
          <w:bCs/>
        </w:rPr>
        <w:t>,</w:t>
      </w:r>
      <w:r w:rsidRPr="00873E2E">
        <w:rPr>
          <w:rFonts w:cs="Arial"/>
          <w:bCs/>
        </w:rPr>
        <w:t xml:space="preserve"> no se dio cumplimiento a lo dispuesto en el Artículo 86 de la Constitución de la República al abonar partidas que exceden lo dispuesto en la norma presupuestal correspondiente. En el Artículo 47 del Presupuesto Quinquenal 2016-2020 se regulariza la norma referida al quebranto de caja.</w:t>
      </w:r>
    </w:p>
    <w:p w:rsidR="003A0F9F" w:rsidRPr="00290CD7" w:rsidRDefault="003A0F9F" w:rsidP="00E45A5D">
      <w:pPr>
        <w:keepNext/>
        <w:widowControl w:val="0"/>
        <w:outlineLvl w:val="2"/>
        <w:rPr>
          <w:rFonts w:cs="Arial"/>
          <w:bCs/>
        </w:rPr>
      </w:pPr>
    </w:p>
    <w:p w:rsidR="003A0F9F" w:rsidRPr="00023971" w:rsidRDefault="003A0F9F" w:rsidP="00E45A5D">
      <w:pPr>
        <w:pStyle w:val="Sangradetextonormal"/>
        <w:widowControl w:val="0"/>
        <w:ind w:left="0"/>
        <w:rPr>
          <w:b/>
          <w:bCs/>
        </w:rPr>
      </w:pPr>
      <w:r>
        <w:rPr>
          <w:b/>
        </w:rPr>
        <w:t>3</w:t>
      </w:r>
      <w:r w:rsidRPr="00023971">
        <w:rPr>
          <w:b/>
        </w:rPr>
        <w:t xml:space="preserve">.3 </w:t>
      </w:r>
      <w:r w:rsidRPr="00023971">
        <w:rPr>
          <w:b/>
          <w:bCs/>
        </w:rPr>
        <w:t>Artículo 86 de la Constitución de la República y Art</w:t>
      </w:r>
      <w:r>
        <w:rPr>
          <w:b/>
          <w:bCs/>
        </w:rPr>
        <w:t>ículo</w:t>
      </w:r>
      <w:r w:rsidRPr="00023971">
        <w:rPr>
          <w:b/>
          <w:bCs/>
        </w:rPr>
        <w:t xml:space="preserve"> 8 del Decreto</w:t>
      </w:r>
      <w:r>
        <w:rPr>
          <w:b/>
          <w:bCs/>
        </w:rPr>
        <w:t xml:space="preserve"> de la Junta de Florida</w:t>
      </w:r>
      <w:r w:rsidRPr="00023971">
        <w:rPr>
          <w:b/>
          <w:bCs/>
        </w:rPr>
        <w:t xml:space="preserve"> N° 23/07</w:t>
      </w:r>
    </w:p>
    <w:p w:rsidR="003A0F9F" w:rsidRPr="00873E2E" w:rsidRDefault="003A0F9F" w:rsidP="00E45A5D">
      <w:pPr>
        <w:widowControl w:val="0"/>
        <w:spacing w:line="360" w:lineRule="auto"/>
        <w:jc w:val="both"/>
        <w:rPr>
          <w:rFonts w:cs="Arial"/>
          <w:bCs/>
        </w:rPr>
      </w:pPr>
      <w:r w:rsidRPr="00873E2E">
        <w:rPr>
          <w:rFonts w:cs="Arial"/>
          <w:bCs/>
        </w:rPr>
        <w:t>La Intendencia otorgó una compensación por estar a la orden del 30% del sueldo base, a funcionarios del escalafón directivo que no están comprendidos en dicha norma, incumpliendo lo establecido en el Decreto de la Junta Departamental de Florida N° 23/07 (Modificación Presupuestal 2008-2010). Los referidos funcionarios no están comprendidos en el mencionado Decreto         N° 23/07</w:t>
      </w:r>
      <w:r>
        <w:rPr>
          <w:rFonts w:cs="Arial"/>
          <w:bCs/>
        </w:rPr>
        <w:t>, por ser alcanzados por el Artículo</w:t>
      </w:r>
      <w:r w:rsidRPr="00873E2E">
        <w:rPr>
          <w:rFonts w:cs="Arial"/>
          <w:bCs/>
        </w:rPr>
        <w:t xml:space="preserve"> 43 del Decreto de la Junta Departamental de Florida N° 24/96 (Modificación Presupuestal 1996-2000), que establece que se puede abonar como máxima compensación, la compensación  correspondiente a “mayor dedicación a la tarea”, concepto que se rige por el Decreto del Legislativo de Florida Nº 25/96 (que fue recogido en la Modificación Presupuestal 1996-2000), que establece un 15% sobre el sueldo base. Asimismo, el referido Decreto Nº 23/07 establece que en ningún caso se adicionará la compensación del 30% prevista, a quienes alcanza el régimen establecido en el Decreto del Legislativo de Florida Nº 24/96. Por lo expuesto, la compensación otorgada, no está avalada por una norma presupuestal, incumpliendo lo dispuesto por el Artículo 86 de la Constitución de la República.</w:t>
      </w:r>
    </w:p>
    <w:p w:rsidR="003A0F9F" w:rsidRDefault="003A0F9F" w:rsidP="00E45A5D">
      <w:pPr>
        <w:widowControl w:val="0"/>
        <w:spacing w:line="360" w:lineRule="auto"/>
        <w:jc w:val="both"/>
        <w:rPr>
          <w:rFonts w:cs="Arial"/>
          <w:bCs/>
        </w:rPr>
      </w:pPr>
      <w:r w:rsidRPr="00873E2E">
        <w:rPr>
          <w:rFonts w:cs="Arial"/>
          <w:bCs/>
        </w:rPr>
        <w:t xml:space="preserve">En el Artículo 43 del Presupuesto Quinquenal 2016-2020 se modificó el </w:t>
      </w:r>
      <w:r>
        <w:rPr>
          <w:rFonts w:cs="Arial"/>
          <w:bCs/>
        </w:rPr>
        <w:t xml:space="preserve">     </w:t>
      </w:r>
      <w:r w:rsidRPr="00873E2E">
        <w:rPr>
          <w:rFonts w:cs="Arial"/>
          <w:bCs/>
        </w:rPr>
        <w:t>Artículo 43 del Decreto Nº 24/96 eliminando el inciso que limitaba la compensación al 15%.</w:t>
      </w:r>
    </w:p>
    <w:bookmarkEnd w:id="5"/>
    <w:p w:rsidR="003A0F9F" w:rsidRDefault="003A0F9F" w:rsidP="00E45A5D">
      <w:pPr>
        <w:widowControl w:val="0"/>
        <w:rPr>
          <w:rFonts w:cs="Arial"/>
        </w:rPr>
      </w:pPr>
    </w:p>
    <w:p w:rsidR="003A0F9F" w:rsidRPr="004431FD" w:rsidRDefault="003A0F9F" w:rsidP="00E45A5D">
      <w:pPr>
        <w:pStyle w:val="Ttulo3"/>
        <w:widowControl w:val="0"/>
        <w:spacing w:before="0" w:after="0" w:line="360" w:lineRule="auto"/>
        <w:jc w:val="both"/>
        <w:rPr>
          <w:sz w:val="24"/>
          <w:szCs w:val="24"/>
        </w:rPr>
      </w:pPr>
      <w:bookmarkStart w:id="6" w:name="_Toc207184742"/>
      <w:bookmarkStart w:id="7" w:name="_Toc207615178"/>
      <w:bookmarkStart w:id="8" w:name="_Toc340760879"/>
      <w:r>
        <w:rPr>
          <w:sz w:val="24"/>
          <w:szCs w:val="24"/>
        </w:rPr>
        <w:t>3</w:t>
      </w:r>
      <w:r w:rsidRPr="004431FD">
        <w:rPr>
          <w:sz w:val="24"/>
          <w:szCs w:val="24"/>
        </w:rPr>
        <w:t>.</w:t>
      </w:r>
      <w:r>
        <w:rPr>
          <w:sz w:val="24"/>
          <w:szCs w:val="24"/>
        </w:rPr>
        <w:t>4</w:t>
      </w:r>
      <w:r w:rsidRPr="004431FD">
        <w:rPr>
          <w:sz w:val="24"/>
          <w:szCs w:val="24"/>
        </w:rPr>
        <w:t xml:space="preserve"> </w:t>
      </w:r>
      <w:r w:rsidRPr="004431FD">
        <w:t>Artículo 297 de la Constitución</w:t>
      </w:r>
      <w:r w:rsidRPr="004431FD">
        <w:rPr>
          <w:sz w:val="24"/>
          <w:szCs w:val="24"/>
        </w:rPr>
        <w:t xml:space="preserve"> </w:t>
      </w:r>
      <w:bookmarkEnd w:id="6"/>
      <w:bookmarkEnd w:id="7"/>
      <w:bookmarkEnd w:id="8"/>
      <w:r>
        <w:rPr>
          <w:sz w:val="24"/>
          <w:szCs w:val="24"/>
        </w:rPr>
        <w:t>de la República</w:t>
      </w:r>
    </w:p>
    <w:p w:rsidR="003A0F9F" w:rsidRPr="00873E2E" w:rsidRDefault="003A0F9F" w:rsidP="00E45A5D">
      <w:pPr>
        <w:widowControl w:val="0"/>
        <w:autoSpaceDE w:val="0"/>
        <w:autoSpaceDN w:val="0"/>
        <w:adjustRightInd w:val="0"/>
        <w:spacing w:line="360" w:lineRule="auto"/>
        <w:jc w:val="both"/>
        <w:rPr>
          <w:rFonts w:cs="Arial"/>
          <w:iCs/>
          <w:lang w:val="es-MX"/>
        </w:rPr>
      </w:pPr>
      <w:r w:rsidRPr="00873E2E">
        <w:rPr>
          <w:rFonts w:cs="Arial"/>
          <w:color w:val="000000"/>
        </w:rPr>
        <w:t xml:space="preserve">No se dio cumplimiento a lo dispuesto </w:t>
      </w:r>
      <w:r w:rsidRPr="00873E2E">
        <w:t>por el Artículo 297 de la Constit</w:t>
      </w:r>
      <w:r>
        <w:t>ución de la República, ya</w:t>
      </w:r>
      <w:r w:rsidRPr="00873E2E">
        <w:t xml:space="preserve"> que </w:t>
      </w:r>
      <w:r w:rsidRPr="00873E2E">
        <w:rPr>
          <w:rFonts w:cs="Arial"/>
          <w:color w:val="000000"/>
        </w:rPr>
        <w:t xml:space="preserve">las multas por mora aplicadas por el pago fuera de fecha de la Contribución Inmobiliaria Rural no respetaron lo establecido en el </w:t>
      </w:r>
      <w:r>
        <w:rPr>
          <w:rFonts w:cs="Arial"/>
          <w:color w:val="000000"/>
        </w:rPr>
        <w:t xml:space="preserve">                 </w:t>
      </w:r>
      <w:r w:rsidRPr="00873E2E">
        <w:rPr>
          <w:rFonts w:cs="Arial"/>
          <w:color w:val="000000"/>
        </w:rPr>
        <w:t xml:space="preserve">Artículo 94 del Código Tributario. La Intendencia aplica el porcentaje establecido en el Decreto del Legislativo Departamental Nº 09/2001, que </w:t>
      </w:r>
      <w:r w:rsidRPr="00873E2E">
        <w:rPr>
          <w:rFonts w:cs="Arial"/>
          <w:iCs/>
          <w:lang w:val="es-MX"/>
        </w:rPr>
        <w:t>excede la potestad tributaria del Gobierno Departamental, por cuanto el citado impuesto tiene origen legal de carácter nacional, siendo competencia del Gobierno Nacional el establecimiento de tales multas.</w:t>
      </w:r>
    </w:p>
    <w:p w:rsidR="003A0F9F" w:rsidRDefault="003A0F9F" w:rsidP="00E45A5D">
      <w:pPr>
        <w:widowControl w:val="0"/>
        <w:autoSpaceDE w:val="0"/>
        <w:autoSpaceDN w:val="0"/>
        <w:adjustRightInd w:val="0"/>
        <w:spacing w:line="360" w:lineRule="auto"/>
        <w:jc w:val="both"/>
        <w:rPr>
          <w:rFonts w:cs="Arial"/>
          <w:iCs/>
          <w:lang w:val="es-MX"/>
        </w:rPr>
      </w:pPr>
      <w:r w:rsidRPr="00873E2E">
        <w:rPr>
          <w:rFonts w:cs="Arial"/>
          <w:iCs/>
          <w:lang w:val="es-MX"/>
        </w:rPr>
        <w:t>Las diferencias son las que se detallan:</w:t>
      </w:r>
    </w:p>
    <w:p w:rsidR="003A0F9F" w:rsidRDefault="003A0F9F" w:rsidP="00E45A5D">
      <w:pPr>
        <w:widowControl w:val="0"/>
        <w:autoSpaceDE w:val="0"/>
        <w:autoSpaceDN w:val="0"/>
        <w:adjustRightInd w:val="0"/>
        <w:rPr>
          <w:rFonts w:cs="Arial"/>
          <w:iCs/>
          <w:lang w:val="es-MX"/>
        </w:rPr>
      </w:pPr>
    </w:p>
    <w:tbl>
      <w:tblPr>
        <w:tblW w:w="7791" w:type="dxa"/>
        <w:tblInd w:w="55" w:type="dxa"/>
        <w:tblCellMar>
          <w:left w:w="70" w:type="dxa"/>
          <w:right w:w="70" w:type="dxa"/>
        </w:tblCellMar>
        <w:tblLook w:val="0000" w:firstRow="0" w:lastRow="0" w:firstColumn="0" w:lastColumn="0" w:noHBand="0" w:noVBand="0"/>
      </w:tblPr>
      <w:tblGrid>
        <w:gridCol w:w="827"/>
        <w:gridCol w:w="2768"/>
        <w:gridCol w:w="196"/>
        <w:gridCol w:w="751"/>
        <w:gridCol w:w="2049"/>
        <w:gridCol w:w="1200"/>
      </w:tblGrid>
      <w:tr w:rsidR="003A0F9F" w:rsidRPr="00A30540" w:rsidTr="003A0F9F">
        <w:trPr>
          <w:trHeight w:val="255"/>
        </w:trPr>
        <w:tc>
          <w:tcPr>
            <w:tcW w:w="3791" w:type="dxa"/>
            <w:gridSpan w:val="3"/>
            <w:tcBorders>
              <w:top w:val="single" w:sz="4" w:space="0" w:color="auto"/>
              <w:left w:val="single" w:sz="4" w:space="0" w:color="auto"/>
              <w:bottom w:val="nil"/>
              <w:right w:val="single" w:sz="4" w:space="0" w:color="000000"/>
            </w:tcBorders>
            <w:shd w:val="clear" w:color="auto" w:fill="FFFFFF"/>
            <w:noWrap/>
            <w:vAlign w:val="bottom"/>
          </w:tcPr>
          <w:p w:rsidR="003A0F9F" w:rsidRPr="00A30540" w:rsidRDefault="003A0F9F" w:rsidP="00E45A5D">
            <w:pPr>
              <w:widowControl w:val="0"/>
              <w:rPr>
                <w:rFonts w:cs="Arial"/>
                <w:b/>
                <w:bCs/>
                <w:sz w:val="20"/>
                <w:u w:val="single"/>
              </w:rPr>
            </w:pPr>
            <w:r w:rsidRPr="00A30540">
              <w:rPr>
                <w:rFonts w:cs="Arial"/>
                <w:b/>
                <w:bCs/>
                <w:sz w:val="20"/>
                <w:u w:val="single"/>
              </w:rPr>
              <w:t>CODIGO TRIBUTARIO multas</w:t>
            </w:r>
          </w:p>
        </w:tc>
        <w:tc>
          <w:tcPr>
            <w:tcW w:w="2800" w:type="dxa"/>
            <w:gridSpan w:val="2"/>
            <w:tcBorders>
              <w:top w:val="single" w:sz="4" w:space="0" w:color="auto"/>
              <w:left w:val="single" w:sz="4" w:space="0" w:color="auto"/>
              <w:bottom w:val="nil"/>
              <w:right w:val="nil"/>
            </w:tcBorders>
            <w:shd w:val="clear" w:color="auto" w:fill="FFFFFF"/>
            <w:noWrap/>
            <w:vAlign w:val="bottom"/>
          </w:tcPr>
          <w:p w:rsidR="003A0F9F" w:rsidRPr="00A30540" w:rsidRDefault="003A0F9F" w:rsidP="00E45A5D">
            <w:pPr>
              <w:widowControl w:val="0"/>
              <w:rPr>
                <w:rFonts w:cs="Arial"/>
                <w:b/>
                <w:bCs/>
                <w:sz w:val="20"/>
                <w:u w:val="single"/>
              </w:rPr>
            </w:pPr>
            <w:r w:rsidRPr="00A30540">
              <w:rPr>
                <w:rFonts w:cs="Arial"/>
                <w:b/>
                <w:bCs/>
                <w:sz w:val="20"/>
                <w:u w:val="single"/>
              </w:rPr>
              <w:t>DECRETO JDF 9/01 multas</w:t>
            </w:r>
          </w:p>
        </w:tc>
        <w:tc>
          <w:tcPr>
            <w:tcW w:w="1200" w:type="dxa"/>
            <w:tcBorders>
              <w:top w:val="single" w:sz="4" w:space="0" w:color="auto"/>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r>
      <w:tr w:rsidR="003A0F9F" w:rsidRPr="00A30540" w:rsidTr="003A0F9F">
        <w:trPr>
          <w:trHeight w:val="255"/>
        </w:trPr>
        <w:tc>
          <w:tcPr>
            <w:tcW w:w="827" w:type="dxa"/>
            <w:tcBorders>
              <w:top w:val="nil"/>
              <w:left w:val="single" w:sz="4" w:space="0" w:color="auto"/>
              <w:bottom w:val="nil"/>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5%</w:t>
            </w:r>
          </w:p>
        </w:tc>
        <w:tc>
          <w:tcPr>
            <w:tcW w:w="2768" w:type="dxa"/>
            <w:tcBorders>
              <w:top w:val="nil"/>
              <w:left w:val="nil"/>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0-5 días hábiles</w:t>
            </w:r>
          </w:p>
        </w:tc>
        <w:tc>
          <w:tcPr>
            <w:tcW w:w="196" w:type="dxa"/>
            <w:tcBorders>
              <w:top w:val="nil"/>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c>
          <w:tcPr>
            <w:tcW w:w="751" w:type="dxa"/>
            <w:tcBorders>
              <w:top w:val="nil"/>
              <w:left w:val="nil"/>
              <w:bottom w:val="nil"/>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0%</w:t>
            </w:r>
          </w:p>
        </w:tc>
        <w:tc>
          <w:tcPr>
            <w:tcW w:w="2049" w:type="dxa"/>
            <w:tcBorders>
              <w:top w:val="nil"/>
              <w:left w:val="nil"/>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del día 1 al 2</w:t>
            </w:r>
          </w:p>
        </w:tc>
        <w:tc>
          <w:tcPr>
            <w:tcW w:w="1200" w:type="dxa"/>
            <w:tcBorders>
              <w:top w:val="nil"/>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r>
      <w:tr w:rsidR="003A0F9F" w:rsidRPr="00A30540" w:rsidTr="003A0F9F">
        <w:trPr>
          <w:trHeight w:val="255"/>
        </w:trPr>
        <w:tc>
          <w:tcPr>
            <w:tcW w:w="827" w:type="dxa"/>
            <w:tcBorders>
              <w:top w:val="nil"/>
              <w:left w:val="single" w:sz="4" w:space="0" w:color="auto"/>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c>
          <w:tcPr>
            <w:tcW w:w="2768" w:type="dxa"/>
            <w:tcBorders>
              <w:top w:val="nil"/>
              <w:left w:val="nil"/>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c>
          <w:tcPr>
            <w:tcW w:w="196" w:type="dxa"/>
            <w:tcBorders>
              <w:top w:val="nil"/>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c>
          <w:tcPr>
            <w:tcW w:w="751" w:type="dxa"/>
            <w:tcBorders>
              <w:top w:val="nil"/>
              <w:left w:val="nil"/>
              <w:bottom w:val="nil"/>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5%</w:t>
            </w:r>
          </w:p>
        </w:tc>
        <w:tc>
          <w:tcPr>
            <w:tcW w:w="2049" w:type="dxa"/>
            <w:tcBorders>
              <w:top w:val="nil"/>
              <w:left w:val="nil"/>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3-5 día</w:t>
            </w:r>
          </w:p>
        </w:tc>
        <w:tc>
          <w:tcPr>
            <w:tcW w:w="1200" w:type="dxa"/>
            <w:tcBorders>
              <w:top w:val="nil"/>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r>
      <w:tr w:rsidR="003A0F9F" w:rsidRPr="00A30540" w:rsidTr="003A0F9F">
        <w:trPr>
          <w:trHeight w:val="255"/>
        </w:trPr>
        <w:tc>
          <w:tcPr>
            <w:tcW w:w="827" w:type="dxa"/>
            <w:tcBorders>
              <w:top w:val="nil"/>
              <w:left w:val="single" w:sz="4" w:space="0" w:color="auto"/>
              <w:bottom w:val="nil"/>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10%</w:t>
            </w:r>
          </w:p>
        </w:tc>
        <w:tc>
          <w:tcPr>
            <w:tcW w:w="2768" w:type="dxa"/>
            <w:tcBorders>
              <w:top w:val="nil"/>
              <w:left w:val="nil"/>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6-90 días</w:t>
            </w:r>
          </w:p>
        </w:tc>
        <w:tc>
          <w:tcPr>
            <w:tcW w:w="196" w:type="dxa"/>
            <w:tcBorders>
              <w:top w:val="nil"/>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c>
          <w:tcPr>
            <w:tcW w:w="751" w:type="dxa"/>
            <w:tcBorders>
              <w:top w:val="nil"/>
              <w:left w:val="nil"/>
              <w:bottom w:val="nil"/>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10%</w:t>
            </w:r>
          </w:p>
        </w:tc>
        <w:tc>
          <w:tcPr>
            <w:tcW w:w="2049" w:type="dxa"/>
            <w:tcBorders>
              <w:top w:val="nil"/>
              <w:left w:val="nil"/>
              <w:bottom w:val="nil"/>
              <w:right w:val="nil"/>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6-15 día</w:t>
            </w:r>
          </w:p>
        </w:tc>
        <w:tc>
          <w:tcPr>
            <w:tcW w:w="1200" w:type="dxa"/>
            <w:tcBorders>
              <w:top w:val="nil"/>
              <w:left w:val="nil"/>
              <w:bottom w:val="nil"/>
              <w:right w:val="single" w:sz="4" w:space="0" w:color="auto"/>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w:t>
            </w:r>
          </w:p>
        </w:tc>
      </w:tr>
      <w:tr w:rsidR="003A0F9F" w:rsidRPr="00A30540" w:rsidTr="003A0F9F">
        <w:trPr>
          <w:trHeight w:val="255"/>
        </w:trPr>
        <w:tc>
          <w:tcPr>
            <w:tcW w:w="827" w:type="dxa"/>
            <w:tcBorders>
              <w:top w:val="nil"/>
              <w:left w:val="single" w:sz="4" w:space="0" w:color="auto"/>
              <w:bottom w:val="single" w:sz="4" w:space="0" w:color="auto"/>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20%</w:t>
            </w:r>
          </w:p>
        </w:tc>
        <w:tc>
          <w:tcPr>
            <w:tcW w:w="2964" w:type="dxa"/>
            <w:gridSpan w:val="2"/>
            <w:tcBorders>
              <w:top w:val="nil"/>
              <w:left w:val="nil"/>
              <w:bottom w:val="single" w:sz="4" w:space="0" w:color="auto"/>
              <w:right w:val="single" w:sz="4" w:space="0" w:color="000000"/>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más de 90 días</w:t>
            </w:r>
          </w:p>
        </w:tc>
        <w:tc>
          <w:tcPr>
            <w:tcW w:w="751" w:type="dxa"/>
            <w:tcBorders>
              <w:top w:val="nil"/>
              <w:left w:val="nil"/>
              <w:bottom w:val="single" w:sz="4" w:space="0" w:color="auto"/>
              <w:right w:val="nil"/>
            </w:tcBorders>
            <w:shd w:val="clear" w:color="auto" w:fill="FFFFFF"/>
            <w:noWrap/>
            <w:vAlign w:val="bottom"/>
          </w:tcPr>
          <w:p w:rsidR="003A0F9F" w:rsidRPr="00A30540" w:rsidRDefault="003A0F9F" w:rsidP="00E45A5D">
            <w:pPr>
              <w:widowControl w:val="0"/>
              <w:jc w:val="right"/>
              <w:rPr>
                <w:rFonts w:cs="Arial"/>
                <w:sz w:val="20"/>
              </w:rPr>
            </w:pPr>
            <w:r w:rsidRPr="00A30540">
              <w:rPr>
                <w:rFonts w:cs="Arial"/>
                <w:sz w:val="20"/>
              </w:rPr>
              <w:t>15%</w:t>
            </w:r>
          </w:p>
        </w:tc>
        <w:tc>
          <w:tcPr>
            <w:tcW w:w="3249" w:type="dxa"/>
            <w:gridSpan w:val="2"/>
            <w:tcBorders>
              <w:top w:val="nil"/>
              <w:left w:val="nil"/>
              <w:bottom w:val="single" w:sz="4" w:space="0" w:color="auto"/>
              <w:right w:val="single" w:sz="4" w:space="0" w:color="000000"/>
            </w:tcBorders>
            <w:shd w:val="clear" w:color="auto" w:fill="FFFFFF"/>
            <w:noWrap/>
            <w:vAlign w:val="bottom"/>
          </w:tcPr>
          <w:p w:rsidR="003A0F9F" w:rsidRPr="00A30540" w:rsidRDefault="003A0F9F" w:rsidP="00E45A5D">
            <w:pPr>
              <w:widowControl w:val="0"/>
              <w:rPr>
                <w:rFonts w:cs="Arial"/>
                <w:sz w:val="20"/>
              </w:rPr>
            </w:pPr>
            <w:r w:rsidRPr="00A30540">
              <w:rPr>
                <w:rFonts w:cs="Arial"/>
                <w:sz w:val="20"/>
              </w:rPr>
              <w:t xml:space="preserve">más de 16 días </w:t>
            </w:r>
          </w:p>
        </w:tc>
      </w:tr>
    </w:tbl>
    <w:p w:rsidR="003A0F9F" w:rsidRDefault="003A0F9F" w:rsidP="00E45A5D">
      <w:pPr>
        <w:widowControl w:val="0"/>
        <w:tabs>
          <w:tab w:val="left" w:pos="2694"/>
        </w:tabs>
        <w:rPr>
          <w:rFonts w:cs="Arial"/>
          <w:lang w:val="es-MX"/>
        </w:rPr>
      </w:pPr>
    </w:p>
    <w:p w:rsidR="003A0F9F" w:rsidRPr="00EA17A3" w:rsidRDefault="003A0F9F" w:rsidP="00643BF4">
      <w:pPr>
        <w:widowControl w:val="0"/>
        <w:spacing w:line="360" w:lineRule="auto"/>
        <w:rPr>
          <w:rFonts w:cs="Arial"/>
          <w:b/>
        </w:rPr>
      </w:pPr>
      <w:bookmarkStart w:id="9" w:name="_Toc397079390"/>
      <w:r>
        <w:rPr>
          <w:rFonts w:cs="Arial"/>
          <w:b/>
        </w:rPr>
        <w:t>3.5</w:t>
      </w:r>
      <w:r w:rsidRPr="00EA17A3">
        <w:rPr>
          <w:rFonts w:cs="Arial"/>
          <w:b/>
        </w:rPr>
        <w:t xml:space="preserve"> </w:t>
      </w:r>
      <w:r>
        <w:rPr>
          <w:rFonts w:cs="Arial"/>
          <w:b/>
        </w:rPr>
        <w:t>Artículo 15 del TOCAF</w:t>
      </w:r>
    </w:p>
    <w:p w:rsidR="003A0F9F" w:rsidRDefault="003A0F9F" w:rsidP="00643BF4">
      <w:pPr>
        <w:widowControl w:val="0"/>
        <w:autoSpaceDE w:val="0"/>
        <w:autoSpaceDN w:val="0"/>
        <w:adjustRightInd w:val="0"/>
        <w:spacing w:line="360" w:lineRule="auto"/>
        <w:jc w:val="both"/>
        <w:rPr>
          <w:rFonts w:cs="Arial"/>
        </w:rPr>
      </w:pPr>
      <w:r w:rsidRPr="00873E2E">
        <w:rPr>
          <w:rFonts w:cs="Arial"/>
        </w:rPr>
        <w:t xml:space="preserve">Si bien se utilizó el mecanismo de la trasposición entre objetos, se produjeron excesos de gastos en el </w:t>
      </w:r>
      <w:r>
        <w:rPr>
          <w:rFonts w:cs="Arial"/>
        </w:rPr>
        <w:t>E</w:t>
      </w:r>
      <w:r w:rsidRPr="00873E2E">
        <w:rPr>
          <w:rFonts w:cs="Arial"/>
        </w:rPr>
        <w:t>jercicio 2015 por un total de $ 511:464.583,  contraviniendo lo establecido en la presente norma. Asimismo, en otros objetos se produjeron economías por $ 239:432.454.</w:t>
      </w:r>
    </w:p>
    <w:p w:rsidR="003A0F9F" w:rsidRDefault="003A0F9F" w:rsidP="00E45A5D">
      <w:pPr>
        <w:widowControl w:val="0"/>
        <w:autoSpaceDE w:val="0"/>
        <w:autoSpaceDN w:val="0"/>
        <w:adjustRightInd w:val="0"/>
        <w:rPr>
          <w:rFonts w:cs="Arial"/>
        </w:rPr>
      </w:pPr>
    </w:p>
    <w:bookmarkEnd w:id="9"/>
    <w:p w:rsidR="003A0F9F" w:rsidRPr="00A6068A" w:rsidRDefault="003A0F9F" w:rsidP="00643BF4">
      <w:pPr>
        <w:widowControl w:val="0"/>
        <w:spacing w:line="360" w:lineRule="auto"/>
        <w:rPr>
          <w:rFonts w:cs="Arial"/>
          <w:b/>
        </w:rPr>
      </w:pPr>
      <w:r>
        <w:rPr>
          <w:rFonts w:cs="Arial"/>
          <w:b/>
        </w:rPr>
        <w:t>3.6</w:t>
      </w:r>
      <w:r w:rsidRPr="00A6068A">
        <w:rPr>
          <w:rFonts w:cs="Arial"/>
          <w:b/>
        </w:rPr>
        <w:t xml:space="preserve"> </w:t>
      </w:r>
      <w:r>
        <w:rPr>
          <w:rFonts w:cs="Arial"/>
          <w:b/>
        </w:rPr>
        <w:t>Artículo 16 del TOCAF</w:t>
      </w:r>
    </w:p>
    <w:p w:rsidR="003A0F9F" w:rsidRDefault="003A0F9F" w:rsidP="00643BF4">
      <w:pPr>
        <w:pStyle w:val="Textoindependiente"/>
        <w:widowControl w:val="0"/>
        <w:suppressAutoHyphens w:val="0"/>
        <w:spacing w:after="0" w:line="360" w:lineRule="auto"/>
        <w:rPr>
          <w:rFonts w:cs="Arial"/>
          <w:szCs w:val="24"/>
        </w:rPr>
      </w:pPr>
      <w:r w:rsidRPr="00873E2E">
        <w:rPr>
          <w:rFonts w:cs="Arial"/>
          <w:szCs w:val="24"/>
        </w:rPr>
        <w:t>En el muestreo realizado se constató que se imputar</w:t>
      </w:r>
      <w:r>
        <w:rPr>
          <w:rFonts w:cs="Arial"/>
          <w:szCs w:val="24"/>
        </w:rPr>
        <w:t>on al Grupo 5 Transferencias,</w:t>
      </w:r>
      <w:r w:rsidRPr="00873E2E">
        <w:rPr>
          <w:rFonts w:cs="Arial"/>
          <w:szCs w:val="24"/>
        </w:rPr>
        <w:t xml:space="preserve"> Objeto 559, gastos en concepto de prestación de servicios efectuados por </w:t>
      </w:r>
      <w:proofErr w:type="spellStart"/>
      <w:r w:rsidRPr="00873E2E">
        <w:rPr>
          <w:rFonts w:cs="Arial"/>
          <w:szCs w:val="24"/>
        </w:rPr>
        <w:t>ONGs</w:t>
      </w:r>
      <w:proofErr w:type="spellEnd"/>
      <w:r w:rsidRPr="00873E2E">
        <w:rPr>
          <w:rFonts w:cs="Arial"/>
          <w:szCs w:val="24"/>
        </w:rPr>
        <w:t xml:space="preserve"> por servicios varios tales como: servicios de limpieza y conserjería, barrido y recolección, cuidado de espacios, cuadrilla de bacheo y vigilancia, mantenimiento de infraestructura, etc., cuando hubiera correspondido imputarlos al Grupo 2 Servicios</w:t>
      </w:r>
      <w:r>
        <w:rPr>
          <w:rFonts w:cs="Arial"/>
          <w:szCs w:val="24"/>
        </w:rPr>
        <w:t xml:space="preserve"> No</w:t>
      </w:r>
      <w:r w:rsidRPr="00873E2E">
        <w:rPr>
          <w:rFonts w:cs="Arial"/>
          <w:szCs w:val="24"/>
        </w:rPr>
        <w:t xml:space="preserve"> Personales, no dándose cumplimiento a lo dispuesto en el Artículo 16 del TOCAF.</w:t>
      </w:r>
    </w:p>
    <w:p w:rsidR="003A0F9F" w:rsidRDefault="003A0F9F" w:rsidP="00E45A5D">
      <w:pPr>
        <w:pStyle w:val="Textoindependiente"/>
        <w:widowControl w:val="0"/>
        <w:suppressAutoHyphens w:val="0"/>
        <w:spacing w:after="0" w:line="360" w:lineRule="auto"/>
        <w:rPr>
          <w:rFonts w:cs="Arial"/>
          <w:szCs w:val="24"/>
        </w:rPr>
      </w:pPr>
    </w:p>
    <w:p w:rsidR="003A0F9F" w:rsidRPr="00434A35" w:rsidRDefault="003A0F9F" w:rsidP="00643BF4">
      <w:pPr>
        <w:widowControl w:val="0"/>
        <w:spacing w:line="360" w:lineRule="auto"/>
        <w:rPr>
          <w:rFonts w:cs="Arial"/>
          <w:b/>
        </w:rPr>
      </w:pPr>
      <w:bookmarkStart w:id="10" w:name="_Toc397079395"/>
      <w:r>
        <w:rPr>
          <w:rFonts w:cs="Arial"/>
          <w:b/>
        </w:rPr>
        <w:t>3.7</w:t>
      </w:r>
      <w:r w:rsidRPr="00434A35">
        <w:rPr>
          <w:rFonts w:cs="Arial"/>
          <w:b/>
        </w:rPr>
        <w:t xml:space="preserve"> Ordenanza N° 62</w:t>
      </w:r>
      <w:r w:rsidRPr="00434A35">
        <w:rPr>
          <w:rFonts w:cs="Arial"/>
        </w:rPr>
        <w:t xml:space="preserve"> </w:t>
      </w:r>
      <w:r w:rsidRPr="00643BF4">
        <w:rPr>
          <w:rStyle w:val="Ttulo2Car"/>
          <w:rFonts w:eastAsia="Calibri"/>
          <w:i w:val="0"/>
          <w:sz w:val="24"/>
          <w:szCs w:val="24"/>
        </w:rPr>
        <w:t>del Tribunal de Cuentas</w:t>
      </w:r>
    </w:p>
    <w:p w:rsidR="003A0F9F" w:rsidRDefault="003A0F9F" w:rsidP="00643BF4">
      <w:pPr>
        <w:widowControl w:val="0"/>
        <w:spacing w:line="360" w:lineRule="auto"/>
        <w:jc w:val="both"/>
        <w:rPr>
          <w:rFonts w:cs="Arial"/>
        </w:rPr>
      </w:pPr>
      <w:bookmarkStart w:id="11" w:name="_Toc341790985"/>
      <w:bookmarkStart w:id="12" w:name="_Toc364954072"/>
      <w:bookmarkEnd w:id="10"/>
      <w:r w:rsidRPr="00873E2E">
        <w:t xml:space="preserve">En el </w:t>
      </w:r>
      <w:r>
        <w:t>E</w:t>
      </w:r>
      <w:r w:rsidRPr="00873E2E">
        <w:t xml:space="preserve">jercicio 2015, el Intendente promulgó el Decreto Nº 35/2015 referido a exoneraciones del pago de tasas de los análisis de agua a productores lecheros, y el Decreto Nº 37/2015, relativo a un plan de cancelación de adeudos de Patente de Rodados en el marco del SUCIVE, sin que este Tribunal se hubiera expedido, no dando </w:t>
      </w:r>
      <w:r w:rsidRPr="00873E2E">
        <w:rPr>
          <w:rFonts w:cs="Arial"/>
        </w:rPr>
        <w:t>cumplimiento al procedimiento dispuesto en la citada Ordenanza.</w:t>
      </w:r>
    </w:p>
    <w:p w:rsidR="003A0F9F" w:rsidRDefault="003A0F9F" w:rsidP="00E45A5D">
      <w:pPr>
        <w:widowControl w:val="0"/>
      </w:pPr>
    </w:p>
    <w:p w:rsidR="003A0F9F" w:rsidRPr="005958F5" w:rsidRDefault="003A0F9F" w:rsidP="00E45A5D">
      <w:pPr>
        <w:pStyle w:val="Textoindependiente"/>
        <w:widowControl w:val="0"/>
        <w:suppressAutoHyphens w:val="0"/>
        <w:spacing w:after="0" w:line="360" w:lineRule="auto"/>
        <w:rPr>
          <w:rFonts w:cs="Arial"/>
          <w:b/>
          <w:kern w:val="0"/>
          <w:szCs w:val="24"/>
          <w:lang w:val="es-ES"/>
        </w:rPr>
      </w:pPr>
      <w:r>
        <w:rPr>
          <w:rFonts w:cs="Arial"/>
          <w:b/>
          <w:kern w:val="0"/>
          <w:szCs w:val="24"/>
          <w:lang w:val="es-ES"/>
        </w:rPr>
        <w:t xml:space="preserve">4. </w:t>
      </w:r>
      <w:r>
        <w:rPr>
          <w:b/>
          <w:lang w:val="es-ES" w:eastAsia="es-ES"/>
        </w:rPr>
        <w:t>DEBILIDADES DE CONTROL INTERNO</w:t>
      </w:r>
    </w:p>
    <w:p w:rsidR="003A0F9F" w:rsidRPr="004C1CC2" w:rsidRDefault="003A0F9F" w:rsidP="00E45A5D">
      <w:pPr>
        <w:widowControl w:val="0"/>
        <w:rPr>
          <w:highlight w:val="cyan"/>
        </w:rPr>
      </w:pPr>
    </w:p>
    <w:p w:rsidR="003A0F9F" w:rsidRPr="00873E2E" w:rsidRDefault="003A0F9F" w:rsidP="00643BF4">
      <w:pPr>
        <w:widowControl w:val="0"/>
        <w:spacing w:line="360" w:lineRule="auto"/>
        <w:rPr>
          <w:b/>
        </w:rPr>
      </w:pPr>
      <w:r w:rsidRPr="00873E2E">
        <w:rPr>
          <w:b/>
        </w:rPr>
        <w:t>Manuales de procedimiento</w:t>
      </w:r>
    </w:p>
    <w:p w:rsidR="003A0F9F" w:rsidRDefault="003A0F9F" w:rsidP="00643BF4">
      <w:pPr>
        <w:widowControl w:val="0"/>
        <w:spacing w:line="360" w:lineRule="auto"/>
        <w:jc w:val="both"/>
        <w:rPr>
          <w:rFonts w:cs="Arial"/>
          <w:color w:val="000000"/>
          <w:shd w:val="clear" w:color="auto" w:fill="FFFFFF"/>
        </w:rPr>
      </w:pPr>
      <w:r w:rsidRPr="00873E2E">
        <w:rPr>
          <w:rFonts w:cs="Arial"/>
          <w:color w:val="000000"/>
          <w:shd w:val="clear" w:color="auto" w:fill="FFFFFF"/>
        </w:rPr>
        <w:t>No se cuenta con manuales de procedimientos para la totalidad de las tareas a realizar</w:t>
      </w:r>
      <w:r>
        <w:rPr>
          <w:rFonts w:cs="Arial"/>
          <w:color w:val="000000"/>
          <w:shd w:val="clear" w:color="auto" w:fill="FFFFFF"/>
        </w:rPr>
        <w:t>.</w:t>
      </w:r>
    </w:p>
    <w:p w:rsidR="003A0F9F" w:rsidRPr="005958F5" w:rsidRDefault="003A0F9F" w:rsidP="00E45A5D">
      <w:pPr>
        <w:widowControl w:val="0"/>
        <w:rPr>
          <w:rFonts w:cs="Arial"/>
        </w:rPr>
      </w:pPr>
    </w:p>
    <w:p w:rsidR="003A0F9F" w:rsidRDefault="003A0F9F" w:rsidP="00E45A5D">
      <w:pPr>
        <w:pStyle w:val="Ttulo2"/>
        <w:widowControl w:val="0"/>
        <w:spacing w:before="0" w:after="0" w:line="360" w:lineRule="auto"/>
        <w:jc w:val="both"/>
        <w:rPr>
          <w:bCs w:val="0"/>
          <w:i w:val="0"/>
          <w:iCs w:val="0"/>
          <w:kern w:val="18"/>
          <w:sz w:val="24"/>
          <w:szCs w:val="24"/>
        </w:rPr>
      </w:pPr>
      <w:r>
        <w:rPr>
          <w:bCs w:val="0"/>
          <w:i w:val="0"/>
          <w:iCs w:val="0"/>
          <w:kern w:val="18"/>
          <w:sz w:val="24"/>
          <w:szCs w:val="24"/>
        </w:rPr>
        <w:t>5.</w:t>
      </w:r>
      <w:r w:rsidRPr="00630DB8">
        <w:rPr>
          <w:bCs w:val="0"/>
          <w:i w:val="0"/>
          <w:iCs w:val="0"/>
          <w:kern w:val="18"/>
          <w:sz w:val="24"/>
          <w:szCs w:val="24"/>
        </w:rPr>
        <w:t xml:space="preserve"> </w:t>
      </w:r>
      <w:bookmarkEnd w:id="11"/>
      <w:bookmarkEnd w:id="12"/>
      <w:r w:rsidRPr="00630DB8">
        <w:rPr>
          <w:bCs w:val="0"/>
          <w:i w:val="0"/>
          <w:iCs w:val="0"/>
          <w:kern w:val="18"/>
          <w:sz w:val="24"/>
          <w:szCs w:val="24"/>
        </w:rPr>
        <w:t>RECOMENDACIONES</w:t>
      </w:r>
    </w:p>
    <w:p w:rsidR="003A0F9F" w:rsidRPr="00630DB8" w:rsidRDefault="003A0F9F" w:rsidP="00E45A5D">
      <w:pPr>
        <w:widowControl w:val="0"/>
      </w:pPr>
    </w:p>
    <w:p w:rsidR="003A0F9F" w:rsidRDefault="003A0F9F" w:rsidP="00E45A5D">
      <w:pPr>
        <w:widowControl w:val="0"/>
        <w:outlineLvl w:val="1"/>
        <w:rPr>
          <w:rFonts w:cs="Arial"/>
          <w:b/>
          <w:kern w:val="18"/>
        </w:rPr>
      </w:pPr>
      <w:r>
        <w:rPr>
          <w:rFonts w:cs="Arial"/>
          <w:b/>
          <w:kern w:val="18"/>
        </w:rPr>
        <w:t>5</w:t>
      </w:r>
      <w:r w:rsidRPr="00961289">
        <w:rPr>
          <w:rFonts w:cs="Arial"/>
          <w:b/>
          <w:kern w:val="18"/>
        </w:rPr>
        <w:t xml:space="preserve">.1 </w:t>
      </w:r>
      <w:bookmarkStart w:id="13" w:name="_Toc341790986"/>
      <w:bookmarkStart w:id="14" w:name="_Toc364954073"/>
      <w:r w:rsidRPr="00961289">
        <w:rPr>
          <w:rFonts w:cs="Arial"/>
          <w:b/>
          <w:kern w:val="18"/>
        </w:rPr>
        <w:t>Recomendaciones del ejercicio anterior cumplidas</w:t>
      </w:r>
      <w:bookmarkEnd w:id="13"/>
      <w:bookmarkEnd w:id="14"/>
    </w:p>
    <w:p w:rsidR="003A0F9F" w:rsidRDefault="003A0F9F" w:rsidP="00E45A5D">
      <w:pPr>
        <w:widowControl w:val="0"/>
        <w:outlineLvl w:val="1"/>
        <w:rPr>
          <w:rFonts w:cs="Arial"/>
          <w:b/>
          <w:kern w:val="18"/>
        </w:rPr>
      </w:pPr>
    </w:p>
    <w:p w:rsidR="003A0F9F" w:rsidRPr="00D93D3B" w:rsidRDefault="003A0F9F" w:rsidP="00E45A5D">
      <w:pPr>
        <w:widowControl w:val="0"/>
        <w:autoSpaceDE w:val="0"/>
        <w:autoSpaceDN w:val="0"/>
        <w:adjustRightInd w:val="0"/>
        <w:spacing w:line="360" w:lineRule="auto"/>
        <w:rPr>
          <w:rFonts w:ascii="LiberationSans-Bold" w:hAnsi="LiberationSans-Bold" w:cs="LiberationSans-Bold"/>
          <w:b/>
          <w:bCs/>
        </w:rPr>
      </w:pPr>
      <w:bookmarkStart w:id="15" w:name="_Toc397079422"/>
      <w:bookmarkStart w:id="16" w:name="_Toc239757117"/>
      <w:bookmarkStart w:id="17" w:name="_Toc341790991"/>
      <w:bookmarkStart w:id="18" w:name="_Toc364954078"/>
      <w:r>
        <w:rPr>
          <w:rFonts w:ascii="LiberationSans-Bold" w:hAnsi="LiberationSans-Bold" w:cs="LiberationSans-Bold"/>
          <w:b/>
          <w:bCs/>
        </w:rPr>
        <w:t>5.1.1</w:t>
      </w:r>
      <w:r w:rsidRPr="005E3495">
        <w:rPr>
          <w:rFonts w:ascii="LiberationSans-Bold" w:hAnsi="LiberationSans-Bold" w:cs="LiberationSans-Bold"/>
          <w:b/>
          <w:bCs/>
        </w:rPr>
        <w:t xml:space="preserve"> </w:t>
      </w:r>
      <w:r>
        <w:rPr>
          <w:b/>
          <w:kern w:val="18"/>
        </w:rPr>
        <w:t>Contratación de personas con discapacidad</w:t>
      </w:r>
    </w:p>
    <w:p w:rsidR="003A0F9F" w:rsidRDefault="003A0F9F" w:rsidP="00E45A5D">
      <w:pPr>
        <w:widowControl w:val="0"/>
        <w:spacing w:line="360" w:lineRule="auto"/>
        <w:jc w:val="both"/>
        <w:rPr>
          <w:kern w:val="18"/>
        </w:rPr>
      </w:pPr>
      <w:r w:rsidRPr="00873E2E">
        <w:rPr>
          <w:kern w:val="18"/>
        </w:rPr>
        <w:t xml:space="preserve">En el </w:t>
      </w:r>
      <w:r>
        <w:rPr>
          <w:kern w:val="18"/>
        </w:rPr>
        <w:t>E</w:t>
      </w:r>
      <w:r w:rsidRPr="00873E2E">
        <w:rPr>
          <w:kern w:val="18"/>
        </w:rPr>
        <w:t>jercicio 2015 se dio cumplimiento a lo dispuesto en el Artículo 49 de la Ley Nº 18.651, al ocupar personas con discapacidad en una proporción mínima no inferior al 4% (cuatro por ciento) de sus vacantes.</w:t>
      </w:r>
    </w:p>
    <w:p w:rsidR="003A0F9F" w:rsidRDefault="003A0F9F" w:rsidP="00E45A5D">
      <w:pPr>
        <w:widowControl w:val="0"/>
        <w:rPr>
          <w:kern w:val="18"/>
        </w:rPr>
      </w:pPr>
    </w:p>
    <w:p w:rsidR="003A0F9F" w:rsidRPr="00873E2E" w:rsidRDefault="003A0F9F" w:rsidP="00E45A5D">
      <w:pPr>
        <w:keepNext/>
        <w:widowControl w:val="0"/>
        <w:overflowPunct w:val="0"/>
        <w:autoSpaceDE w:val="0"/>
        <w:autoSpaceDN w:val="0"/>
        <w:adjustRightInd w:val="0"/>
        <w:spacing w:line="360" w:lineRule="auto"/>
        <w:textAlignment w:val="baseline"/>
        <w:outlineLvl w:val="3"/>
        <w:rPr>
          <w:rFonts w:cs="Arial"/>
          <w:b/>
          <w:bCs/>
          <w:iCs/>
          <w:kern w:val="20"/>
        </w:rPr>
      </w:pPr>
      <w:r>
        <w:rPr>
          <w:rFonts w:cs="Arial"/>
          <w:b/>
          <w:bCs/>
          <w:iCs/>
          <w:kern w:val="20"/>
        </w:rPr>
        <w:t>5</w:t>
      </w:r>
      <w:r w:rsidRPr="00873E2E">
        <w:rPr>
          <w:rFonts w:cs="Arial"/>
          <w:b/>
          <w:bCs/>
          <w:iCs/>
          <w:kern w:val="20"/>
        </w:rPr>
        <w:t>.1.2 Artículo 51 del TOCAF</w:t>
      </w:r>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sidRPr="00873E2E">
        <w:rPr>
          <w:rFonts w:cs="Arial"/>
          <w:kern w:val="18"/>
        </w:rPr>
        <w:t>No se constató que se hubieran realizado publicaciones de las prórrogas a la fecha de apertura de las licitaciones, de manera diferente a la del acto inicial de apertura.</w:t>
      </w:r>
    </w:p>
    <w:p w:rsidR="003A0F9F" w:rsidRDefault="003A0F9F" w:rsidP="00E45A5D">
      <w:pPr>
        <w:widowControl w:val="0"/>
        <w:overflowPunct w:val="0"/>
        <w:autoSpaceDE w:val="0"/>
        <w:autoSpaceDN w:val="0"/>
        <w:adjustRightInd w:val="0"/>
        <w:textAlignment w:val="baseline"/>
        <w:rPr>
          <w:rFonts w:cs="Arial"/>
          <w:kern w:val="18"/>
        </w:rPr>
      </w:pPr>
    </w:p>
    <w:p w:rsidR="003A0F9F" w:rsidRPr="00297D8E" w:rsidRDefault="003A0F9F" w:rsidP="00E45A5D">
      <w:pPr>
        <w:widowControl w:val="0"/>
        <w:autoSpaceDE w:val="0"/>
        <w:autoSpaceDN w:val="0"/>
        <w:adjustRightInd w:val="0"/>
        <w:spacing w:line="360" w:lineRule="auto"/>
        <w:rPr>
          <w:rFonts w:cs="Arial"/>
          <w:b/>
          <w:kern w:val="18"/>
        </w:rPr>
      </w:pPr>
      <w:r>
        <w:rPr>
          <w:rFonts w:cs="Arial"/>
          <w:b/>
          <w:bCs/>
        </w:rPr>
        <w:t>5.1.3 Artículo</w:t>
      </w:r>
      <w:r w:rsidRPr="00297D8E">
        <w:rPr>
          <w:rFonts w:cs="Arial"/>
          <w:b/>
          <w:bCs/>
        </w:rPr>
        <w:t xml:space="preserve"> 132 del TOCAF </w:t>
      </w:r>
    </w:p>
    <w:p w:rsidR="003A0F9F" w:rsidRPr="00297D8E" w:rsidRDefault="003A0F9F" w:rsidP="00E45A5D">
      <w:pPr>
        <w:widowControl w:val="0"/>
        <w:autoSpaceDE w:val="0"/>
        <w:autoSpaceDN w:val="0"/>
        <w:adjustRightInd w:val="0"/>
        <w:spacing w:line="360" w:lineRule="auto"/>
        <w:rPr>
          <w:rFonts w:cs="Arial"/>
          <w:kern w:val="18"/>
        </w:rPr>
      </w:pPr>
      <w:r w:rsidRPr="00297D8E">
        <w:rPr>
          <w:rFonts w:cs="Arial"/>
          <w:bCs/>
        </w:rPr>
        <w:t>Los anticipos de fondos otorgados, fueron rendidos de acuerdo a lo est</w:t>
      </w:r>
      <w:r w:rsidR="005F30F8">
        <w:rPr>
          <w:rFonts w:cs="Arial"/>
          <w:bCs/>
        </w:rPr>
        <w:t>ablecido por la referida norma.</w:t>
      </w:r>
    </w:p>
    <w:p w:rsidR="003A0F9F" w:rsidRPr="00297D8E" w:rsidRDefault="003A0F9F" w:rsidP="00E45A5D">
      <w:pPr>
        <w:widowControl w:val="0"/>
        <w:autoSpaceDE w:val="0"/>
        <w:autoSpaceDN w:val="0"/>
        <w:adjustRightInd w:val="0"/>
        <w:rPr>
          <w:rFonts w:cs="Arial"/>
          <w:kern w:val="18"/>
        </w:rPr>
      </w:pPr>
    </w:p>
    <w:p w:rsidR="003A0F9F" w:rsidRPr="00297D8E" w:rsidRDefault="003A0F9F" w:rsidP="00E45A5D">
      <w:pPr>
        <w:widowControl w:val="0"/>
        <w:autoSpaceDE w:val="0"/>
        <w:autoSpaceDN w:val="0"/>
        <w:adjustRightInd w:val="0"/>
        <w:spacing w:line="360" w:lineRule="auto"/>
        <w:jc w:val="both"/>
        <w:rPr>
          <w:rFonts w:cs="Arial"/>
          <w:b/>
          <w:bCs/>
        </w:rPr>
      </w:pPr>
      <w:r>
        <w:rPr>
          <w:rFonts w:cs="Arial"/>
          <w:b/>
          <w:kern w:val="18"/>
        </w:rPr>
        <w:t xml:space="preserve">5.1.4 </w:t>
      </w:r>
      <w:r w:rsidRPr="00297D8E">
        <w:rPr>
          <w:rFonts w:cs="Arial"/>
          <w:b/>
          <w:kern w:val="18"/>
        </w:rPr>
        <w:t>Estado demostrativo del grado de cumplimiento de los obj</w:t>
      </w:r>
      <w:r>
        <w:rPr>
          <w:rFonts w:cs="Arial"/>
          <w:b/>
          <w:kern w:val="18"/>
        </w:rPr>
        <w:t>etivos y metas programadas (Artículo</w:t>
      </w:r>
      <w:r w:rsidRPr="00297D8E">
        <w:rPr>
          <w:rFonts w:cs="Arial"/>
          <w:b/>
          <w:kern w:val="18"/>
        </w:rPr>
        <w:t xml:space="preserve"> 128 del TOCAF)</w:t>
      </w:r>
    </w:p>
    <w:p w:rsidR="003A0F9F" w:rsidRPr="00297D8E" w:rsidRDefault="003A0F9F" w:rsidP="00E45A5D">
      <w:pPr>
        <w:widowControl w:val="0"/>
        <w:autoSpaceDE w:val="0"/>
        <w:autoSpaceDN w:val="0"/>
        <w:adjustRightInd w:val="0"/>
        <w:spacing w:line="360" w:lineRule="auto"/>
        <w:jc w:val="both"/>
        <w:rPr>
          <w:rFonts w:cs="Arial"/>
          <w:bCs/>
          <w:iCs/>
          <w:kern w:val="20"/>
        </w:rPr>
      </w:pPr>
      <w:r w:rsidRPr="00297D8E">
        <w:rPr>
          <w:rFonts w:cs="Arial"/>
          <w:bCs/>
          <w:iCs/>
          <w:kern w:val="20"/>
        </w:rPr>
        <w:t xml:space="preserve">Para el </w:t>
      </w:r>
      <w:r>
        <w:rPr>
          <w:rFonts w:cs="Arial"/>
          <w:bCs/>
          <w:iCs/>
          <w:kern w:val="20"/>
        </w:rPr>
        <w:t>E</w:t>
      </w:r>
      <w:r w:rsidRPr="00297D8E">
        <w:rPr>
          <w:rFonts w:cs="Arial"/>
          <w:bCs/>
          <w:iCs/>
          <w:kern w:val="20"/>
        </w:rPr>
        <w:t>jercicio 2015 el Estado 1 “Del grado de cumplimiento de los objetivos y metas” incluyó información de las unidades físicas previstas establecidas en la Modificación Presupuestal 2013-2015 y de las ejecutadas.</w:t>
      </w:r>
    </w:p>
    <w:p w:rsidR="003A0F9F" w:rsidRDefault="003A0F9F" w:rsidP="00643BF4">
      <w:pPr>
        <w:keepNext/>
        <w:widowControl w:val="0"/>
        <w:autoSpaceDE w:val="0"/>
        <w:autoSpaceDN w:val="0"/>
        <w:adjustRightInd w:val="0"/>
        <w:spacing w:line="360" w:lineRule="auto"/>
        <w:jc w:val="both"/>
        <w:rPr>
          <w:rFonts w:cs="Arial"/>
          <w:b/>
          <w:bCs/>
          <w:iCs/>
          <w:kern w:val="20"/>
        </w:rPr>
      </w:pPr>
      <w:r>
        <w:rPr>
          <w:rFonts w:cs="Arial"/>
          <w:b/>
          <w:bCs/>
          <w:iCs/>
          <w:kern w:val="20"/>
        </w:rPr>
        <w:t>5.1.5 Quebranto de caja y Compensación por estar a la orden</w:t>
      </w:r>
    </w:p>
    <w:p w:rsidR="003A0F9F" w:rsidRDefault="003A0F9F" w:rsidP="00643BF4">
      <w:pPr>
        <w:keepNext/>
        <w:widowControl w:val="0"/>
        <w:overflowPunct w:val="0"/>
        <w:autoSpaceDE w:val="0"/>
        <w:autoSpaceDN w:val="0"/>
        <w:adjustRightInd w:val="0"/>
        <w:spacing w:line="360" w:lineRule="auto"/>
        <w:jc w:val="both"/>
        <w:textAlignment w:val="baseline"/>
        <w:outlineLvl w:val="3"/>
        <w:rPr>
          <w:rFonts w:cs="Arial"/>
          <w:bCs/>
          <w:iCs/>
          <w:kern w:val="20"/>
        </w:rPr>
      </w:pPr>
      <w:r>
        <w:rPr>
          <w:rFonts w:cs="Arial"/>
          <w:bCs/>
          <w:iCs/>
          <w:kern w:val="20"/>
        </w:rPr>
        <w:t>En el Artículo 47 correspondiente al Presupuesto Quinquenal 2016-2020, se modificó la norma referida al Quebranto de caja y en el Artículo 43 de la misma norma presupuestal, se modificó la norma relativa a la compensación por estar a la orden, permitiendo subsanar en ambos casos el incumplimiento al Artículo 86 de la Constitución de la República.</w:t>
      </w:r>
    </w:p>
    <w:p w:rsidR="003A0F9F" w:rsidRPr="00C53392" w:rsidRDefault="003A0F9F" w:rsidP="00E45A5D">
      <w:pPr>
        <w:keepNext/>
        <w:widowControl w:val="0"/>
        <w:overflowPunct w:val="0"/>
        <w:autoSpaceDE w:val="0"/>
        <w:autoSpaceDN w:val="0"/>
        <w:adjustRightInd w:val="0"/>
        <w:textAlignment w:val="baseline"/>
        <w:outlineLvl w:val="3"/>
        <w:rPr>
          <w:rFonts w:cs="Arial"/>
          <w:bCs/>
          <w:iCs/>
          <w:kern w:val="20"/>
        </w:rPr>
      </w:pPr>
      <w:r w:rsidRPr="005958F5">
        <w:rPr>
          <w:rFonts w:cs="Arial"/>
          <w:bCs/>
          <w:iCs/>
          <w:kern w:val="20"/>
          <w:highlight w:val="yellow"/>
        </w:rPr>
        <w:t xml:space="preserve"> </w:t>
      </w:r>
    </w:p>
    <w:bookmarkEnd w:id="15"/>
    <w:p w:rsidR="003A0F9F" w:rsidRDefault="003A0F9F" w:rsidP="00E45A5D">
      <w:pPr>
        <w:keepNext/>
        <w:widowControl w:val="0"/>
        <w:numPr>
          <w:ilvl w:val="1"/>
          <w:numId w:val="2"/>
        </w:numPr>
        <w:spacing w:line="360" w:lineRule="auto"/>
        <w:ind w:left="426" w:hanging="426"/>
        <w:jc w:val="both"/>
        <w:outlineLvl w:val="2"/>
        <w:rPr>
          <w:rFonts w:cs="Arial"/>
          <w:b/>
          <w:kern w:val="18"/>
        </w:rPr>
      </w:pPr>
      <w:r w:rsidRPr="00961289">
        <w:rPr>
          <w:rFonts w:cs="Arial"/>
          <w:b/>
          <w:kern w:val="18"/>
        </w:rPr>
        <w:t xml:space="preserve">Recomendaciones de </w:t>
      </w:r>
      <w:r>
        <w:rPr>
          <w:rFonts w:cs="Arial"/>
          <w:b/>
          <w:kern w:val="18"/>
        </w:rPr>
        <w:t>e</w:t>
      </w:r>
      <w:r w:rsidRPr="00961289">
        <w:rPr>
          <w:rFonts w:cs="Arial"/>
          <w:b/>
          <w:kern w:val="18"/>
        </w:rPr>
        <w:t>jercicios anteriores no cumplidas</w:t>
      </w:r>
      <w:bookmarkEnd w:id="16"/>
      <w:bookmarkEnd w:id="17"/>
      <w:bookmarkEnd w:id="18"/>
    </w:p>
    <w:p w:rsidR="003A0F9F" w:rsidRDefault="003A0F9F" w:rsidP="00E45A5D">
      <w:pPr>
        <w:keepNext/>
        <w:widowControl w:val="0"/>
        <w:ind w:left="945"/>
        <w:outlineLvl w:val="2"/>
        <w:rPr>
          <w:rFonts w:cs="Arial"/>
          <w:b/>
          <w:kern w:val="18"/>
        </w:rPr>
      </w:pPr>
    </w:p>
    <w:p w:rsidR="003A0F9F" w:rsidRPr="004F3BC8"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19" w:name="_Toc397079412"/>
      <w:r>
        <w:rPr>
          <w:rFonts w:cs="Arial"/>
          <w:b/>
          <w:bCs/>
          <w:iCs/>
          <w:kern w:val="20"/>
        </w:rPr>
        <w:t>5.2.1</w:t>
      </w:r>
      <w:r w:rsidRPr="004F3BC8">
        <w:rPr>
          <w:rFonts w:cs="Arial"/>
          <w:b/>
          <w:bCs/>
          <w:iCs/>
          <w:kern w:val="20"/>
        </w:rPr>
        <w:t xml:space="preserve"> </w:t>
      </w:r>
      <w:r w:rsidRPr="00BE7D4E">
        <w:rPr>
          <w:rFonts w:cs="Arial"/>
          <w:b/>
          <w:bCs/>
          <w:iCs/>
          <w:kern w:val="20"/>
        </w:rPr>
        <w:t>Artículo 211 Literal B) de la Constitución de la República</w:t>
      </w:r>
      <w:r>
        <w:rPr>
          <w:rFonts w:cs="Arial"/>
          <w:b/>
          <w:bCs/>
          <w:iCs/>
          <w:kern w:val="20"/>
        </w:rPr>
        <w:t xml:space="preserve"> </w:t>
      </w:r>
      <w:bookmarkEnd w:id="19"/>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sidRPr="0083177E">
        <w:rPr>
          <w:rFonts w:cs="Arial"/>
          <w:kern w:val="18"/>
        </w:rPr>
        <w:t>Todos los gastos y pagos de la Intendencia deben ser sometidos a la intervención preventiva del Tribunal de Cuentas, tal como lo establece l</w:t>
      </w:r>
      <w:r w:rsidR="005F30F8">
        <w:rPr>
          <w:rFonts w:cs="Arial"/>
          <w:kern w:val="18"/>
        </w:rPr>
        <w:t>a Constitución de la República.</w:t>
      </w:r>
    </w:p>
    <w:p w:rsidR="003A0F9F" w:rsidRDefault="003A0F9F" w:rsidP="00E45A5D">
      <w:pPr>
        <w:widowControl w:val="0"/>
        <w:overflowPunct w:val="0"/>
        <w:autoSpaceDE w:val="0"/>
        <w:autoSpaceDN w:val="0"/>
        <w:adjustRightInd w:val="0"/>
        <w:textAlignment w:val="baseline"/>
        <w:rPr>
          <w:rFonts w:cs="Arial"/>
          <w:kern w:val="18"/>
        </w:rPr>
      </w:pPr>
    </w:p>
    <w:p w:rsidR="003A0F9F" w:rsidRPr="00A9036D"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20" w:name="_Toc207184783"/>
      <w:bookmarkStart w:id="21" w:name="_Toc340760896"/>
      <w:r w:rsidRPr="00A9036D">
        <w:rPr>
          <w:rFonts w:cs="Arial"/>
          <w:b/>
          <w:bCs/>
          <w:iCs/>
          <w:kern w:val="20"/>
        </w:rPr>
        <w:t>5.2.</w:t>
      </w:r>
      <w:r>
        <w:rPr>
          <w:rFonts w:cs="Arial"/>
          <w:b/>
          <w:bCs/>
          <w:iCs/>
          <w:kern w:val="20"/>
        </w:rPr>
        <w:t>2</w:t>
      </w:r>
      <w:r w:rsidRPr="00A9036D">
        <w:rPr>
          <w:rFonts w:cs="Arial"/>
          <w:b/>
          <w:bCs/>
          <w:iCs/>
          <w:kern w:val="20"/>
        </w:rPr>
        <w:t xml:space="preserve"> </w:t>
      </w:r>
      <w:bookmarkEnd w:id="20"/>
      <w:r w:rsidRPr="00A9036D">
        <w:rPr>
          <w:rFonts w:cs="Arial"/>
          <w:b/>
          <w:bCs/>
          <w:iCs/>
          <w:kern w:val="20"/>
        </w:rPr>
        <w:t>Artículo 297 de la Constitución de la República</w:t>
      </w:r>
      <w:bookmarkEnd w:id="21"/>
      <w:r w:rsidRPr="00A9036D">
        <w:rPr>
          <w:rFonts w:cs="Arial"/>
          <w:b/>
          <w:bCs/>
          <w:iCs/>
          <w:kern w:val="20"/>
        </w:rPr>
        <w:t xml:space="preserve"> y Artículo 94 del Código Tributario</w:t>
      </w:r>
    </w:p>
    <w:p w:rsidR="003A0F9F" w:rsidRDefault="003A0F9F" w:rsidP="00E45A5D">
      <w:pPr>
        <w:widowControl w:val="0"/>
        <w:spacing w:line="360" w:lineRule="auto"/>
        <w:jc w:val="both"/>
      </w:pPr>
      <w:r w:rsidRPr="00BD6CE4">
        <w:t xml:space="preserve">Las multas que aplique la </w:t>
      </w:r>
      <w:proofErr w:type="spellStart"/>
      <w:r w:rsidRPr="00BD6CE4">
        <w:t>lntendencia</w:t>
      </w:r>
      <w:proofErr w:type="spellEnd"/>
      <w:r w:rsidRPr="00BD6CE4">
        <w:t xml:space="preserve"> para los pagos fuera de fecha en lo que refiere a Impuestos sobre la propiedad inmueble rural, deben ajustarse a lo establecido en el Código Tributario, en cuanto a que las mismas </w:t>
      </w:r>
      <w:r w:rsidRPr="00BD6CE4">
        <w:rPr>
          <w:rFonts w:cs="Arial"/>
          <w:bCs/>
          <w:color w:val="000000"/>
        </w:rPr>
        <w:t>no son</w:t>
      </w:r>
      <w:r w:rsidRPr="00BD6CE4">
        <w:rPr>
          <w:rFonts w:cs="Arial"/>
          <w:color w:val="000000"/>
        </w:rPr>
        <w:t xml:space="preserve"> </w:t>
      </w:r>
      <w:r w:rsidRPr="00BD6CE4">
        <w:rPr>
          <w:rFonts w:cs="Arial"/>
          <w:bCs/>
          <w:color w:val="000000"/>
        </w:rPr>
        <w:t>competencia</w:t>
      </w:r>
      <w:r w:rsidRPr="00BD6CE4">
        <w:rPr>
          <w:rFonts w:cs="Arial"/>
          <w:color w:val="000000"/>
        </w:rPr>
        <w:t xml:space="preserve"> </w:t>
      </w:r>
      <w:r w:rsidRPr="00BD6CE4">
        <w:rPr>
          <w:rFonts w:cs="Arial"/>
          <w:bCs/>
          <w:color w:val="000000"/>
        </w:rPr>
        <w:t>de las entidades territoriales, sino que corresponden al titular o al sujeto activo de la potestad tributaria, que en este caso es el Gobierno Nacional.</w:t>
      </w:r>
      <w:r w:rsidRPr="00BD6CE4">
        <w:t xml:space="preserve"> Por lo expuesto, las multas a aplicar deben ajustarse al siguiente detalle:</w:t>
      </w:r>
    </w:p>
    <w:p w:rsidR="003A0F9F" w:rsidRPr="0078101F" w:rsidRDefault="003A0F9F" w:rsidP="00E45A5D">
      <w:pPr>
        <w:widowControl w:val="0"/>
      </w:pPr>
    </w:p>
    <w:p w:rsidR="003A0F9F" w:rsidRPr="0078101F" w:rsidRDefault="003A0F9F" w:rsidP="00E45A5D">
      <w:pPr>
        <w:widowControl w:val="0"/>
        <w:numPr>
          <w:ilvl w:val="0"/>
          <w:numId w:val="3"/>
        </w:numPr>
        <w:spacing w:line="360" w:lineRule="auto"/>
        <w:jc w:val="both"/>
      </w:pPr>
      <w:r w:rsidRPr="0078101F">
        <w:t>entre 0 y 5 días hábiles de atraso:   5%</w:t>
      </w:r>
    </w:p>
    <w:p w:rsidR="003A0F9F" w:rsidRPr="0078101F" w:rsidRDefault="003A0F9F" w:rsidP="00E45A5D">
      <w:pPr>
        <w:widowControl w:val="0"/>
        <w:numPr>
          <w:ilvl w:val="0"/>
          <w:numId w:val="3"/>
        </w:numPr>
        <w:spacing w:line="360" w:lineRule="auto"/>
        <w:jc w:val="both"/>
      </w:pPr>
      <w:r w:rsidRPr="0078101F">
        <w:t>entre 6 y 90 días hábiles de atraso: 10%</w:t>
      </w:r>
    </w:p>
    <w:p w:rsidR="003A0F9F" w:rsidRPr="0078101F" w:rsidRDefault="003A0F9F" w:rsidP="00E45A5D">
      <w:pPr>
        <w:widowControl w:val="0"/>
        <w:numPr>
          <w:ilvl w:val="0"/>
          <w:numId w:val="3"/>
        </w:numPr>
        <w:spacing w:line="360" w:lineRule="auto"/>
        <w:jc w:val="both"/>
      </w:pPr>
      <w:r w:rsidRPr="0078101F">
        <w:t>más de 90 días hábiles de atraso: 20%</w:t>
      </w:r>
    </w:p>
    <w:p w:rsidR="003A0F9F" w:rsidRDefault="003A0F9F" w:rsidP="00E45A5D">
      <w:pPr>
        <w:keepNext/>
        <w:widowControl w:val="0"/>
        <w:overflowPunct w:val="0"/>
        <w:autoSpaceDE w:val="0"/>
        <w:autoSpaceDN w:val="0"/>
        <w:adjustRightInd w:val="0"/>
        <w:textAlignment w:val="baseline"/>
        <w:outlineLvl w:val="3"/>
        <w:rPr>
          <w:rFonts w:cs="Arial"/>
          <w:b/>
          <w:bCs/>
          <w:iCs/>
          <w:kern w:val="20"/>
        </w:rPr>
      </w:pPr>
      <w:bookmarkStart w:id="22" w:name="_Toc397079420"/>
    </w:p>
    <w:p w:rsidR="003A0F9F" w:rsidRPr="003F31DC"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highlight w:val="yellow"/>
        </w:rPr>
      </w:pPr>
      <w:r>
        <w:rPr>
          <w:rFonts w:cs="Arial"/>
          <w:b/>
          <w:bCs/>
          <w:iCs/>
          <w:kern w:val="20"/>
        </w:rPr>
        <w:t>5.2.3</w:t>
      </w:r>
      <w:r w:rsidRPr="00A879BB">
        <w:rPr>
          <w:rFonts w:cs="Arial"/>
          <w:b/>
          <w:bCs/>
          <w:iCs/>
          <w:kern w:val="20"/>
        </w:rPr>
        <w:t xml:space="preserve"> </w:t>
      </w:r>
      <w:r w:rsidRPr="00FC6AB2">
        <w:rPr>
          <w:rFonts w:cs="Arial"/>
          <w:b/>
          <w:color w:val="000000"/>
          <w:kern w:val="18"/>
        </w:rPr>
        <w:t>Artículo 14 del TOCAF</w:t>
      </w:r>
      <w:bookmarkEnd w:id="22"/>
    </w:p>
    <w:p w:rsidR="003A0F9F" w:rsidRDefault="003A0F9F" w:rsidP="00E45A5D">
      <w:pPr>
        <w:widowControl w:val="0"/>
        <w:overflowPunct w:val="0"/>
        <w:autoSpaceDE w:val="0"/>
        <w:autoSpaceDN w:val="0"/>
        <w:adjustRightInd w:val="0"/>
        <w:spacing w:line="360" w:lineRule="auto"/>
        <w:jc w:val="both"/>
        <w:textAlignment w:val="baseline"/>
        <w:rPr>
          <w:rFonts w:cs="Arial"/>
          <w:color w:val="000000"/>
          <w:kern w:val="18"/>
        </w:rPr>
      </w:pPr>
      <w:r w:rsidRPr="0083177E">
        <w:rPr>
          <w:rFonts w:cs="Arial"/>
          <w:color w:val="000000"/>
          <w:kern w:val="18"/>
        </w:rPr>
        <w:t>La totalidad de los gastos que se ejecuten, deben estar debidamente autorizados por el Ordenador competente.</w:t>
      </w:r>
    </w:p>
    <w:p w:rsidR="003A0F9F" w:rsidRPr="00A55C0B"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23" w:name="_Toc397079411"/>
      <w:r>
        <w:rPr>
          <w:rFonts w:cs="Arial"/>
          <w:b/>
          <w:bCs/>
          <w:iCs/>
          <w:kern w:val="20"/>
        </w:rPr>
        <w:t>5.2.4</w:t>
      </w:r>
      <w:r w:rsidRPr="008C18D6">
        <w:rPr>
          <w:rFonts w:cs="Arial"/>
          <w:b/>
          <w:bCs/>
          <w:iCs/>
          <w:kern w:val="20"/>
        </w:rPr>
        <w:t xml:space="preserve"> </w:t>
      </w:r>
      <w:bookmarkEnd w:id="23"/>
      <w:r w:rsidRPr="00A55C0B">
        <w:rPr>
          <w:rFonts w:cs="Arial"/>
          <w:b/>
          <w:bCs/>
          <w:iCs/>
          <w:kern w:val="20"/>
        </w:rPr>
        <w:t>A</w:t>
      </w:r>
      <w:r w:rsidRPr="00A55C0B">
        <w:rPr>
          <w:rFonts w:cs="Arial"/>
          <w:b/>
          <w:color w:val="000000"/>
        </w:rPr>
        <w:t>rtículo 15 del TOCAF</w:t>
      </w:r>
    </w:p>
    <w:p w:rsidR="003A0F9F" w:rsidRDefault="003A0F9F" w:rsidP="00E45A5D">
      <w:pPr>
        <w:widowControl w:val="0"/>
        <w:spacing w:line="360" w:lineRule="auto"/>
        <w:jc w:val="both"/>
        <w:rPr>
          <w:rFonts w:cs="Arial"/>
        </w:rPr>
      </w:pPr>
      <w:r w:rsidRPr="0083177E">
        <w:rPr>
          <w:rFonts w:cs="Arial"/>
          <w:color w:val="000000"/>
        </w:rPr>
        <w:t>A efectos de no comprometer gastos cuando no existe crédito disponible, sería conveniente, en oportunidad de realizar la imputación previa de los mismos y verificarse la falta de disponibilidad presupuestal, recurrir al mecanismo de la trasposición entre objetos en todos los casos, aplicando las normas presupuestales de la</w:t>
      </w:r>
      <w:r w:rsidRPr="0083177E">
        <w:rPr>
          <w:rFonts w:cs="Arial"/>
        </w:rPr>
        <w:t xml:space="preserve"> Intendencia vigentes en la materia.</w:t>
      </w:r>
    </w:p>
    <w:p w:rsidR="003A0F9F" w:rsidRDefault="003A0F9F" w:rsidP="00E45A5D">
      <w:pPr>
        <w:keepNext/>
        <w:widowControl w:val="0"/>
        <w:outlineLvl w:val="2"/>
        <w:rPr>
          <w:rFonts w:cs="Arial"/>
          <w:b/>
          <w:kern w:val="18"/>
        </w:rPr>
      </w:pPr>
    </w:p>
    <w:p w:rsidR="003A0F9F"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24" w:name="_Toc397079405"/>
      <w:bookmarkStart w:id="25" w:name="_Toc240964431"/>
      <w:r>
        <w:rPr>
          <w:rFonts w:cs="Arial"/>
          <w:b/>
          <w:bCs/>
          <w:iCs/>
          <w:kern w:val="20"/>
        </w:rPr>
        <w:t>5</w:t>
      </w:r>
      <w:r w:rsidRPr="00873314">
        <w:rPr>
          <w:rFonts w:cs="Arial"/>
          <w:b/>
          <w:bCs/>
          <w:iCs/>
          <w:kern w:val="20"/>
        </w:rPr>
        <w:t>.2.</w:t>
      </w:r>
      <w:r>
        <w:rPr>
          <w:rFonts w:cs="Arial"/>
          <w:b/>
          <w:bCs/>
          <w:iCs/>
          <w:kern w:val="20"/>
        </w:rPr>
        <w:t>5</w:t>
      </w:r>
      <w:r w:rsidRPr="00873314">
        <w:rPr>
          <w:rFonts w:cs="Arial"/>
          <w:b/>
          <w:bCs/>
          <w:iCs/>
          <w:kern w:val="20"/>
        </w:rPr>
        <w:t xml:space="preserve"> </w:t>
      </w:r>
      <w:bookmarkEnd w:id="24"/>
      <w:r w:rsidRPr="00641073">
        <w:rPr>
          <w:rFonts w:cs="Arial"/>
          <w:b/>
          <w:kern w:val="18"/>
        </w:rPr>
        <w:t>Artículos 84 y 97 del TOCAF</w:t>
      </w:r>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sidRPr="00873E2E">
        <w:rPr>
          <w:rFonts w:cs="Arial"/>
          <w:kern w:val="18"/>
        </w:rPr>
        <w:t>La Intendencia deberá mantener un registro permanente, actualizado y valuado de los bienes de uso que integran el patrimonio de la Intendencia, de acuerdo con lo dispuesto por los Artículos 84 y 97 del TOCAF.</w:t>
      </w:r>
    </w:p>
    <w:p w:rsidR="003A0F9F" w:rsidRDefault="003A0F9F" w:rsidP="00E45A5D">
      <w:pPr>
        <w:widowControl w:val="0"/>
        <w:overflowPunct w:val="0"/>
        <w:autoSpaceDE w:val="0"/>
        <w:autoSpaceDN w:val="0"/>
        <w:adjustRightInd w:val="0"/>
        <w:textAlignment w:val="baseline"/>
        <w:rPr>
          <w:rFonts w:cs="Arial"/>
          <w:kern w:val="18"/>
        </w:rPr>
      </w:pPr>
    </w:p>
    <w:p w:rsidR="003A0F9F" w:rsidRPr="00A55C0B"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26" w:name="_Toc397079406"/>
      <w:bookmarkEnd w:id="25"/>
      <w:r>
        <w:rPr>
          <w:rFonts w:cs="Arial"/>
          <w:b/>
          <w:bCs/>
          <w:iCs/>
          <w:kern w:val="20"/>
        </w:rPr>
        <w:t>5.2.6</w:t>
      </w:r>
      <w:r w:rsidRPr="00873314">
        <w:rPr>
          <w:rFonts w:cs="Arial"/>
          <w:b/>
          <w:bCs/>
          <w:iCs/>
          <w:kern w:val="20"/>
        </w:rPr>
        <w:t xml:space="preserve"> </w:t>
      </w:r>
      <w:bookmarkEnd w:id="26"/>
      <w:r w:rsidRPr="00A55C0B">
        <w:rPr>
          <w:rFonts w:cs="Arial"/>
          <w:b/>
          <w:kern w:val="18"/>
        </w:rPr>
        <w:t>Artículos 90 y 154 del TOCAF</w:t>
      </w:r>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sidRPr="0083177E">
        <w:rPr>
          <w:rFonts w:cs="Arial"/>
          <w:kern w:val="18"/>
        </w:rPr>
        <w:t>Se recomienda mantener actualizados los seguros de caución de fidelidad y asignar a un funcionario responsable</w:t>
      </w:r>
      <w:r>
        <w:rPr>
          <w:rFonts w:cs="Arial"/>
          <w:kern w:val="18"/>
        </w:rPr>
        <w:t>,</w:t>
      </w:r>
      <w:r w:rsidRPr="0083177E">
        <w:rPr>
          <w:rFonts w:cs="Arial"/>
          <w:kern w:val="18"/>
        </w:rPr>
        <w:t xml:space="preserve"> el control y actualización de los mismos.</w:t>
      </w:r>
    </w:p>
    <w:p w:rsidR="003A0F9F" w:rsidRPr="00873314" w:rsidRDefault="003A0F9F" w:rsidP="00E45A5D">
      <w:pPr>
        <w:widowControl w:val="0"/>
        <w:overflowPunct w:val="0"/>
        <w:autoSpaceDE w:val="0"/>
        <w:autoSpaceDN w:val="0"/>
        <w:adjustRightInd w:val="0"/>
        <w:textAlignment w:val="baseline"/>
        <w:rPr>
          <w:rFonts w:cs="Arial"/>
          <w:kern w:val="18"/>
        </w:rPr>
      </w:pPr>
    </w:p>
    <w:p w:rsidR="003A0F9F" w:rsidRPr="00873314"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27" w:name="_Toc110845659"/>
      <w:bookmarkStart w:id="28" w:name="_Toc111889451"/>
      <w:bookmarkStart w:id="29" w:name="_Toc112651564"/>
      <w:bookmarkStart w:id="30" w:name="_Toc397079407"/>
      <w:r>
        <w:rPr>
          <w:rFonts w:cs="Arial"/>
          <w:b/>
          <w:bCs/>
          <w:iCs/>
          <w:kern w:val="20"/>
        </w:rPr>
        <w:t>5.</w:t>
      </w:r>
      <w:r w:rsidRPr="00873314">
        <w:rPr>
          <w:rFonts w:cs="Arial"/>
          <w:b/>
          <w:bCs/>
          <w:iCs/>
          <w:kern w:val="20"/>
        </w:rPr>
        <w:t>2.</w:t>
      </w:r>
      <w:r>
        <w:rPr>
          <w:rFonts w:cs="Arial"/>
          <w:b/>
          <w:bCs/>
          <w:iCs/>
          <w:kern w:val="20"/>
        </w:rPr>
        <w:t>7</w:t>
      </w:r>
      <w:r w:rsidRPr="00873314">
        <w:rPr>
          <w:rFonts w:cs="Arial"/>
          <w:b/>
          <w:bCs/>
          <w:iCs/>
          <w:kern w:val="20"/>
        </w:rPr>
        <w:t xml:space="preserve"> Ordenanza Nº 81 del Tribunal de Cuentas</w:t>
      </w:r>
      <w:bookmarkEnd w:id="27"/>
      <w:bookmarkEnd w:id="28"/>
      <w:bookmarkEnd w:id="29"/>
      <w:bookmarkEnd w:id="30"/>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sidRPr="0083177E">
        <w:rPr>
          <w:rFonts w:cs="Arial"/>
          <w:kern w:val="18"/>
        </w:rPr>
        <w:t>De acuerdo con la Ordenanza Nº 81 de este Tribunal, la Intendencia deberá presentar los Estados Financieros establecidos en el Artículo 13 de la misma.</w:t>
      </w:r>
    </w:p>
    <w:p w:rsidR="003A0F9F" w:rsidRPr="00873314" w:rsidRDefault="003A0F9F" w:rsidP="00E45A5D">
      <w:pPr>
        <w:widowControl w:val="0"/>
        <w:overflowPunct w:val="0"/>
        <w:autoSpaceDE w:val="0"/>
        <w:autoSpaceDN w:val="0"/>
        <w:adjustRightInd w:val="0"/>
        <w:textAlignment w:val="baseline"/>
        <w:rPr>
          <w:rFonts w:cs="Arial"/>
          <w:kern w:val="18"/>
        </w:rPr>
      </w:pPr>
    </w:p>
    <w:p w:rsidR="003A0F9F" w:rsidRPr="00873314"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31" w:name="_Toc336429006"/>
      <w:bookmarkStart w:id="32" w:name="_Toc397079408"/>
      <w:bookmarkStart w:id="33" w:name="_Toc240964434"/>
      <w:r>
        <w:rPr>
          <w:rFonts w:cs="Arial"/>
          <w:b/>
          <w:bCs/>
          <w:iCs/>
          <w:kern w:val="20"/>
        </w:rPr>
        <w:t>5.2.8</w:t>
      </w:r>
      <w:r w:rsidRPr="00873314">
        <w:rPr>
          <w:rFonts w:cs="Arial"/>
          <w:b/>
          <w:bCs/>
          <w:iCs/>
          <w:kern w:val="20"/>
        </w:rPr>
        <w:t xml:space="preserve"> </w:t>
      </w:r>
      <w:r w:rsidRPr="00BE7D4E">
        <w:rPr>
          <w:rFonts w:cs="Arial"/>
          <w:b/>
          <w:bCs/>
          <w:iCs/>
          <w:kern w:val="20"/>
        </w:rPr>
        <w:t>Convenio Nº 30 de la OIT</w:t>
      </w:r>
      <w:bookmarkEnd w:id="31"/>
      <w:bookmarkEnd w:id="32"/>
    </w:p>
    <w:p w:rsidR="003A0F9F" w:rsidRPr="006079AE" w:rsidRDefault="003A0F9F" w:rsidP="00E45A5D">
      <w:pPr>
        <w:pStyle w:val="Textoindependiente"/>
        <w:widowControl w:val="0"/>
        <w:suppressAutoHyphens w:val="0"/>
        <w:spacing w:after="0" w:line="360" w:lineRule="auto"/>
        <w:rPr>
          <w:rFonts w:cs="Arial"/>
          <w:kern w:val="0"/>
          <w:szCs w:val="24"/>
          <w:lang w:eastAsia="es-ES"/>
        </w:rPr>
      </w:pPr>
      <w:r w:rsidRPr="0083177E">
        <w:rPr>
          <w:rFonts w:cs="Arial"/>
          <w:kern w:val="0"/>
          <w:szCs w:val="24"/>
          <w:lang w:eastAsia="es-ES"/>
        </w:rPr>
        <w:t>El otorgamiento de horas extras a los funcionarios de la Intendencia debe realizarse de forma que el trabajador no realice más de 48 horas semanales, incluyendo las horas simples y extras.</w:t>
      </w:r>
    </w:p>
    <w:p w:rsidR="003A0F9F" w:rsidRPr="005F30F8" w:rsidRDefault="003A0F9F" w:rsidP="00E45A5D">
      <w:pPr>
        <w:widowControl w:val="0"/>
        <w:overflowPunct w:val="0"/>
        <w:autoSpaceDE w:val="0"/>
        <w:autoSpaceDN w:val="0"/>
        <w:adjustRightInd w:val="0"/>
        <w:textAlignment w:val="baseline"/>
        <w:rPr>
          <w:rFonts w:cs="Arial"/>
          <w:kern w:val="18"/>
          <w:lang w:val="es-ES_tradnl"/>
        </w:rPr>
      </w:pPr>
    </w:p>
    <w:p w:rsidR="003A0F9F" w:rsidRPr="00A9036D"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34" w:name="_Toc208222893"/>
      <w:bookmarkStart w:id="35" w:name="_Toc239140112"/>
      <w:bookmarkStart w:id="36" w:name="_Toc396901079"/>
      <w:bookmarkStart w:id="37" w:name="_Toc397079409"/>
      <w:bookmarkEnd w:id="33"/>
      <w:r w:rsidRPr="00A9036D">
        <w:rPr>
          <w:rFonts w:cs="Arial"/>
          <w:b/>
          <w:bCs/>
          <w:iCs/>
          <w:kern w:val="20"/>
        </w:rPr>
        <w:t>5.2.</w:t>
      </w:r>
      <w:r>
        <w:rPr>
          <w:rFonts w:cs="Arial"/>
          <w:b/>
          <w:bCs/>
          <w:iCs/>
          <w:kern w:val="20"/>
        </w:rPr>
        <w:t>9</w:t>
      </w:r>
      <w:r w:rsidRPr="00A9036D">
        <w:rPr>
          <w:rFonts w:cs="Arial"/>
          <w:b/>
          <w:bCs/>
          <w:iCs/>
          <w:kern w:val="20"/>
        </w:rPr>
        <w:t xml:space="preserve"> Ordenanza N° 62 del Tribunal de Cuentas</w:t>
      </w:r>
      <w:bookmarkEnd w:id="34"/>
      <w:bookmarkEnd w:id="35"/>
      <w:bookmarkEnd w:id="36"/>
    </w:p>
    <w:p w:rsidR="003A0F9F" w:rsidRDefault="003A0F9F" w:rsidP="00E45A5D">
      <w:pPr>
        <w:pStyle w:val="Textoindependiente"/>
        <w:widowControl w:val="0"/>
        <w:suppressAutoHyphens w:val="0"/>
        <w:spacing w:after="0" w:line="360" w:lineRule="auto"/>
        <w:rPr>
          <w:rFonts w:cs="Arial"/>
          <w:kern w:val="0"/>
          <w:szCs w:val="24"/>
          <w:lang w:val="es-ES"/>
        </w:rPr>
      </w:pPr>
      <w:r w:rsidRPr="0083177E">
        <w:rPr>
          <w:rFonts w:cs="Arial"/>
          <w:kern w:val="0"/>
          <w:szCs w:val="24"/>
          <w:lang w:val="es-ES"/>
        </w:rPr>
        <w:t>A efectos de dar cumplimiento con esta Ordenanza, no deberán promulgarse y/o aplicarse normas que impliquen creaciones o modificaciones de recursos, que no hayan sido sometidas a Dictamen de este Tribunal por la respectiva Junta Departamental, previamente a su aprobación.</w:t>
      </w:r>
    </w:p>
    <w:p w:rsidR="003A0F9F" w:rsidRPr="0055550E" w:rsidRDefault="003A0F9F" w:rsidP="00E45A5D">
      <w:pPr>
        <w:widowControl w:val="0"/>
        <w:overflowPunct w:val="0"/>
        <w:autoSpaceDE w:val="0"/>
        <w:autoSpaceDN w:val="0"/>
        <w:adjustRightInd w:val="0"/>
        <w:textAlignment w:val="baseline"/>
        <w:rPr>
          <w:rFonts w:cs="Arial"/>
          <w:kern w:val="18"/>
        </w:rPr>
      </w:pPr>
    </w:p>
    <w:p w:rsidR="003A0F9F" w:rsidRPr="00297D8E"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38" w:name="_Hlt269458964"/>
      <w:bookmarkStart w:id="39" w:name="_Toc239757141"/>
      <w:bookmarkStart w:id="40" w:name="_Toc341791006"/>
      <w:bookmarkEnd w:id="37"/>
      <w:bookmarkEnd w:id="38"/>
      <w:r w:rsidRPr="00297D8E">
        <w:rPr>
          <w:rFonts w:cs="Arial"/>
          <w:b/>
          <w:bCs/>
          <w:iCs/>
          <w:kern w:val="20"/>
        </w:rPr>
        <w:t>5.2.10 Decreto de la Junta de Florida Nº 61/08</w:t>
      </w:r>
    </w:p>
    <w:p w:rsidR="003A0F9F" w:rsidRPr="00297D8E" w:rsidRDefault="003A0F9F" w:rsidP="00E45A5D">
      <w:pPr>
        <w:widowControl w:val="0"/>
        <w:autoSpaceDE w:val="0"/>
        <w:autoSpaceDN w:val="0"/>
        <w:adjustRightInd w:val="0"/>
        <w:spacing w:line="360" w:lineRule="auto"/>
        <w:jc w:val="both"/>
        <w:rPr>
          <w:rFonts w:cs="Arial"/>
          <w:bCs/>
        </w:rPr>
      </w:pPr>
      <w:r w:rsidRPr="00297D8E">
        <w:rPr>
          <w:rFonts w:cs="Arial"/>
          <w:bCs/>
        </w:rPr>
        <w:t>Se deberán instrumentar los procedimientos que permitan verificar que el descuento por buen pagador, se otorgue cuando se haya cumplido con las condiciones establecidas en la referida norma.  A tales efectos, se recomienda que el sistema informático cuente con la parametrización del cumplimiento de las condiciones de buen pagador.</w:t>
      </w:r>
    </w:p>
    <w:p w:rsidR="003A0F9F" w:rsidRDefault="003A0F9F" w:rsidP="00E45A5D">
      <w:pPr>
        <w:widowControl w:val="0"/>
        <w:autoSpaceDE w:val="0"/>
        <w:autoSpaceDN w:val="0"/>
        <w:adjustRightInd w:val="0"/>
        <w:rPr>
          <w:rFonts w:ascii="LiberationSans-Bold" w:hAnsi="LiberationSans-Bold" w:cs="LiberationSans-Bold"/>
          <w:bCs/>
        </w:rPr>
      </w:pPr>
    </w:p>
    <w:p w:rsidR="003A0F9F" w:rsidRDefault="003A0F9F" w:rsidP="00E45A5D">
      <w:pPr>
        <w:widowControl w:val="0"/>
        <w:autoSpaceDE w:val="0"/>
        <w:autoSpaceDN w:val="0"/>
        <w:adjustRightInd w:val="0"/>
        <w:spacing w:line="360" w:lineRule="auto"/>
        <w:jc w:val="both"/>
        <w:rPr>
          <w:rFonts w:ascii="LiberationSans-Bold" w:hAnsi="LiberationSans-Bold" w:cs="LiberationSans-Bold"/>
          <w:b/>
          <w:bCs/>
        </w:rPr>
      </w:pPr>
      <w:r w:rsidRPr="00297D8E">
        <w:rPr>
          <w:rFonts w:cs="Arial"/>
          <w:b/>
          <w:bCs/>
        </w:rPr>
        <w:t>5.2.11</w:t>
      </w:r>
      <w:r>
        <w:rPr>
          <w:rFonts w:ascii="LiberationSans-Bold" w:hAnsi="LiberationSans-Bold" w:cs="LiberationSans-Bold"/>
          <w:b/>
          <w:bCs/>
        </w:rPr>
        <w:t xml:space="preserve"> </w:t>
      </w:r>
      <w:r w:rsidRPr="00B52397">
        <w:rPr>
          <w:rFonts w:cs="Arial"/>
          <w:b/>
          <w:color w:val="000000"/>
          <w:lang w:eastAsia="es-UY"/>
        </w:rPr>
        <w:t>Artículo</w:t>
      </w:r>
      <w:r>
        <w:rPr>
          <w:rFonts w:cs="Arial"/>
          <w:b/>
          <w:color w:val="000000"/>
          <w:lang w:eastAsia="es-UY"/>
        </w:rPr>
        <w:t>s</w:t>
      </w:r>
      <w:r w:rsidRPr="00B52397">
        <w:rPr>
          <w:rFonts w:cs="Arial"/>
          <w:b/>
          <w:color w:val="000000"/>
          <w:lang w:eastAsia="es-UY"/>
        </w:rPr>
        <w:t xml:space="preserve"> 12</w:t>
      </w:r>
      <w:r>
        <w:rPr>
          <w:rFonts w:cs="Arial"/>
          <w:b/>
          <w:color w:val="000000"/>
          <w:lang w:eastAsia="es-UY"/>
        </w:rPr>
        <w:t xml:space="preserve"> y 14 de la</w:t>
      </w:r>
      <w:r w:rsidRPr="00B52397">
        <w:rPr>
          <w:rFonts w:cs="Arial"/>
          <w:b/>
          <w:color w:val="000000"/>
          <w:lang w:eastAsia="es-UY"/>
        </w:rPr>
        <w:t xml:space="preserve"> </w:t>
      </w:r>
      <w:r>
        <w:rPr>
          <w:rFonts w:cs="Arial"/>
          <w:b/>
          <w:bCs/>
        </w:rPr>
        <w:t xml:space="preserve">Ley </w:t>
      </w:r>
      <w:r w:rsidRPr="00B52397">
        <w:rPr>
          <w:b/>
          <w:kern w:val="18"/>
        </w:rPr>
        <w:t>Nº</w:t>
      </w:r>
      <w:r w:rsidRPr="00B52397">
        <w:rPr>
          <w:rFonts w:cs="Arial"/>
          <w:b/>
          <w:bCs/>
        </w:rPr>
        <w:t xml:space="preserve"> 19.272</w:t>
      </w:r>
    </w:p>
    <w:p w:rsidR="003A0F9F" w:rsidRDefault="003A0F9F" w:rsidP="00E45A5D">
      <w:pPr>
        <w:pStyle w:val="Textoindependiente"/>
        <w:widowControl w:val="0"/>
        <w:suppressAutoHyphens w:val="0"/>
        <w:spacing w:after="0" w:line="360" w:lineRule="auto"/>
        <w:rPr>
          <w:rFonts w:cs="Arial"/>
          <w:color w:val="000000"/>
          <w:szCs w:val="24"/>
          <w:lang w:eastAsia="es-UY"/>
        </w:rPr>
      </w:pPr>
      <w:r w:rsidRPr="0083177E">
        <w:rPr>
          <w:rFonts w:cs="Arial"/>
          <w:bCs/>
        </w:rPr>
        <w:t>El funcionamiento de los Municipios debe adecuarse a lo prescripto por estas normas. En particular,</w:t>
      </w:r>
      <w:r w:rsidRPr="0083177E">
        <w:rPr>
          <w:rFonts w:cs="Arial"/>
          <w:color w:val="000000"/>
          <w:szCs w:val="24"/>
          <w:lang w:eastAsia="es-UY"/>
        </w:rPr>
        <w:t xml:space="preserve"> los gastos o inversiones deben ser ordenados por mayoría absoluta de los integrantes del Municipio, dentro de la que deberá estar el voto de quien esté ejerciendo la función de Alcalde. Asimismo, de acuerdo con el Numeral 5) del Artículo 14, de la referida Ley, los pagos deberán ser ordenados por el Alcalde, en cumplimiento de las resoluciones del Municipio, de conformidad con lo establecido en el Presupuesto Quinquenal o en las Modificaciones Presupuestales y en el respectivo plan financiero, así como en las disposiciones vigentes.</w:t>
      </w:r>
    </w:p>
    <w:p w:rsidR="003A0F9F" w:rsidRDefault="003A0F9F" w:rsidP="00E45A5D">
      <w:pPr>
        <w:pStyle w:val="Textoindependiente"/>
        <w:widowControl w:val="0"/>
        <w:suppressAutoHyphens w:val="0"/>
        <w:spacing w:after="0" w:line="360" w:lineRule="auto"/>
        <w:rPr>
          <w:rFonts w:cs="Arial"/>
          <w:color w:val="000000"/>
          <w:szCs w:val="24"/>
          <w:lang w:eastAsia="es-UY"/>
        </w:rPr>
      </w:pPr>
    </w:p>
    <w:p w:rsidR="003A0F9F" w:rsidRPr="00A9036D" w:rsidRDefault="003A0F9F" w:rsidP="00E45A5D">
      <w:pPr>
        <w:keepNext/>
        <w:widowControl w:val="0"/>
        <w:overflowPunct w:val="0"/>
        <w:autoSpaceDE w:val="0"/>
        <w:autoSpaceDN w:val="0"/>
        <w:adjustRightInd w:val="0"/>
        <w:spacing w:line="360" w:lineRule="auto"/>
        <w:jc w:val="both"/>
        <w:textAlignment w:val="baseline"/>
        <w:outlineLvl w:val="3"/>
        <w:rPr>
          <w:rFonts w:cs="Arial"/>
          <w:b/>
          <w:bCs/>
          <w:iCs/>
          <w:kern w:val="20"/>
        </w:rPr>
      </w:pPr>
      <w:bookmarkStart w:id="41" w:name="_Toc400023314"/>
      <w:bookmarkEnd w:id="39"/>
      <w:bookmarkEnd w:id="40"/>
      <w:r w:rsidRPr="00A9036D">
        <w:rPr>
          <w:rFonts w:cs="Arial"/>
          <w:b/>
          <w:bCs/>
          <w:iCs/>
          <w:kern w:val="20"/>
        </w:rPr>
        <w:t>5.2.1</w:t>
      </w:r>
      <w:r>
        <w:rPr>
          <w:rFonts w:cs="Arial"/>
          <w:b/>
          <w:bCs/>
          <w:iCs/>
          <w:kern w:val="20"/>
        </w:rPr>
        <w:t>2</w:t>
      </w:r>
      <w:r w:rsidRPr="00A9036D">
        <w:rPr>
          <w:rFonts w:cs="Arial"/>
          <w:b/>
          <w:bCs/>
          <w:iCs/>
          <w:kern w:val="20"/>
        </w:rPr>
        <w:t xml:space="preserve"> Decreto N° 388/92 y Resolución N° 688/92 de la Dirección General Impositiva</w:t>
      </w:r>
      <w:bookmarkEnd w:id="41"/>
    </w:p>
    <w:p w:rsidR="003A0F9F" w:rsidRDefault="003A0F9F" w:rsidP="00E45A5D">
      <w:pPr>
        <w:pStyle w:val="Textoindependiente"/>
        <w:widowControl w:val="0"/>
        <w:suppressAutoHyphens w:val="0"/>
        <w:spacing w:after="0" w:line="360" w:lineRule="auto"/>
        <w:rPr>
          <w:kern w:val="0"/>
          <w:szCs w:val="24"/>
          <w:lang w:val="es-ES"/>
        </w:rPr>
      </w:pPr>
      <w:r w:rsidRPr="00BD6CE4">
        <w:rPr>
          <w:kern w:val="0"/>
          <w:szCs w:val="24"/>
          <w:lang w:val="es-ES"/>
        </w:rPr>
        <w:t>Los gastos ejecutados deben ser respaldados cumpliendo con los requisitos establecidos por la Dirección General Impositiva.</w:t>
      </w:r>
    </w:p>
    <w:p w:rsidR="003A0F9F" w:rsidRDefault="003A0F9F" w:rsidP="00E45A5D">
      <w:pPr>
        <w:pStyle w:val="Textoindependiente"/>
        <w:widowControl w:val="0"/>
        <w:suppressAutoHyphens w:val="0"/>
        <w:spacing w:after="0" w:line="360" w:lineRule="auto"/>
        <w:rPr>
          <w:kern w:val="0"/>
          <w:szCs w:val="24"/>
          <w:lang w:val="es-ES"/>
        </w:rPr>
      </w:pPr>
    </w:p>
    <w:p w:rsidR="003A0F9F" w:rsidRPr="00961289" w:rsidRDefault="003A0F9F" w:rsidP="00E45A5D">
      <w:pPr>
        <w:widowControl w:val="0"/>
        <w:spacing w:line="360" w:lineRule="auto"/>
        <w:ind w:left="708" w:hanging="708"/>
        <w:jc w:val="both"/>
        <w:outlineLvl w:val="1"/>
        <w:rPr>
          <w:rFonts w:cs="Arial"/>
          <w:b/>
          <w:kern w:val="18"/>
        </w:rPr>
      </w:pPr>
      <w:bookmarkStart w:id="42" w:name="_Toc364954093"/>
      <w:r>
        <w:rPr>
          <w:rFonts w:cs="Arial"/>
          <w:b/>
          <w:kern w:val="18"/>
        </w:rPr>
        <w:t>5</w:t>
      </w:r>
      <w:r w:rsidRPr="00961289">
        <w:rPr>
          <w:rFonts w:cs="Arial"/>
          <w:b/>
          <w:kern w:val="18"/>
        </w:rPr>
        <w:t xml:space="preserve">.3 Recomendaciones del </w:t>
      </w:r>
      <w:r>
        <w:rPr>
          <w:rFonts w:cs="Arial"/>
          <w:b/>
          <w:kern w:val="18"/>
        </w:rPr>
        <w:t>e</w:t>
      </w:r>
      <w:r w:rsidRPr="00961289">
        <w:rPr>
          <w:rFonts w:cs="Arial"/>
          <w:b/>
          <w:kern w:val="18"/>
        </w:rPr>
        <w:t>jercicio</w:t>
      </w:r>
      <w:bookmarkEnd w:id="42"/>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sidRPr="0074362D">
        <w:rPr>
          <w:rFonts w:cs="Arial"/>
          <w:kern w:val="18"/>
        </w:rPr>
        <w:t>Se reiteran las recomen</w:t>
      </w:r>
      <w:r>
        <w:rPr>
          <w:rFonts w:cs="Arial"/>
          <w:kern w:val="18"/>
        </w:rPr>
        <w:t>daciones señaladas en el punto 5</w:t>
      </w:r>
      <w:r w:rsidRPr="0074362D">
        <w:rPr>
          <w:rFonts w:cs="Arial"/>
          <w:kern w:val="18"/>
        </w:rPr>
        <w:t>.2, y se agrega</w:t>
      </w:r>
      <w:r>
        <w:rPr>
          <w:rFonts w:cs="Arial"/>
          <w:kern w:val="18"/>
        </w:rPr>
        <w:t>n</w:t>
      </w:r>
      <w:r w:rsidRPr="0074362D">
        <w:rPr>
          <w:rFonts w:cs="Arial"/>
          <w:kern w:val="18"/>
        </w:rPr>
        <w:t xml:space="preserve"> la</w:t>
      </w:r>
      <w:r>
        <w:rPr>
          <w:rFonts w:cs="Arial"/>
          <w:kern w:val="18"/>
        </w:rPr>
        <w:t>s</w:t>
      </w:r>
      <w:r w:rsidRPr="0074362D">
        <w:rPr>
          <w:rFonts w:cs="Arial"/>
          <w:kern w:val="18"/>
        </w:rPr>
        <w:t xml:space="preserve"> siguiente</w:t>
      </w:r>
      <w:r>
        <w:rPr>
          <w:rFonts w:cs="Arial"/>
          <w:kern w:val="18"/>
        </w:rPr>
        <w:t>s</w:t>
      </w:r>
      <w:r w:rsidRPr="0074362D">
        <w:rPr>
          <w:rFonts w:cs="Arial"/>
          <w:kern w:val="18"/>
        </w:rPr>
        <w:t>:</w:t>
      </w:r>
    </w:p>
    <w:p w:rsidR="003A0F9F" w:rsidRDefault="003A0F9F" w:rsidP="00E45A5D">
      <w:pPr>
        <w:widowControl w:val="0"/>
        <w:overflowPunct w:val="0"/>
        <w:autoSpaceDE w:val="0"/>
        <w:autoSpaceDN w:val="0"/>
        <w:adjustRightInd w:val="0"/>
        <w:textAlignment w:val="baseline"/>
        <w:rPr>
          <w:rFonts w:cs="Arial"/>
          <w:b/>
          <w:kern w:val="18"/>
        </w:rPr>
      </w:pPr>
    </w:p>
    <w:p w:rsidR="003A0F9F" w:rsidRPr="00613CA7" w:rsidRDefault="003A0F9F" w:rsidP="00E45A5D">
      <w:pPr>
        <w:widowControl w:val="0"/>
        <w:overflowPunct w:val="0"/>
        <w:autoSpaceDE w:val="0"/>
        <w:autoSpaceDN w:val="0"/>
        <w:adjustRightInd w:val="0"/>
        <w:spacing w:line="360" w:lineRule="auto"/>
        <w:jc w:val="both"/>
        <w:textAlignment w:val="baseline"/>
        <w:rPr>
          <w:rFonts w:cs="Arial"/>
          <w:b/>
          <w:kern w:val="18"/>
        </w:rPr>
      </w:pPr>
      <w:r>
        <w:rPr>
          <w:rFonts w:cs="Arial"/>
          <w:b/>
          <w:kern w:val="18"/>
        </w:rPr>
        <w:t>5.3.1 Di</w:t>
      </w:r>
      <w:r w:rsidRPr="00613CA7">
        <w:rPr>
          <w:rFonts w:cs="Arial"/>
          <w:b/>
          <w:kern w:val="18"/>
        </w:rPr>
        <w:t>ferencias de cotización</w:t>
      </w:r>
    </w:p>
    <w:p w:rsidR="003A0F9F" w:rsidRDefault="003A0F9F" w:rsidP="00E45A5D">
      <w:pPr>
        <w:widowControl w:val="0"/>
        <w:spacing w:line="360" w:lineRule="auto"/>
        <w:jc w:val="both"/>
        <w:rPr>
          <w:rFonts w:cs="Arial"/>
        </w:rPr>
      </w:pPr>
      <w:r>
        <w:rPr>
          <w:rFonts w:cs="Arial"/>
        </w:rPr>
        <w:t xml:space="preserve">La totalidad de las </w:t>
      </w:r>
      <w:r w:rsidRPr="00613CA7">
        <w:rPr>
          <w:rFonts w:cs="Arial"/>
        </w:rPr>
        <w:t>dif</w:t>
      </w:r>
      <w:r>
        <w:rPr>
          <w:rFonts w:cs="Arial"/>
        </w:rPr>
        <w:t>erencias de cotización devengada</w:t>
      </w:r>
      <w:r w:rsidRPr="00613CA7">
        <w:rPr>
          <w:rFonts w:cs="Arial"/>
        </w:rPr>
        <w:t>s</w:t>
      </w:r>
      <w:r>
        <w:rPr>
          <w:rFonts w:cs="Arial"/>
        </w:rPr>
        <w:t xml:space="preserve"> en el </w:t>
      </w:r>
      <w:r w:rsidRPr="00613CA7">
        <w:rPr>
          <w:rFonts w:cs="Arial"/>
        </w:rPr>
        <w:t>ejercicio, deberán contabilizarse en los correspon</w:t>
      </w:r>
      <w:r w:rsidR="007D1D4C">
        <w:rPr>
          <w:rFonts w:cs="Arial"/>
        </w:rPr>
        <w:t>dientes objetos presupuestales.</w:t>
      </w:r>
    </w:p>
    <w:p w:rsidR="003A0F9F" w:rsidRDefault="003A0F9F" w:rsidP="00E45A5D">
      <w:pPr>
        <w:widowControl w:val="0"/>
        <w:overflowPunct w:val="0"/>
        <w:autoSpaceDE w:val="0"/>
        <w:autoSpaceDN w:val="0"/>
        <w:adjustRightInd w:val="0"/>
        <w:spacing w:line="360" w:lineRule="auto"/>
        <w:jc w:val="both"/>
        <w:textAlignment w:val="baseline"/>
        <w:rPr>
          <w:rFonts w:cs="Arial"/>
          <w:b/>
          <w:kern w:val="18"/>
        </w:rPr>
      </w:pPr>
      <w:r>
        <w:rPr>
          <w:rFonts w:cs="Arial"/>
          <w:b/>
          <w:kern w:val="18"/>
        </w:rPr>
        <w:t>5.3.2 Manuales de procedimiento</w:t>
      </w:r>
    </w:p>
    <w:p w:rsidR="003A0F9F" w:rsidRDefault="003A0F9F" w:rsidP="00E45A5D">
      <w:pPr>
        <w:widowControl w:val="0"/>
        <w:overflowPunct w:val="0"/>
        <w:autoSpaceDE w:val="0"/>
        <w:autoSpaceDN w:val="0"/>
        <w:adjustRightInd w:val="0"/>
        <w:spacing w:line="360" w:lineRule="auto"/>
        <w:jc w:val="both"/>
        <w:textAlignment w:val="baseline"/>
        <w:rPr>
          <w:rFonts w:cs="Arial"/>
          <w:kern w:val="18"/>
        </w:rPr>
      </w:pPr>
      <w:r>
        <w:rPr>
          <w:rFonts w:cs="Arial"/>
          <w:kern w:val="18"/>
        </w:rPr>
        <w:t>Es recomendable contar con manuales de procedimiento de las tareas que se realizan.</w:t>
      </w:r>
    </w:p>
    <w:p w:rsidR="003A0F9F" w:rsidRDefault="003A0F9F" w:rsidP="00E45A5D">
      <w:pPr>
        <w:widowControl w:val="0"/>
        <w:overflowPunct w:val="0"/>
        <w:autoSpaceDE w:val="0"/>
        <w:autoSpaceDN w:val="0"/>
        <w:adjustRightInd w:val="0"/>
        <w:textAlignment w:val="baseline"/>
        <w:rPr>
          <w:rFonts w:cs="Arial"/>
          <w:kern w:val="18"/>
        </w:rPr>
      </w:pPr>
    </w:p>
    <w:p w:rsidR="003A0F9F" w:rsidRDefault="003A0F9F" w:rsidP="00E45A5D">
      <w:pPr>
        <w:widowControl w:val="0"/>
        <w:overflowPunct w:val="0"/>
        <w:autoSpaceDE w:val="0"/>
        <w:autoSpaceDN w:val="0"/>
        <w:adjustRightInd w:val="0"/>
        <w:spacing w:line="360" w:lineRule="auto"/>
        <w:jc w:val="both"/>
        <w:textAlignment w:val="baseline"/>
        <w:rPr>
          <w:rFonts w:cs="Arial"/>
          <w:b/>
          <w:kern w:val="18"/>
        </w:rPr>
      </w:pPr>
      <w:r>
        <w:rPr>
          <w:rFonts w:cs="Arial"/>
          <w:b/>
          <w:kern w:val="18"/>
        </w:rPr>
        <w:t>5.3.3 Ajustes al Resultado del Ejercicio</w:t>
      </w:r>
    </w:p>
    <w:p w:rsidR="003A0F9F" w:rsidRPr="00520400" w:rsidRDefault="003A0F9F" w:rsidP="00E45A5D">
      <w:pPr>
        <w:widowControl w:val="0"/>
        <w:overflowPunct w:val="0"/>
        <w:autoSpaceDE w:val="0"/>
        <w:autoSpaceDN w:val="0"/>
        <w:adjustRightInd w:val="0"/>
        <w:spacing w:line="360" w:lineRule="auto"/>
        <w:jc w:val="both"/>
        <w:textAlignment w:val="baseline"/>
        <w:rPr>
          <w:rFonts w:cs="Arial"/>
          <w:kern w:val="18"/>
        </w:rPr>
      </w:pPr>
      <w:r>
        <w:rPr>
          <w:rFonts w:cs="Arial"/>
          <w:kern w:val="18"/>
        </w:rPr>
        <w:t>Se deberán efectuar los ajustes detallados de forma que el Resultado del ejercicio y el Resultado acumulado al 31/12/2015 se adecuen a los importes expuestos en el numeral 1) del presente informe.</w:t>
      </w:r>
    </w:p>
    <w:p w:rsidR="003A0F9F" w:rsidRDefault="003A0F9F" w:rsidP="00E45A5D">
      <w:pPr>
        <w:widowControl w:val="0"/>
        <w:jc w:val="right"/>
        <w:rPr>
          <w:rFonts w:cs="Arial"/>
        </w:rPr>
      </w:pPr>
      <w:r w:rsidRPr="00630DB8">
        <w:rPr>
          <w:rFonts w:cs="Arial"/>
        </w:rPr>
        <w:t xml:space="preserve">Montevideo, </w:t>
      </w:r>
      <w:r w:rsidR="00CE4FC6">
        <w:rPr>
          <w:rFonts w:cs="Arial"/>
        </w:rPr>
        <w:t>9 de noviembre de 2016</w:t>
      </w:r>
    </w:p>
    <w:p w:rsidR="003A0F9F" w:rsidRDefault="003A0F9F" w:rsidP="00E45A5D">
      <w:pPr>
        <w:widowControl w:val="0"/>
        <w:rPr>
          <w:rFonts w:cs="Arial"/>
        </w:rPr>
      </w:pPr>
    </w:p>
    <w:p w:rsidR="003A0F9F" w:rsidRDefault="00CE4FC6" w:rsidP="00E45A5D">
      <w:pPr>
        <w:widowControl w:val="0"/>
        <w:rPr>
          <w:rFonts w:cs="Arial"/>
        </w:rPr>
      </w:pPr>
      <w:proofErr w:type="spellStart"/>
      <w:proofErr w:type="gramStart"/>
      <w:r>
        <w:rPr>
          <w:rFonts w:cs="Arial"/>
        </w:rPr>
        <w:t>ag</w:t>
      </w:r>
      <w:proofErr w:type="spellEnd"/>
      <w:proofErr w:type="gramEnd"/>
    </w:p>
    <w:sectPr w:rsidR="003A0F9F" w:rsidSect="00520D5A">
      <w:headerReference w:type="default" r:id="rId8"/>
      <w:footerReference w:type="even" r:id="rId9"/>
      <w:footerReference w:type="default" r:id="rId10"/>
      <w:pgSz w:w="11906" w:h="16838" w:code="9"/>
      <w:pgMar w:top="3289" w:right="1701" w:bottom="1134"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F4" w:rsidRDefault="00643BF4">
      <w:r>
        <w:separator/>
      </w:r>
    </w:p>
  </w:endnote>
  <w:endnote w:type="continuationSeparator" w:id="0">
    <w:p w:rsidR="00643BF4" w:rsidRDefault="0064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F4" w:rsidRDefault="00643BF4">
    <w:pPr>
      <w:framePr w:wrap="around" w:vAnchor="text" w:hAnchor="margin" w:xAlign="center" w:y="1"/>
    </w:pPr>
    <w:r>
      <w:fldChar w:fldCharType="begin"/>
    </w:r>
    <w:r>
      <w:instrText xml:space="preserve">PAGE  </w:instrText>
    </w:r>
    <w:r>
      <w:fldChar w:fldCharType="separate"/>
    </w:r>
    <w:r>
      <w:rPr>
        <w:noProof/>
      </w:rPr>
      <w:t>1</w:t>
    </w:r>
    <w:r>
      <w:fldChar w:fldCharType="end"/>
    </w:r>
  </w:p>
  <w:p w:rsidR="00643BF4" w:rsidRDefault="00643BF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F4" w:rsidRDefault="00643BF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1D4C">
      <w:rPr>
        <w:rStyle w:val="Nmerodepgina"/>
        <w:noProof/>
      </w:rPr>
      <w:t>19</w:t>
    </w:r>
    <w:r>
      <w:rPr>
        <w:rStyle w:val="Nmerodepgina"/>
      </w:rPr>
      <w:fldChar w:fldCharType="end"/>
    </w:r>
  </w:p>
  <w:p w:rsidR="00643BF4" w:rsidRDefault="00643BF4">
    <w:pPr>
      <w:framePr w:wrap="around" w:vAnchor="text" w:hAnchor="margin" w:xAlign="right" w:y="1"/>
    </w:pPr>
  </w:p>
  <w:p w:rsidR="00643BF4" w:rsidRDefault="00643BF4">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F4" w:rsidRDefault="00643BF4">
      <w:r>
        <w:separator/>
      </w:r>
    </w:p>
  </w:footnote>
  <w:footnote w:type="continuationSeparator" w:id="0">
    <w:p w:rsidR="00643BF4" w:rsidRDefault="0064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F4" w:rsidRDefault="00643BF4">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A362D"/>
    <w:multiLevelType w:val="multilevel"/>
    <w:tmpl w:val="A276F4AE"/>
    <w:lvl w:ilvl="0">
      <w:start w:val="5"/>
      <w:numFmt w:val="decimal"/>
      <w:lvlText w:val="%1."/>
      <w:lvlJc w:val="left"/>
      <w:pPr>
        <w:ind w:left="720" w:hanging="360"/>
      </w:pPr>
      <w:rPr>
        <w:rFonts w:cs="Times New Roman" w:hint="default"/>
      </w:rPr>
    </w:lvl>
    <w:lvl w:ilvl="1">
      <w:start w:val="1"/>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EF50F1"/>
    <w:multiLevelType w:val="hybridMultilevel"/>
    <w:tmpl w:val="0C08FF52"/>
    <w:lvl w:ilvl="0" w:tplc="D3D29584">
      <w:numFmt w:val="bullet"/>
      <w:lvlText w:val="-"/>
      <w:lvlJc w:val="left"/>
      <w:pPr>
        <w:tabs>
          <w:tab w:val="num" w:pos="600"/>
        </w:tabs>
        <w:ind w:left="60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27"/>
    <w:rsid w:val="0005501F"/>
    <w:rsid w:val="00133E33"/>
    <w:rsid w:val="001A0427"/>
    <w:rsid w:val="001A70F0"/>
    <w:rsid w:val="001D0138"/>
    <w:rsid w:val="0022079E"/>
    <w:rsid w:val="00237B44"/>
    <w:rsid w:val="002828D2"/>
    <w:rsid w:val="002C2939"/>
    <w:rsid w:val="00376F2F"/>
    <w:rsid w:val="003A0F9F"/>
    <w:rsid w:val="004078E4"/>
    <w:rsid w:val="00520D5A"/>
    <w:rsid w:val="00561B16"/>
    <w:rsid w:val="005F2FD7"/>
    <w:rsid w:val="005F30F8"/>
    <w:rsid w:val="00643BF4"/>
    <w:rsid w:val="006F38B6"/>
    <w:rsid w:val="00764E88"/>
    <w:rsid w:val="007D1D4C"/>
    <w:rsid w:val="007F2EC1"/>
    <w:rsid w:val="00895E56"/>
    <w:rsid w:val="00897F8E"/>
    <w:rsid w:val="00902472"/>
    <w:rsid w:val="00995EDB"/>
    <w:rsid w:val="009C6202"/>
    <w:rsid w:val="00AE2ED5"/>
    <w:rsid w:val="00B059C7"/>
    <w:rsid w:val="00C1010F"/>
    <w:rsid w:val="00C90F78"/>
    <w:rsid w:val="00CA6AF5"/>
    <w:rsid w:val="00CE4FC6"/>
    <w:rsid w:val="00E45A5D"/>
    <w:rsid w:val="00E8325A"/>
    <w:rsid w:val="00EC0DCF"/>
    <w:rsid w:val="00F15992"/>
    <w:rsid w:val="00F84509"/>
    <w:rsid w:val="00F92A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A0F9F"/>
    <w:pPr>
      <w:keepNext/>
      <w:spacing w:before="240" w:after="60"/>
      <w:outlineLvl w:val="0"/>
    </w:pPr>
    <w:rPr>
      <w:b/>
      <w:bCs/>
      <w:kern w:val="32"/>
      <w:szCs w:val="32"/>
    </w:rPr>
  </w:style>
  <w:style w:type="paragraph" w:styleId="Ttulo2">
    <w:name w:val="heading 2"/>
    <w:basedOn w:val="Normal"/>
    <w:next w:val="Normal"/>
    <w:link w:val="Ttulo2Car"/>
    <w:qFormat/>
    <w:rsid w:val="003A0F9F"/>
    <w:pPr>
      <w:keepNext/>
      <w:spacing w:before="240" w:after="60"/>
      <w:outlineLvl w:val="1"/>
    </w:pPr>
    <w:rPr>
      <w:b/>
      <w:bCs/>
      <w:i/>
      <w:iCs/>
      <w:sz w:val="28"/>
      <w:szCs w:val="28"/>
    </w:rPr>
  </w:style>
  <w:style w:type="paragraph" w:styleId="Ttulo3">
    <w:name w:val="heading 3"/>
    <w:basedOn w:val="Normal"/>
    <w:next w:val="Normal"/>
    <w:link w:val="Ttulo3Car"/>
    <w:qFormat/>
    <w:rsid w:val="003A0F9F"/>
    <w:pPr>
      <w:keepNext/>
      <w:spacing w:before="240" w:after="60"/>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3A0F9F"/>
    <w:rPr>
      <w:rFonts w:ascii="Arial" w:eastAsia="Times New Roman" w:hAnsi="Arial" w:cs="Times New Roman"/>
      <w:b/>
      <w:bCs/>
      <w:kern w:val="32"/>
      <w:sz w:val="24"/>
      <w:szCs w:val="32"/>
      <w:lang w:eastAsia="es-ES"/>
    </w:rPr>
  </w:style>
  <w:style w:type="character" w:customStyle="1" w:styleId="Ttulo2Car">
    <w:name w:val="Título 2 Car"/>
    <w:basedOn w:val="Fuentedeprrafopredeter"/>
    <w:link w:val="Ttulo2"/>
    <w:rsid w:val="003A0F9F"/>
    <w:rPr>
      <w:rFonts w:ascii="Arial" w:eastAsia="Times New Roman" w:hAnsi="Arial" w:cs="Times New Roman"/>
      <w:b/>
      <w:bCs/>
      <w:i/>
      <w:iCs/>
      <w:sz w:val="28"/>
      <w:szCs w:val="28"/>
      <w:lang w:eastAsia="es-ES"/>
    </w:rPr>
  </w:style>
  <w:style w:type="character" w:customStyle="1" w:styleId="Ttulo3Car">
    <w:name w:val="Título 3 Car"/>
    <w:basedOn w:val="Fuentedeprrafopredeter"/>
    <w:link w:val="Ttulo3"/>
    <w:rsid w:val="003A0F9F"/>
    <w:rPr>
      <w:rFonts w:ascii="Arial" w:eastAsia="Times New Roman" w:hAnsi="Arial" w:cs="Times New Roman"/>
      <w:b/>
      <w:bCs/>
      <w:sz w:val="26"/>
      <w:szCs w:val="26"/>
      <w:lang w:eastAsia="es-ES"/>
    </w:rPr>
  </w:style>
  <w:style w:type="paragraph" w:styleId="Textoindependiente">
    <w:name w:val="Body Text"/>
    <w:basedOn w:val="Normal"/>
    <w:link w:val="TextoindependienteCar"/>
    <w:rsid w:val="003A0F9F"/>
    <w:pPr>
      <w:suppressAutoHyphens/>
      <w:spacing w:after="240" w:line="240" w:lineRule="atLeast"/>
      <w:jc w:val="both"/>
    </w:pPr>
    <w:rPr>
      <w:kern w:val="1"/>
      <w:szCs w:val="20"/>
      <w:lang w:val="es-ES_tradnl" w:eastAsia="ar-SA"/>
    </w:rPr>
  </w:style>
  <w:style w:type="character" w:customStyle="1" w:styleId="TextoindependienteCar">
    <w:name w:val="Texto independiente Car"/>
    <w:basedOn w:val="Fuentedeprrafopredeter"/>
    <w:link w:val="Textoindependiente"/>
    <w:rsid w:val="003A0F9F"/>
    <w:rPr>
      <w:rFonts w:ascii="Arial" w:eastAsia="Times New Roman" w:hAnsi="Arial" w:cs="Times New Roman"/>
      <w:kern w:val="1"/>
      <w:sz w:val="24"/>
      <w:szCs w:val="20"/>
      <w:lang w:val="es-ES_tradnl" w:eastAsia="ar-SA"/>
    </w:rPr>
  </w:style>
  <w:style w:type="paragraph" w:styleId="Encabezado">
    <w:name w:val="header"/>
    <w:basedOn w:val="Normal"/>
    <w:link w:val="EncabezadoCar"/>
    <w:uiPriority w:val="99"/>
    <w:unhideWhenUsed/>
    <w:rsid w:val="003A0F9F"/>
    <w:pPr>
      <w:tabs>
        <w:tab w:val="center" w:pos="4252"/>
        <w:tab w:val="right" w:pos="8504"/>
      </w:tabs>
      <w:spacing w:after="200" w:line="276" w:lineRule="auto"/>
      <w:jc w:val="both"/>
    </w:pPr>
    <w:rPr>
      <w:rFonts w:eastAsia="Calibri"/>
      <w:szCs w:val="22"/>
      <w:lang w:val="x-none" w:eastAsia="en-US"/>
    </w:rPr>
  </w:style>
  <w:style w:type="character" w:customStyle="1" w:styleId="EncabezadoCar">
    <w:name w:val="Encabezado Car"/>
    <w:basedOn w:val="Fuentedeprrafopredeter"/>
    <w:link w:val="Encabezado"/>
    <w:uiPriority w:val="99"/>
    <w:rsid w:val="003A0F9F"/>
    <w:rPr>
      <w:rFonts w:ascii="Arial" w:eastAsia="Calibri" w:hAnsi="Arial" w:cs="Times New Roman"/>
      <w:sz w:val="24"/>
      <w:lang w:val="x-none"/>
    </w:rPr>
  </w:style>
  <w:style w:type="paragraph" w:styleId="Subttulo">
    <w:name w:val="Subtitle"/>
    <w:basedOn w:val="Normal"/>
    <w:link w:val="SubttuloCar"/>
    <w:qFormat/>
    <w:rsid w:val="003A0F9F"/>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3A0F9F"/>
    <w:rPr>
      <w:rFonts w:ascii="Bookman Old Style" w:eastAsia="Times New Roman" w:hAnsi="Bookman Old Style" w:cs="Times New Roman"/>
      <w:b/>
      <w:kern w:val="18"/>
      <w:sz w:val="24"/>
      <w:szCs w:val="20"/>
      <w:lang w:eastAsia="es-ES"/>
    </w:rPr>
  </w:style>
  <w:style w:type="paragraph" w:styleId="Sangradetextonormal">
    <w:name w:val="Body Text Indent"/>
    <w:basedOn w:val="Normal"/>
    <w:link w:val="SangradetextonormalCar"/>
    <w:semiHidden/>
    <w:rsid w:val="003A0F9F"/>
    <w:pPr>
      <w:spacing w:line="360" w:lineRule="auto"/>
      <w:ind w:left="90"/>
      <w:jc w:val="both"/>
    </w:pPr>
  </w:style>
  <w:style w:type="character" w:customStyle="1" w:styleId="SangradetextonormalCar">
    <w:name w:val="Sangría de texto normal Car"/>
    <w:basedOn w:val="Fuentedeprrafopredeter"/>
    <w:link w:val="Sangradetextonormal"/>
    <w:semiHidden/>
    <w:rsid w:val="003A0F9F"/>
    <w:rPr>
      <w:rFonts w:ascii="Arial" w:eastAsia="Times New Roman" w:hAnsi="Arial" w:cs="Times New Roman"/>
      <w:sz w:val="24"/>
      <w:szCs w:val="24"/>
      <w:lang w:eastAsia="es-ES"/>
    </w:rPr>
  </w:style>
  <w:style w:type="paragraph" w:styleId="Textoindependiente2">
    <w:name w:val="Body Text 2"/>
    <w:basedOn w:val="Normal"/>
    <w:link w:val="Textoindependiente2Car"/>
    <w:semiHidden/>
    <w:rsid w:val="003A0F9F"/>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3A0F9F"/>
    <w:rPr>
      <w:rFonts w:ascii="Bookman Old Style" w:eastAsia="Times New Roman" w:hAnsi="Bookman Old Style" w:cs="Times New Roman"/>
      <w:kern w:val="18"/>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A0F9F"/>
    <w:pPr>
      <w:keepNext/>
      <w:spacing w:before="240" w:after="60"/>
      <w:outlineLvl w:val="0"/>
    </w:pPr>
    <w:rPr>
      <w:b/>
      <w:bCs/>
      <w:kern w:val="32"/>
      <w:szCs w:val="32"/>
    </w:rPr>
  </w:style>
  <w:style w:type="paragraph" w:styleId="Ttulo2">
    <w:name w:val="heading 2"/>
    <w:basedOn w:val="Normal"/>
    <w:next w:val="Normal"/>
    <w:link w:val="Ttulo2Car"/>
    <w:qFormat/>
    <w:rsid w:val="003A0F9F"/>
    <w:pPr>
      <w:keepNext/>
      <w:spacing w:before="240" w:after="60"/>
      <w:outlineLvl w:val="1"/>
    </w:pPr>
    <w:rPr>
      <w:b/>
      <w:bCs/>
      <w:i/>
      <w:iCs/>
      <w:sz w:val="28"/>
      <w:szCs w:val="28"/>
    </w:rPr>
  </w:style>
  <w:style w:type="paragraph" w:styleId="Ttulo3">
    <w:name w:val="heading 3"/>
    <w:basedOn w:val="Normal"/>
    <w:next w:val="Normal"/>
    <w:link w:val="Ttulo3Car"/>
    <w:qFormat/>
    <w:rsid w:val="003A0F9F"/>
    <w:pPr>
      <w:keepNext/>
      <w:spacing w:before="240" w:after="60"/>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3A0F9F"/>
    <w:rPr>
      <w:rFonts w:ascii="Arial" w:eastAsia="Times New Roman" w:hAnsi="Arial" w:cs="Times New Roman"/>
      <w:b/>
      <w:bCs/>
      <w:kern w:val="32"/>
      <w:sz w:val="24"/>
      <w:szCs w:val="32"/>
      <w:lang w:eastAsia="es-ES"/>
    </w:rPr>
  </w:style>
  <w:style w:type="character" w:customStyle="1" w:styleId="Ttulo2Car">
    <w:name w:val="Título 2 Car"/>
    <w:basedOn w:val="Fuentedeprrafopredeter"/>
    <w:link w:val="Ttulo2"/>
    <w:rsid w:val="003A0F9F"/>
    <w:rPr>
      <w:rFonts w:ascii="Arial" w:eastAsia="Times New Roman" w:hAnsi="Arial" w:cs="Times New Roman"/>
      <w:b/>
      <w:bCs/>
      <w:i/>
      <w:iCs/>
      <w:sz w:val="28"/>
      <w:szCs w:val="28"/>
      <w:lang w:eastAsia="es-ES"/>
    </w:rPr>
  </w:style>
  <w:style w:type="character" w:customStyle="1" w:styleId="Ttulo3Car">
    <w:name w:val="Título 3 Car"/>
    <w:basedOn w:val="Fuentedeprrafopredeter"/>
    <w:link w:val="Ttulo3"/>
    <w:rsid w:val="003A0F9F"/>
    <w:rPr>
      <w:rFonts w:ascii="Arial" w:eastAsia="Times New Roman" w:hAnsi="Arial" w:cs="Times New Roman"/>
      <w:b/>
      <w:bCs/>
      <w:sz w:val="26"/>
      <w:szCs w:val="26"/>
      <w:lang w:eastAsia="es-ES"/>
    </w:rPr>
  </w:style>
  <w:style w:type="paragraph" w:styleId="Textoindependiente">
    <w:name w:val="Body Text"/>
    <w:basedOn w:val="Normal"/>
    <w:link w:val="TextoindependienteCar"/>
    <w:rsid w:val="003A0F9F"/>
    <w:pPr>
      <w:suppressAutoHyphens/>
      <w:spacing w:after="240" w:line="240" w:lineRule="atLeast"/>
      <w:jc w:val="both"/>
    </w:pPr>
    <w:rPr>
      <w:kern w:val="1"/>
      <w:szCs w:val="20"/>
      <w:lang w:val="es-ES_tradnl" w:eastAsia="ar-SA"/>
    </w:rPr>
  </w:style>
  <w:style w:type="character" w:customStyle="1" w:styleId="TextoindependienteCar">
    <w:name w:val="Texto independiente Car"/>
    <w:basedOn w:val="Fuentedeprrafopredeter"/>
    <w:link w:val="Textoindependiente"/>
    <w:rsid w:val="003A0F9F"/>
    <w:rPr>
      <w:rFonts w:ascii="Arial" w:eastAsia="Times New Roman" w:hAnsi="Arial" w:cs="Times New Roman"/>
      <w:kern w:val="1"/>
      <w:sz w:val="24"/>
      <w:szCs w:val="20"/>
      <w:lang w:val="es-ES_tradnl" w:eastAsia="ar-SA"/>
    </w:rPr>
  </w:style>
  <w:style w:type="paragraph" w:styleId="Encabezado">
    <w:name w:val="header"/>
    <w:basedOn w:val="Normal"/>
    <w:link w:val="EncabezadoCar"/>
    <w:uiPriority w:val="99"/>
    <w:unhideWhenUsed/>
    <w:rsid w:val="003A0F9F"/>
    <w:pPr>
      <w:tabs>
        <w:tab w:val="center" w:pos="4252"/>
        <w:tab w:val="right" w:pos="8504"/>
      </w:tabs>
      <w:spacing w:after="200" w:line="276" w:lineRule="auto"/>
      <w:jc w:val="both"/>
    </w:pPr>
    <w:rPr>
      <w:rFonts w:eastAsia="Calibri"/>
      <w:szCs w:val="22"/>
      <w:lang w:val="x-none" w:eastAsia="en-US"/>
    </w:rPr>
  </w:style>
  <w:style w:type="character" w:customStyle="1" w:styleId="EncabezadoCar">
    <w:name w:val="Encabezado Car"/>
    <w:basedOn w:val="Fuentedeprrafopredeter"/>
    <w:link w:val="Encabezado"/>
    <w:uiPriority w:val="99"/>
    <w:rsid w:val="003A0F9F"/>
    <w:rPr>
      <w:rFonts w:ascii="Arial" w:eastAsia="Calibri" w:hAnsi="Arial" w:cs="Times New Roman"/>
      <w:sz w:val="24"/>
      <w:lang w:val="x-none"/>
    </w:rPr>
  </w:style>
  <w:style w:type="paragraph" w:styleId="Subttulo">
    <w:name w:val="Subtitle"/>
    <w:basedOn w:val="Normal"/>
    <w:link w:val="SubttuloCar"/>
    <w:qFormat/>
    <w:rsid w:val="003A0F9F"/>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3A0F9F"/>
    <w:rPr>
      <w:rFonts w:ascii="Bookman Old Style" w:eastAsia="Times New Roman" w:hAnsi="Bookman Old Style" w:cs="Times New Roman"/>
      <w:b/>
      <w:kern w:val="18"/>
      <w:sz w:val="24"/>
      <w:szCs w:val="20"/>
      <w:lang w:eastAsia="es-ES"/>
    </w:rPr>
  </w:style>
  <w:style w:type="paragraph" w:styleId="Sangradetextonormal">
    <w:name w:val="Body Text Indent"/>
    <w:basedOn w:val="Normal"/>
    <w:link w:val="SangradetextonormalCar"/>
    <w:semiHidden/>
    <w:rsid w:val="003A0F9F"/>
    <w:pPr>
      <w:spacing w:line="360" w:lineRule="auto"/>
      <w:ind w:left="90"/>
      <w:jc w:val="both"/>
    </w:pPr>
  </w:style>
  <w:style w:type="character" w:customStyle="1" w:styleId="SangradetextonormalCar">
    <w:name w:val="Sangría de texto normal Car"/>
    <w:basedOn w:val="Fuentedeprrafopredeter"/>
    <w:link w:val="Sangradetextonormal"/>
    <w:semiHidden/>
    <w:rsid w:val="003A0F9F"/>
    <w:rPr>
      <w:rFonts w:ascii="Arial" w:eastAsia="Times New Roman" w:hAnsi="Arial" w:cs="Times New Roman"/>
      <w:sz w:val="24"/>
      <w:szCs w:val="24"/>
      <w:lang w:eastAsia="es-ES"/>
    </w:rPr>
  </w:style>
  <w:style w:type="paragraph" w:styleId="Textoindependiente2">
    <w:name w:val="Body Text 2"/>
    <w:basedOn w:val="Normal"/>
    <w:link w:val="Textoindependiente2Car"/>
    <w:semiHidden/>
    <w:rsid w:val="003A0F9F"/>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3A0F9F"/>
    <w:rPr>
      <w:rFonts w:ascii="Bookman Old Style" w:eastAsia="Times New Roman" w:hAnsi="Bookman Old Style" w:cs="Times New Roman"/>
      <w:kern w:val="18"/>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4537</Words>
  <Characters>24955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10</cp:revision>
  <cp:lastPrinted>2016-11-21T19:33:00Z</cp:lastPrinted>
  <dcterms:created xsi:type="dcterms:W3CDTF">2016-11-21T17:39:00Z</dcterms:created>
  <dcterms:modified xsi:type="dcterms:W3CDTF">2017-03-27T18:14:00Z</dcterms:modified>
</cp:coreProperties>
</file>