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8E" w:rsidRPr="00786EEB" w:rsidRDefault="00682B8E" w:rsidP="00F30C7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360/17</w:t>
      </w:r>
    </w:p>
    <w:p w:rsidR="00682B8E" w:rsidRDefault="00682B8E" w:rsidP="00F30C72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82B8E" w:rsidRPr="00682B8E" w:rsidRDefault="00682B8E" w:rsidP="00682B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82B8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82B8E" w:rsidRPr="00682B8E" w:rsidRDefault="00682B8E" w:rsidP="00682B8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82B8E" w:rsidRPr="00682B8E" w:rsidRDefault="00682B8E" w:rsidP="00682B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82B8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82B8E" w:rsidRPr="00682B8E" w:rsidRDefault="00682B8E" w:rsidP="00682B8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82B8E" w:rsidRPr="00682B8E" w:rsidRDefault="00682B8E" w:rsidP="00682B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82B8E">
        <w:rPr>
          <w:rFonts w:ascii="Arial" w:hAnsi="Arial" w:cs="Arial"/>
          <w:b/>
          <w:sz w:val="24"/>
          <w:szCs w:val="24"/>
          <w:lang w:val="es-ES_tradnl"/>
        </w:rPr>
        <w:t xml:space="preserve">EN SESION DE FECHA 1º DE FEBRERO </w:t>
      </w:r>
      <w:r w:rsidRPr="00682B8E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682B8E" w:rsidRPr="00682B8E" w:rsidRDefault="00682B8E" w:rsidP="00682B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82B8E" w:rsidRPr="00682B8E" w:rsidRDefault="00682B8E" w:rsidP="00682B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682B8E">
        <w:rPr>
          <w:rFonts w:ascii="Arial" w:hAnsi="Arial" w:cs="Arial"/>
          <w:b/>
          <w:sz w:val="24"/>
          <w:szCs w:val="24"/>
          <w:lang w:val="es-AR"/>
        </w:rPr>
        <w:t xml:space="preserve">(E. E. Nº 2016-17-1-0005395, </w:t>
      </w:r>
      <w:proofErr w:type="spellStart"/>
      <w:r w:rsidRPr="00682B8E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682B8E">
        <w:rPr>
          <w:rFonts w:ascii="Arial" w:hAnsi="Arial" w:cs="Arial"/>
          <w:b/>
          <w:sz w:val="24"/>
          <w:szCs w:val="24"/>
          <w:lang w:val="es-AR"/>
        </w:rPr>
        <w:t>. N° 6695/16)</w:t>
      </w:r>
    </w:p>
    <w:p w:rsidR="00682B8E" w:rsidRPr="00682B8E" w:rsidRDefault="00682B8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6E1A56" w:rsidRDefault="006E1A56" w:rsidP="00682B8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37445D">
        <w:rPr>
          <w:rFonts w:ascii="Arial" w:hAnsi="Arial" w:cs="Arial"/>
          <w:b/>
          <w:sz w:val="24"/>
          <w:szCs w:val="24"/>
          <w:lang w:val="es-ES"/>
        </w:rPr>
        <w:t>VISTO:</w:t>
      </w:r>
      <w:r w:rsidR="00682B8E">
        <w:rPr>
          <w:rFonts w:ascii="Arial" w:hAnsi="Arial" w:cs="Arial"/>
          <w:sz w:val="24"/>
          <w:szCs w:val="24"/>
          <w:lang w:val="es-ES"/>
        </w:rPr>
        <w:t xml:space="preserve"> l</w:t>
      </w:r>
      <w:r>
        <w:rPr>
          <w:rFonts w:ascii="Arial" w:hAnsi="Arial" w:cs="Arial"/>
          <w:sz w:val="24"/>
          <w:szCs w:val="24"/>
          <w:lang w:val="es-ES"/>
        </w:rPr>
        <w:t xml:space="preserve">as actuaciones remitidas por la </w:t>
      </w:r>
      <w:r w:rsidR="00396148">
        <w:rPr>
          <w:rFonts w:ascii="Arial" w:hAnsi="Arial" w:cs="Arial"/>
          <w:sz w:val="24"/>
          <w:szCs w:val="24"/>
          <w:lang w:val="es-ES"/>
        </w:rPr>
        <w:t>Administración</w:t>
      </w:r>
      <w:r>
        <w:rPr>
          <w:rFonts w:ascii="Arial" w:hAnsi="Arial" w:cs="Arial"/>
          <w:sz w:val="24"/>
          <w:szCs w:val="24"/>
          <w:lang w:val="es-ES"/>
        </w:rPr>
        <w:t xml:space="preserve"> Nacional de  Combustibles, Alcohol y Portland, relacionadas con la </w:t>
      </w:r>
      <w:r w:rsidR="00EB3333">
        <w:rPr>
          <w:rFonts w:ascii="Arial" w:hAnsi="Arial" w:cs="Arial"/>
          <w:sz w:val="24"/>
          <w:szCs w:val="24"/>
          <w:lang w:val="es-ES"/>
        </w:rPr>
        <w:t xml:space="preserve">reiteración de la </w:t>
      </w:r>
      <w:r>
        <w:rPr>
          <w:rFonts w:ascii="Arial" w:hAnsi="Arial" w:cs="Arial"/>
          <w:sz w:val="24"/>
          <w:szCs w:val="24"/>
          <w:lang w:val="es-ES"/>
        </w:rPr>
        <w:t>Compra Directa Nº 1700</w:t>
      </w:r>
      <w:r w:rsidR="00765E88">
        <w:rPr>
          <w:rFonts w:ascii="Arial" w:hAnsi="Arial" w:cs="Arial"/>
          <w:sz w:val="24"/>
          <w:szCs w:val="24"/>
          <w:lang w:val="es-ES"/>
        </w:rPr>
        <w:t>556600 para el suministro</w:t>
      </w:r>
      <w:bookmarkStart w:id="0" w:name="_GoBack"/>
      <w:bookmarkEnd w:id="0"/>
      <w:r w:rsidR="00682B8E">
        <w:rPr>
          <w:rFonts w:ascii="Arial" w:hAnsi="Arial" w:cs="Arial"/>
          <w:sz w:val="24"/>
          <w:szCs w:val="24"/>
          <w:lang w:val="es-ES"/>
        </w:rPr>
        <w:t xml:space="preserve"> por dos</w:t>
      </w:r>
      <w:r>
        <w:rPr>
          <w:rFonts w:ascii="Arial" w:hAnsi="Arial" w:cs="Arial"/>
          <w:sz w:val="24"/>
          <w:szCs w:val="24"/>
          <w:lang w:val="es-ES"/>
        </w:rPr>
        <w:t xml:space="preserve"> años de tambores de chapa, aptos para contener 200 litros de a</w:t>
      </w:r>
      <w:r w:rsidR="00682B8E">
        <w:rPr>
          <w:rFonts w:ascii="Arial" w:hAnsi="Arial" w:cs="Arial"/>
          <w:sz w:val="24"/>
          <w:szCs w:val="24"/>
          <w:lang w:val="es-ES"/>
        </w:rPr>
        <w:t>ceite lubricante, por hasta U$S</w:t>
      </w:r>
      <w:r>
        <w:rPr>
          <w:rFonts w:ascii="Arial" w:hAnsi="Arial" w:cs="Arial"/>
          <w:sz w:val="24"/>
          <w:szCs w:val="24"/>
          <w:lang w:val="es-ES"/>
        </w:rPr>
        <w:t xml:space="preserve">900.000 </w:t>
      </w:r>
      <w:r w:rsidR="00396148">
        <w:rPr>
          <w:rFonts w:ascii="Arial" w:hAnsi="Arial" w:cs="Arial"/>
          <w:sz w:val="24"/>
          <w:szCs w:val="24"/>
          <w:lang w:val="es-ES"/>
        </w:rPr>
        <w:t>más</w:t>
      </w:r>
      <w:r>
        <w:rPr>
          <w:rFonts w:ascii="Arial" w:hAnsi="Arial" w:cs="Arial"/>
          <w:sz w:val="24"/>
          <w:szCs w:val="24"/>
          <w:lang w:val="es-ES"/>
        </w:rPr>
        <w:t xml:space="preserve"> IVA con opción a renovación por hasta igual cantidad; </w:t>
      </w:r>
    </w:p>
    <w:p w:rsidR="00F30C72" w:rsidRDefault="006E1A56" w:rsidP="00F30C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37445D">
        <w:rPr>
          <w:rFonts w:ascii="Arial" w:hAnsi="Arial" w:cs="Arial"/>
          <w:b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04341">
        <w:rPr>
          <w:rFonts w:ascii="Arial" w:hAnsi="Arial" w:cs="Arial"/>
          <w:sz w:val="24"/>
          <w:szCs w:val="24"/>
          <w:lang w:val="es-ES"/>
        </w:rPr>
        <w:t xml:space="preserve">que por </w:t>
      </w:r>
      <w:r w:rsidR="00396148">
        <w:rPr>
          <w:rFonts w:ascii="Arial" w:hAnsi="Arial" w:cs="Arial"/>
          <w:sz w:val="24"/>
          <w:szCs w:val="24"/>
          <w:lang w:val="es-ES"/>
        </w:rPr>
        <w:t>Resolución</w:t>
      </w:r>
      <w:r w:rsidR="00504341">
        <w:rPr>
          <w:rFonts w:ascii="Arial" w:hAnsi="Arial" w:cs="Arial"/>
          <w:sz w:val="24"/>
          <w:szCs w:val="24"/>
          <w:lang w:val="es-ES"/>
        </w:rPr>
        <w:t xml:space="preserve"> Nº 058/16  de fecha 3.8.16, la Gerencia del </w:t>
      </w:r>
      <w:r w:rsidR="00396148">
        <w:rPr>
          <w:rFonts w:ascii="Arial" w:hAnsi="Arial" w:cs="Arial"/>
          <w:sz w:val="24"/>
          <w:szCs w:val="24"/>
          <w:lang w:val="es-ES"/>
        </w:rPr>
        <w:t>Área</w:t>
      </w:r>
      <w:r w:rsidR="00504341">
        <w:rPr>
          <w:rFonts w:ascii="Arial" w:hAnsi="Arial" w:cs="Arial"/>
          <w:sz w:val="24"/>
          <w:szCs w:val="24"/>
          <w:lang w:val="es-ES"/>
        </w:rPr>
        <w:t xml:space="preserve"> Servicios por delegación, adjudica el presente llamado a la firma PRESTAL S</w:t>
      </w:r>
      <w:r w:rsidR="00682B8E">
        <w:rPr>
          <w:rFonts w:ascii="Arial" w:hAnsi="Arial" w:cs="Arial"/>
          <w:sz w:val="24"/>
          <w:szCs w:val="24"/>
          <w:lang w:val="es-ES"/>
        </w:rPr>
        <w:t>.</w:t>
      </w:r>
      <w:r w:rsidR="00504341">
        <w:rPr>
          <w:rFonts w:ascii="Arial" w:hAnsi="Arial" w:cs="Arial"/>
          <w:sz w:val="24"/>
          <w:szCs w:val="24"/>
          <w:lang w:val="es-ES"/>
        </w:rPr>
        <w:t>A</w:t>
      </w:r>
      <w:r w:rsidR="00682B8E">
        <w:rPr>
          <w:rFonts w:ascii="Arial" w:hAnsi="Arial" w:cs="Arial"/>
          <w:sz w:val="24"/>
          <w:szCs w:val="24"/>
          <w:lang w:val="es-ES"/>
        </w:rPr>
        <w:t>. en su opción 2</w:t>
      </w:r>
      <w:r w:rsidR="0037445D">
        <w:rPr>
          <w:rFonts w:ascii="Arial" w:hAnsi="Arial" w:cs="Arial"/>
          <w:sz w:val="24"/>
          <w:szCs w:val="24"/>
          <w:lang w:val="es-ES"/>
        </w:rPr>
        <w:t xml:space="preserve">, </w:t>
      </w:r>
      <w:r w:rsidR="00504341">
        <w:rPr>
          <w:rFonts w:ascii="Arial" w:hAnsi="Arial" w:cs="Arial"/>
          <w:sz w:val="24"/>
          <w:szCs w:val="24"/>
          <w:lang w:val="es-ES"/>
        </w:rPr>
        <w:t xml:space="preserve">por un monto de hasta U$S 90.000 </w:t>
      </w:r>
      <w:r w:rsidR="00396148">
        <w:rPr>
          <w:rFonts w:ascii="Arial" w:hAnsi="Arial" w:cs="Arial"/>
          <w:sz w:val="24"/>
          <w:szCs w:val="24"/>
          <w:lang w:val="es-ES"/>
        </w:rPr>
        <w:t>más</w:t>
      </w:r>
      <w:r w:rsidR="00504341">
        <w:rPr>
          <w:rFonts w:ascii="Arial" w:hAnsi="Arial" w:cs="Arial"/>
          <w:sz w:val="24"/>
          <w:szCs w:val="24"/>
          <w:lang w:val="es-ES"/>
        </w:rPr>
        <w:t xml:space="preserve"> IVA, con opción a renovación po</w:t>
      </w:r>
      <w:r w:rsidR="00682B8E">
        <w:rPr>
          <w:rFonts w:ascii="Arial" w:hAnsi="Arial" w:cs="Arial"/>
          <w:sz w:val="24"/>
          <w:szCs w:val="24"/>
          <w:lang w:val="es-ES"/>
        </w:rPr>
        <w:t>r hasta igual monto de acuerdo con</w:t>
      </w:r>
      <w:r w:rsidR="00504341">
        <w:rPr>
          <w:rFonts w:ascii="Arial" w:hAnsi="Arial" w:cs="Arial"/>
          <w:sz w:val="24"/>
          <w:szCs w:val="24"/>
          <w:lang w:val="es-ES"/>
        </w:rPr>
        <w:t xml:space="preserve"> su oferta</w:t>
      </w:r>
      <w:r w:rsidR="000D2CAE">
        <w:rPr>
          <w:rFonts w:ascii="Arial" w:hAnsi="Arial" w:cs="Arial"/>
          <w:sz w:val="24"/>
          <w:szCs w:val="24"/>
          <w:lang w:val="es-ES"/>
        </w:rPr>
        <w:t xml:space="preserve"> y  asimismo condiciona  la adjudicación  previa intervención del Tribunal </w:t>
      </w:r>
      <w:r w:rsidR="0037445D">
        <w:rPr>
          <w:rFonts w:ascii="Arial" w:hAnsi="Arial" w:cs="Arial"/>
          <w:sz w:val="24"/>
          <w:szCs w:val="24"/>
          <w:lang w:val="es-ES"/>
        </w:rPr>
        <w:t xml:space="preserve">por </w:t>
      </w:r>
      <w:r w:rsidR="00F30C72">
        <w:rPr>
          <w:rFonts w:ascii="Arial" w:hAnsi="Arial" w:cs="Arial"/>
          <w:sz w:val="24"/>
          <w:szCs w:val="24"/>
          <w:lang w:val="es-ES"/>
        </w:rPr>
        <w:t>un monto de hasta $ 67:</w:t>
      </w:r>
      <w:r w:rsidR="000D2CAE">
        <w:rPr>
          <w:rFonts w:ascii="Arial" w:hAnsi="Arial" w:cs="Arial"/>
          <w:sz w:val="24"/>
          <w:szCs w:val="24"/>
          <w:lang w:val="es-ES"/>
        </w:rPr>
        <w:t>234.932</w:t>
      </w:r>
      <w:r w:rsidR="00504341">
        <w:rPr>
          <w:rFonts w:ascii="Arial" w:hAnsi="Arial" w:cs="Arial"/>
          <w:sz w:val="24"/>
          <w:szCs w:val="24"/>
          <w:lang w:val="es-ES"/>
        </w:rPr>
        <w:t>;</w:t>
      </w:r>
    </w:p>
    <w:p w:rsidR="00F30C72" w:rsidRDefault="0095313D" w:rsidP="00F30C72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37445D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este Tribunal por </w:t>
      </w:r>
      <w:r w:rsidR="004E77E6">
        <w:rPr>
          <w:rFonts w:ascii="Arial" w:hAnsi="Arial" w:cs="Arial"/>
          <w:sz w:val="24"/>
          <w:szCs w:val="24"/>
          <w:lang w:val="es-ES"/>
        </w:rPr>
        <w:t>Resolución</w:t>
      </w:r>
      <w:r>
        <w:rPr>
          <w:rFonts w:ascii="Arial" w:hAnsi="Arial" w:cs="Arial"/>
          <w:sz w:val="24"/>
          <w:szCs w:val="24"/>
          <w:lang w:val="es-ES"/>
        </w:rPr>
        <w:t xml:space="preserve"> Nº 3057/16 de fecha 31.8.16 </w:t>
      </w:r>
      <w:r w:rsidR="0037445D">
        <w:rPr>
          <w:rFonts w:ascii="Arial" w:hAnsi="Arial" w:cs="Arial"/>
          <w:sz w:val="24"/>
          <w:szCs w:val="24"/>
          <w:lang w:val="es-ES"/>
        </w:rPr>
        <w:t>observó</w:t>
      </w:r>
      <w:r>
        <w:rPr>
          <w:rFonts w:ascii="Arial" w:hAnsi="Arial" w:cs="Arial"/>
          <w:sz w:val="24"/>
          <w:szCs w:val="24"/>
          <w:lang w:val="es-ES"/>
        </w:rPr>
        <w:t xml:space="preserve"> el gasto expresando que: </w:t>
      </w:r>
      <w:r w:rsidR="00166146" w:rsidRPr="00430FA9">
        <w:rPr>
          <w:rFonts w:ascii="Arial" w:hAnsi="Arial" w:cs="Arial"/>
          <w:b/>
          <w:sz w:val="24"/>
          <w:szCs w:val="24"/>
          <w:lang w:val="es-ES"/>
        </w:rPr>
        <w:t>a)</w:t>
      </w:r>
      <w:r w:rsidR="00166146" w:rsidRPr="00166146">
        <w:rPr>
          <w:rFonts w:ascii="Arial" w:hAnsi="Arial" w:cs="Arial"/>
          <w:sz w:val="24"/>
          <w:szCs w:val="24"/>
          <w:lang w:val="es-ES"/>
        </w:rPr>
        <w:t xml:space="preserve"> </w:t>
      </w:r>
      <w:r w:rsidR="00EE6DBF">
        <w:rPr>
          <w:rFonts w:ascii="Arial" w:hAnsi="Arial" w:cs="Arial"/>
          <w:sz w:val="24"/>
          <w:szCs w:val="24"/>
          <w:lang w:val="es-ES"/>
        </w:rPr>
        <w:t>el P</w:t>
      </w:r>
      <w:r w:rsidR="00166146">
        <w:rPr>
          <w:rFonts w:ascii="Arial" w:hAnsi="Arial" w:cs="Arial"/>
          <w:sz w:val="24"/>
          <w:szCs w:val="24"/>
          <w:lang w:val="es-ES"/>
        </w:rPr>
        <w:t>unto II.3.1</w:t>
      </w:r>
      <w:r w:rsidR="00EE6DBF">
        <w:rPr>
          <w:rFonts w:ascii="Arial" w:hAnsi="Arial" w:cs="Arial"/>
          <w:sz w:val="24"/>
          <w:szCs w:val="24"/>
          <w:lang w:val="es-ES"/>
        </w:rPr>
        <w:t xml:space="preserve"> N</w:t>
      </w:r>
      <w:r w:rsidR="00F30C72">
        <w:rPr>
          <w:rFonts w:ascii="Arial" w:hAnsi="Arial" w:cs="Arial"/>
          <w:sz w:val="24"/>
          <w:szCs w:val="24"/>
          <w:lang w:val="es-ES"/>
        </w:rPr>
        <w:t>ume</w:t>
      </w:r>
      <w:r w:rsidR="00166146">
        <w:rPr>
          <w:rFonts w:ascii="Arial" w:hAnsi="Arial" w:cs="Arial"/>
          <w:sz w:val="24"/>
          <w:szCs w:val="24"/>
          <w:lang w:val="es-ES"/>
        </w:rPr>
        <w:t xml:space="preserve">ral 3)  </w:t>
      </w:r>
      <w:r w:rsidR="0037445D">
        <w:rPr>
          <w:rFonts w:ascii="Arial" w:hAnsi="Arial" w:cs="Arial"/>
          <w:sz w:val="24"/>
          <w:szCs w:val="24"/>
          <w:lang w:val="es-ES"/>
        </w:rPr>
        <w:t xml:space="preserve">solicitó a </w:t>
      </w:r>
      <w:r w:rsidR="00166146">
        <w:rPr>
          <w:rFonts w:ascii="Arial" w:hAnsi="Arial" w:cs="Arial"/>
          <w:i/>
          <w:sz w:val="24"/>
          <w:szCs w:val="24"/>
          <w:lang w:val="es-ES"/>
        </w:rPr>
        <w:t>“</w:t>
      </w:r>
      <w:r w:rsidR="00166146" w:rsidRPr="00392732">
        <w:rPr>
          <w:rFonts w:ascii="Arial" w:hAnsi="Arial" w:cs="Arial"/>
          <w:i/>
          <w:sz w:val="24"/>
          <w:szCs w:val="24"/>
          <w:lang w:val="es-ES"/>
        </w:rPr>
        <w:t>las empresas el nombre de los representantes de la empresa y de los titulares que la componen y de ser Sociedades Anónimas, de los integrantes del Directorio</w:t>
      </w:r>
      <w:r w:rsidR="00166146">
        <w:rPr>
          <w:rFonts w:ascii="Arial" w:hAnsi="Arial" w:cs="Arial"/>
          <w:i/>
          <w:sz w:val="24"/>
          <w:szCs w:val="24"/>
          <w:lang w:val="es-ES"/>
        </w:rPr>
        <w:t>”,</w:t>
      </w:r>
      <w:r w:rsidR="00E664CC">
        <w:rPr>
          <w:rFonts w:ascii="Arial" w:hAnsi="Arial" w:cs="Arial"/>
          <w:sz w:val="24"/>
          <w:szCs w:val="24"/>
          <w:lang w:val="es-ES"/>
        </w:rPr>
        <w:t xml:space="preserve"> </w:t>
      </w:r>
      <w:r w:rsidR="00DF6E97">
        <w:rPr>
          <w:rFonts w:ascii="Arial" w:hAnsi="Arial" w:cs="Arial"/>
          <w:bCs/>
          <w:sz w:val="24"/>
          <w:szCs w:val="24"/>
          <w:lang w:val="es-MX"/>
        </w:rPr>
        <w:t xml:space="preserve"> esa exigencia contraviene lo dispuesto por el </w:t>
      </w:r>
      <w:r w:rsidR="00DF6E97">
        <w:rPr>
          <w:rFonts w:ascii="Arial" w:hAnsi="Arial" w:cs="Arial"/>
          <w:sz w:val="24"/>
          <w:szCs w:val="24"/>
          <w:lang w:val="es-MX"/>
        </w:rPr>
        <w:t xml:space="preserve">Pliego Único de Bases y  Condiciones Generales para los Contratos de </w:t>
      </w:r>
      <w:r w:rsidR="00392732">
        <w:rPr>
          <w:rFonts w:ascii="Arial" w:hAnsi="Arial" w:cs="Arial"/>
          <w:sz w:val="24"/>
          <w:szCs w:val="24"/>
          <w:lang w:val="es-MX"/>
        </w:rPr>
        <w:t xml:space="preserve">suministros y servicios no personales </w:t>
      </w:r>
      <w:r w:rsidR="00DF6E97">
        <w:rPr>
          <w:rFonts w:ascii="Arial" w:hAnsi="Arial" w:cs="Arial"/>
          <w:sz w:val="24"/>
          <w:szCs w:val="24"/>
          <w:lang w:val="es-MX"/>
        </w:rPr>
        <w:t>aprobado por Decreto Nº 1</w:t>
      </w:r>
      <w:r w:rsidR="006A250D">
        <w:rPr>
          <w:rFonts w:ascii="Arial" w:hAnsi="Arial" w:cs="Arial"/>
          <w:sz w:val="24"/>
          <w:szCs w:val="24"/>
          <w:lang w:val="es-MX"/>
        </w:rPr>
        <w:t>3</w:t>
      </w:r>
      <w:r w:rsidR="00DF6E97">
        <w:rPr>
          <w:rFonts w:ascii="Arial" w:hAnsi="Arial" w:cs="Arial"/>
          <w:sz w:val="24"/>
          <w:szCs w:val="24"/>
          <w:lang w:val="es-MX"/>
        </w:rPr>
        <w:t>1/014 de fecha</w:t>
      </w:r>
      <w:r w:rsidR="006A250D">
        <w:rPr>
          <w:rFonts w:ascii="Arial" w:hAnsi="Arial" w:cs="Arial"/>
          <w:sz w:val="24"/>
          <w:szCs w:val="24"/>
          <w:lang w:val="es-MX"/>
        </w:rPr>
        <w:t xml:space="preserve"> 19.5.14</w:t>
      </w:r>
      <w:r w:rsidR="00F30C72">
        <w:rPr>
          <w:rFonts w:ascii="Arial" w:hAnsi="Arial" w:cs="Arial"/>
          <w:sz w:val="24"/>
          <w:szCs w:val="24"/>
          <w:lang w:val="es-MX"/>
        </w:rPr>
        <w:t>,  que en su Artículo</w:t>
      </w:r>
      <w:r w:rsidR="00DF6E97">
        <w:rPr>
          <w:rFonts w:ascii="Arial" w:hAnsi="Arial" w:cs="Arial"/>
          <w:sz w:val="24"/>
          <w:szCs w:val="24"/>
          <w:lang w:val="es-MX"/>
        </w:rPr>
        <w:t xml:space="preserve"> </w:t>
      </w:r>
      <w:r w:rsidR="006A250D">
        <w:rPr>
          <w:rFonts w:ascii="Arial" w:hAnsi="Arial" w:cs="Arial"/>
          <w:sz w:val="24"/>
          <w:szCs w:val="24"/>
          <w:lang w:val="es-MX"/>
        </w:rPr>
        <w:t>9</w:t>
      </w:r>
      <w:r w:rsidR="00430FA9">
        <w:rPr>
          <w:rFonts w:ascii="Arial" w:hAnsi="Arial" w:cs="Arial"/>
          <w:sz w:val="24"/>
          <w:szCs w:val="24"/>
          <w:lang w:val="es-MX"/>
        </w:rPr>
        <w:t xml:space="preserve"> </w:t>
      </w:r>
      <w:r w:rsidR="00DF6E97">
        <w:rPr>
          <w:rFonts w:ascii="Arial" w:hAnsi="Arial" w:cs="Arial"/>
          <w:sz w:val="24"/>
          <w:szCs w:val="24"/>
          <w:lang w:val="es-MX"/>
        </w:rPr>
        <w:t xml:space="preserve">in fine establece que </w:t>
      </w:r>
      <w:r w:rsidR="00DF6E97">
        <w:rPr>
          <w:rFonts w:ascii="Arial" w:hAnsi="Arial" w:cs="Arial"/>
          <w:i/>
          <w:sz w:val="24"/>
          <w:szCs w:val="24"/>
          <w:lang w:val="es-MX"/>
        </w:rPr>
        <w:t xml:space="preserve">“el Pliego Particular no podrá exigir documentación a la que se pueda acceder a través del RUPE o de cualquier </w:t>
      </w:r>
      <w:r w:rsidR="00DF6E97">
        <w:rPr>
          <w:rFonts w:ascii="Arial" w:hAnsi="Arial" w:cs="Arial"/>
          <w:i/>
          <w:sz w:val="24"/>
          <w:szCs w:val="24"/>
          <w:lang w:val="es-MX"/>
        </w:rPr>
        <w:lastRenderedPageBreak/>
        <w:t>sistema de información de libre acceso.”</w:t>
      </w:r>
      <w:r w:rsidR="00DF6E97">
        <w:rPr>
          <w:rFonts w:ascii="Arial" w:hAnsi="Arial" w:cs="Arial"/>
          <w:sz w:val="24"/>
          <w:szCs w:val="24"/>
        </w:rPr>
        <w:t>;</w:t>
      </w:r>
      <w:r w:rsidR="00166146">
        <w:rPr>
          <w:rFonts w:ascii="Arial" w:hAnsi="Arial" w:cs="Arial"/>
          <w:sz w:val="24"/>
          <w:szCs w:val="24"/>
        </w:rPr>
        <w:t xml:space="preserve"> </w:t>
      </w:r>
      <w:r w:rsidR="00166146" w:rsidRPr="00430FA9">
        <w:rPr>
          <w:rFonts w:ascii="Arial" w:hAnsi="Arial" w:cs="Arial"/>
          <w:b/>
          <w:sz w:val="24"/>
          <w:szCs w:val="24"/>
        </w:rPr>
        <w:t>b)</w:t>
      </w:r>
      <w:r w:rsidR="00166146">
        <w:rPr>
          <w:rFonts w:ascii="Arial" w:hAnsi="Arial" w:cs="Arial"/>
          <w:sz w:val="24"/>
          <w:szCs w:val="24"/>
        </w:rPr>
        <w:t xml:space="preserve"> </w:t>
      </w:r>
      <w:r w:rsidR="00F30C72">
        <w:rPr>
          <w:rFonts w:ascii="Arial" w:hAnsi="Arial" w:cs="Arial"/>
          <w:bCs/>
          <w:sz w:val="24"/>
          <w:szCs w:val="24"/>
          <w:lang w:val="es-MX"/>
        </w:rPr>
        <w:t>el Artículo</w:t>
      </w:r>
      <w:r w:rsidR="00DF6E97">
        <w:rPr>
          <w:rFonts w:ascii="Arial" w:hAnsi="Arial" w:cs="Arial"/>
          <w:bCs/>
          <w:sz w:val="24"/>
          <w:szCs w:val="24"/>
          <w:lang w:val="es-MX"/>
        </w:rPr>
        <w:t xml:space="preserve"> I.2.10 del Pliego de Condiciones Particulares estableció: </w:t>
      </w:r>
      <w:r w:rsidR="00ED4DC2">
        <w:rPr>
          <w:rFonts w:ascii="Arial" w:hAnsi="Arial" w:cs="Arial"/>
          <w:bCs/>
          <w:i/>
          <w:sz w:val="24"/>
          <w:szCs w:val="24"/>
          <w:lang w:val="es-MX"/>
        </w:rPr>
        <w:t>“las propuestas que se aparten de las condiciones indicadas en las bases podrán ser consideradas por ANCAP cuando, a su solo juicio, el o los apartamientos no se refieran a aspectos fundamentales”</w:t>
      </w:r>
      <w:r w:rsidR="00166146">
        <w:rPr>
          <w:rFonts w:ascii="Arial" w:hAnsi="Arial" w:cs="Arial"/>
          <w:bCs/>
          <w:i/>
          <w:sz w:val="24"/>
          <w:szCs w:val="24"/>
          <w:lang w:val="es-MX"/>
        </w:rPr>
        <w:t xml:space="preserve">. </w:t>
      </w:r>
      <w:r w:rsidR="0037445D">
        <w:rPr>
          <w:rFonts w:ascii="Arial" w:hAnsi="Arial" w:cs="Arial"/>
          <w:bCs/>
          <w:sz w:val="24"/>
          <w:szCs w:val="24"/>
          <w:lang w:val="es-MX"/>
        </w:rPr>
        <w:t>Dicha cláusula</w:t>
      </w:r>
      <w:r w:rsidR="00166146">
        <w:rPr>
          <w:rFonts w:ascii="Arial" w:hAnsi="Arial" w:cs="Arial"/>
          <w:bCs/>
          <w:i/>
          <w:sz w:val="24"/>
          <w:szCs w:val="24"/>
          <w:lang w:val="es-MX"/>
        </w:rPr>
        <w:t xml:space="preserve"> </w:t>
      </w:r>
      <w:r w:rsidR="00DF6E97">
        <w:rPr>
          <w:rFonts w:ascii="Arial" w:hAnsi="Arial" w:cs="Arial"/>
          <w:bCs/>
          <w:sz w:val="24"/>
          <w:szCs w:val="24"/>
          <w:lang w:val="es-MX"/>
        </w:rPr>
        <w:t>contra</w:t>
      </w:r>
      <w:r w:rsidR="00F30C72">
        <w:rPr>
          <w:rFonts w:ascii="Arial" w:hAnsi="Arial" w:cs="Arial"/>
          <w:bCs/>
          <w:sz w:val="24"/>
          <w:szCs w:val="24"/>
          <w:lang w:val="es-MX"/>
        </w:rPr>
        <w:t>viene lo preceptuado por el Artículo</w:t>
      </w:r>
      <w:r w:rsidR="00DF6E97">
        <w:rPr>
          <w:rFonts w:ascii="Arial" w:hAnsi="Arial" w:cs="Arial"/>
          <w:bCs/>
          <w:sz w:val="24"/>
          <w:szCs w:val="24"/>
          <w:lang w:val="es-MX"/>
        </w:rPr>
        <w:t xml:space="preserve"> 63 del T.O.C.A.F., que  exige que los oferentes presenten sus propuestas en las condiciones y formas requeridas, en tanto permite que los proponentes presenten apartamientos a las bases del llamado, </w:t>
      </w:r>
      <w:r w:rsidR="00DF6E97">
        <w:rPr>
          <w:rFonts w:ascii="Arial" w:hAnsi="Arial" w:cs="Arial"/>
          <w:sz w:val="24"/>
          <w:szCs w:val="24"/>
          <w:lang w:val="es-MX"/>
        </w:rPr>
        <w:t>vulnerando asimismo</w:t>
      </w:r>
      <w:r w:rsidR="00DF6E97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F6E97">
        <w:rPr>
          <w:rFonts w:ascii="Arial" w:hAnsi="Arial" w:cs="Arial"/>
          <w:bCs/>
          <w:sz w:val="24"/>
          <w:szCs w:val="24"/>
          <w:lang w:val="es-MX"/>
        </w:rPr>
        <w:t xml:space="preserve">los postulados del </w:t>
      </w:r>
      <w:r w:rsidR="00DF6E97">
        <w:rPr>
          <w:rFonts w:ascii="Arial" w:hAnsi="Arial" w:cs="Arial"/>
          <w:bCs/>
          <w:sz w:val="24"/>
          <w:szCs w:val="24"/>
        </w:rPr>
        <w:t>principio de estricto cumplimiento del Pliego de Condiciones, el que deriva de los principios de legalidad e igualdad de los oferentes (A</w:t>
      </w:r>
      <w:r w:rsidR="00F30C72">
        <w:rPr>
          <w:rFonts w:ascii="Arial" w:hAnsi="Arial" w:cs="Arial"/>
          <w:bCs/>
          <w:sz w:val="24"/>
          <w:szCs w:val="24"/>
        </w:rPr>
        <w:t>rtículo</w:t>
      </w:r>
      <w:r w:rsidR="00166146">
        <w:rPr>
          <w:rFonts w:ascii="Arial" w:hAnsi="Arial" w:cs="Arial"/>
          <w:bCs/>
          <w:sz w:val="24"/>
          <w:szCs w:val="24"/>
        </w:rPr>
        <w:t xml:space="preserve"> 149 Lit</w:t>
      </w:r>
      <w:r w:rsidR="00F30C72">
        <w:rPr>
          <w:rFonts w:ascii="Arial" w:hAnsi="Arial" w:cs="Arial"/>
          <w:bCs/>
          <w:sz w:val="24"/>
          <w:szCs w:val="24"/>
        </w:rPr>
        <w:t>eral</w:t>
      </w:r>
      <w:r w:rsidR="00166146">
        <w:rPr>
          <w:rFonts w:ascii="Arial" w:hAnsi="Arial" w:cs="Arial"/>
          <w:bCs/>
          <w:sz w:val="24"/>
          <w:szCs w:val="24"/>
        </w:rPr>
        <w:t xml:space="preserve"> B) del T.O.C.A.F.) y </w:t>
      </w:r>
      <w:r w:rsidR="00166146" w:rsidRPr="00430FA9">
        <w:rPr>
          <w:rFonts w:ascii="Arial" w:hAnsi="Arial" w:cs="Arial"/>
          <w:b/>
          <w:bCs/>
          <w:sz w:val="24"/>
          <w:szCs w:val="24"/>
        </w:rPr>
        <w:t>c)</w:t>
      </w:r>
      <w:r w:rsidR="00166146">
        <w:rPr>
          <w:rFonts w:ascii="Arial" w:hAnsi="Arial" w:cs="Arial"/>
          <w:bCs/>
          <w:sz w:val="24"/>
          <w:szCs w:val="24"/>
        </w:rPr>
        <w:t xml:space="preserve"> </w:t>
      </w:r>
      <w:r w:rsidR="00F30C72">
        <w:rPr>
          <w:rFonts w:ascii="Arial" w:eastAsia="Times New Roman" w:hAnsi="Arial" w:cs="Times New Roman"/>
          <w:sz w:val="24"/>
          <w:szCs w:val="20"/>
          <w:lang w:eastAsia="es-ES"/>
        </w:rPr>
        <w:t>lo dispuesto en el A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>rtículo</w:t>
      </w:r>
      <w:r w:rsidR="00F30C72">
        <w:rPr>
          <w:rFonts w:ascii="Arial" w:eastAsia="Times New Roman" w:hAnsi="Arial" w:cs="Times New Roman"/>
          <w:sz w:val="24"/>
          <w:szCs w:val="20"/>
          <w:lang w:eastAsia="es-ES"/>
        </w:rPr>
        <w:t xml:space="preserve"> 65 I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nciso final del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T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OCAF,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el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Pliego de Condiciones Particulares debe incluir los criterios objetivos 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>cuantitativos y cualitativos para la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>e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valuación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de las ofertas,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a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efectos de determinar cuál es la más conv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eniente,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de conformidad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con una de las modalidades que 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a continuación se expresan: </w:t>
      </w:r>
      <w:r w:rsidR="00FF7C2C" w:rsidRPr="00F30C72">
        <w:rPr>
          <w:rFonts w:ascii="Arial" w:eastAsia="Times New Roman" w:hAnsi="Arial" w:cs="Times New Roman"/>
          <w:b/>
          <w:sz w:val="24"/>
          <w:szCs w:val="20"/>
          <w:lang w:eastAsia="es-ES"/>
        </w:rPr>
        <w:t>a)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d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eterminación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de los factores y la ponderación de los mismos, al amparo del </w:t>
      </w:r>
      <w:r w:rsidR="00F30C72">
        <w:rPr>
          <w:rFonts w:ascii="Arial" w:eastAsia="Times New Roman" w:hAnsi="Arial" w:cs="Times New Roman"/>
          <w:sz w:val="24"/>
          <w:szCs w:val="20"/>
          <w:lang w:eastAsia="es-ES"/>
        </w:rPr>
        <w:t>A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>rtículo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 48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del TOCAF; o </w:t>
      </w:r>
      <w:r w:rsidR="00FF7C2C" w:rsidRPr="00F30C72">
        <w:rPr>
          <w:rFonts w:ascii="Arial" w:eastAsia="Times New Roman" w:hAnsi="Arial" w:cs="Times New Roman"/>
          <w:b/>
          <w:sz w:val="24"/>
          <w:szCs w:val="20"/>
          <w:lang w:eastAsia="es-ES"/>
        </w:rPr>
        <w:t>b)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>e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xigencia de requisitos mín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imos y empleo de un factor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cuantitativo en forma exclusiva, de conformidad con lo preceptuado por el</w:t>
      </w:r>
      <w:r w:rsidR="00F30C72">
        <w:rPr>
          <w:rFonts w:ascii="Arial" w:eastAsia="Times New Roman" w:hAnsi="Arial" w:cs="Times New Roman"/>
          <w:sz w:val="24"/>
          <w:szCs w:val="20"/>
          <w:lang w:eastAsia="es-ES"/>
        </w:rPr>
        <w:t xml:space="preserve"> A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rtículo </w:t>
      </w:r>
      <w:r w:rsidR="00F30C72">
        <w:rPr>
          <w:rFonts w:ascii="Arial" w:eastAsia="Times New Roman" w:hAnsi="Arial" w:cs="Times New Roman"/>
          <w:sz w:val="24"/>
          <w:szCs w:val="20"/>
          <w:lang w:eastAsia="es-ES"/>
        </w:rPr>
        <w:t>68 I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nciso 3º</w:t>
      </w:r>
      <w:r w:rsidR="00EE6DBF">
        <w:rPr>
          <w:rFonts w:ascii="Arial" w:eastAsia="Times New Roman" w:hAnsi="Arial" w:cs="Times New Roman"/>
          <w:sz w:val="24"/>
          <w:szCs w:val="20"/>
          <w:lang w:eastAsia="es-ES"/>
        </w:rPr>
        <w:t xml:space="preserve"> del TOCAF. No obstante, el N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umeral III.10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>del Pliego de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Condiciones Particulares que rigió el llamado 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 xml:space="preserve">no </w:t>
      </w:r>
      <w:r w:rsidR="00FF7C2C" w:rsidRPr="002A5D85">
        <w:rPr>
          <w:rFonts w:ascii="Arial" w:eastAsia="Times New Roman" w:hAnsi="Arial" w:cs="Times New Roman"/>
          <w:sz w:val="24"/>
          <w:szCs w:val="20"/>
          <w:lang w:eastAsia="es-ES"/>
        </w:rPr>
        <w:t xml:space="preserve">establece </w:t>
      </w:r>
      <w:r w:rsidR="00FF7C2C">
        <w:rPr>
          <w:rFonts w:ascii="Arial" w:eastAsia="Times New Roman" w:hAnsi="Arial" w:cs="Times New Roman"/>
          <w:sz w:val="24"/>
          <w:szCs w:val="20"/>
          <w:lang w:eastAsia="es-ES"/>
        </w:rPr>
        <w:t>criterios objetivos de evaluación de las propuestas;</w:t>
      </w:r>
    </w:p>
    <w:p w:rsidR="00430FA9" w:rsidRPr="00652A5C" w:rsidRDefault="00430FA9" w:rsidP="00F30C72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7445D">
        <w:rPr>
          <w:rFonts w:ascii="Arial" w:eastAsia="Times New Roman" w:hAnsi="Arial" w:cs="Times New Roman"/>
          <w:b/>
          <w:sz w:val="24"/>
          <w:szCs w:val="20"/>
          <w:lang w:eastAsia="es-ES"/>
        </w:rPr>
        <w:t>3)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que por </w:t>
      </w:r>
      <w:r w:rsidR="00EE6DBF">
        <w:rPr>
          <w:rFonts w:ascii="Arial" w:eastAsia="Times New Roman" w:hAnsi="Arial" w:cs="Times New Roman"/>
          <w:sz w:val="24"/>
          <w:szCs w:val="20"/>
          <w:lang w:eastAsia="es-ES"/>
        </w:rPr>
        <w:t>R</w:t>
      </w:r>
      <w:r w:rsidR="004E77E6">
        <w:rPr>
          <w:rFonts w:ascii="Arial" w:eastAsia="Times New Roman" w:hAnsi="Arial" w:cs="Times New Roman"/>
          <w:sz w:val="24"/>
          <w:szCs w:val="20"/>
          <w:lang w:eastAsia="es-ES"/>
        </w:rPr>
        <w:t>esolución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Nº 097/2016 de fecha 28.11.16 el Directorio, reitera el gasto fundamentado </w:t>
      </w:r>
      <w:r w:rsidR="0037445D">
        <w:rPr>
          <w:rFonts w:ascii="Arial" w:eastAsia="Times New Roman" w:hAnsi="Arial" w:cs="Times New Roman"/>
          <w:sz w:val="24"/>
          <w:szCs w:val="20"/>
          <w:lang w:eastAsia="es-ES"/>
        </w:rPr>
        <w:t>en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: </w:t>
      </w:r>
      <w:r w:rsidRPr="00EE6DBF">
        <w:rPr>
          <w:rFonts w:ascii="Arial" w:eastAsia="Times New Roman" w:hAnsi="Arial" w:cs="Times New Roman"/>
          <w:b/>
          <w:sz w:val="24"/>
          <w:szCs w:val="20"/>
          <w:lang w:eastAsia="es-ES"/>
        </w:rPr>
        <w:t>a)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EE6DBF">
        <w:rPr>
          <w:rFonts w:ascii="Arial" w:hAnsi="Arial" w:cs="Arial"/>
          <w:sz w:val="24"/>
          <w:szCs w:val="24"/>
          <w:lang w:val="es-ES"/>
        </w:rPr>
        <w:t>el punto II.3.1 Nume</w:t>
      </w:r>
      <w:r w:rsidR="00DD7EE4">
        <w:rPr>
          <w:rFonts w:ascii="Arial" w:hAnsi="Arial" w:cs="Arial"/>
          <w:sz w:val="24"/>
          <w:szCs w:val="24"/>
          <w:lang w:val="es-ES"/>
        </w:rPr>
        <w:t xml:space="preserve">ral 3)  </w:t>
      </w:r>
      <w:r w:rsidR="00DD7EE4" w:rsidRPr="00652A5C">
        <w:rPr>
          <w:rFonts w:ascii="Arial" w:hAnsi="Arial" w:cs="Arial"/>
          <w:sz w:val="24"/>
          <w:szCs w:val="24"/>
          <w:lang w:val="es-ES"/>
        </w:rPr>
        <w:t xml:space="preserve">no contradice el Pliego </w:t>
      </w:r>
      <w:r w:rsidR="004E77E6" w:rsidRPr="00652A5C">
        <w:rPr>
          <w:rFonts w:ascii="Arial" w:hAnsi="Arial" w:cs="Arial"/>
          <w:sz w:val="24"/>
          <w:szCs w:val="24"/>
          <w:lang w:val="es-ES"/>
        </w:rPr>
        <w:t>Único</w:t>
      </w:r>
      <w:r w:rsidR="00DD7EE4" w:rsidRPr="00652A5C">
        <w:rPr>
          <w:rFonts w:ascii="Arial" w:hAnsi="Arial" w:cs="Arial"/>
          <w:sz w:val="24"/>
          <w:szCs w:val="24"/>
          <w:lang w:val="es-ES"/>
        </w:rPr>
        <w:t xml:space="preserve"> ya </w:t>
      </w:r>
      <w:r w:rsidR="0037445D">
        <w:rPr>
          <w:rFonts w:ascii="Arial" w:hAnsi="Arial" w:cs="Arial"/>
          <w:sz w:val="24"/>
          <w:szCs w:val="24"/>
          <w:lang w:val="es-ES"/>
        </w:rPr>
        <w:t xml:space="preserve">que </w:t>
      </w:r>
      <w:r w:rsidR="00EE6DBF">
        <w:rPr>
          <w:rFonts w:ascii="Arial" w:hAnsi="Arial" w:cs="Arial"/>
          <w:sz w:val="24"/>
          <w:szCs w:val="24"/>
          <w:lang w:val="es-ES"/>
        </w:rPr>
        <w:t>reproduce textualmente el A</w:t>
      </w:r>
      <w:r w:rsidR="00DD7EE4" w:rsidRPr="00652A5C">
        <w:rPr>
          <w:rFonts w:ascii="Arial" w:hAnsi="Arial" w:cs="Arial"/>
          <w:sz w:val="24"/>
          <w:szCs w:val="24"/>
          <w:lang w:val="es-ES"/>
        </w:rPr>
        <w:t>rt</w:t>
      </w:r>
      <w:r w:rsidR="00EE6DBF">
        <w:rPr>
          <w:rFonts w:ascii="Arial" w:hAnsi="Arial" w:cs="Arial"/>
          <w:sz w:val="24"/>
          <w:szCs w:val="24"/>
          <w:lang w:val="es-ES"/>
        </w:rPr>
        <w:t>ículo 8.3 de dicho P</w:t>
      </w:r>
      <w:r w:rsidR="00DD7EE4" w:rsidRPr="00652A5C">
        <w:rPr>
          <w:rFonts w:ascii="Arial" w:hAnsi="Arial" w:cs="Arial"/>
          <w:sz w:val="24"/>
          <w:szCs w:val="24"/>
          <w:lang w:val="es-ES"/>
        </w:rPr>
        <w:t xml:space="preserve">liego; </w:t>
      </w:r>
      <w:r w:rsidR="00DD7EE4" w:rsidRPr="00EE6DBF">
        <w:rPr>
          <w:rFonts w:ascii="Arial" w:hAnsi="Arial" w:cs="Arial"/>
          <w:b/>
          <w:sz w:val="24"/>
          <w:szCs w:val="24"/>
          <w:lang w:val="es-ES"/>
        </w:rPr>
        <w:t>b)</w:t>
      </w:r>
      <w:r w:rsidR="00DD7EE4" w:rsidRPr="00652A5C">
        <w:rPr>
          <w:rFonts w:ascii="Arial" w:hAnsi="Arial" w:cs="Arial"/>
          <w:sz w:val="24"/>
          <w:szCs w:val="24"/>
          <w:lang w:val="es-ES"/>
        </w:rPr>
        <w:t xml:space="preserve"> la observación</w:t>
      </w:r>
      <w:r w:rsidR="00DD7EE4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DD7EE4" w:rsidRPr="0037445D">
        <w:rPr>
          <w:rFonts w:ascii="Arial" w:hAnsi="Arial" w:cs="Arial"/>
          <w:sz w:val="24"/>
          <w:szCs w:val="24"/>
          <w:lang w:val="es-ES"/>
        </w:rPr>
        <w:t xml:space="preserve">basada en </w:t>
      </w:r>
      <w:r w:rsidR="00EE6DBF">
        <w:rPr>
          <w:rFonts w:ascii="Arial" w:hAnsi="Arial" w:cs="Arial"/>
          <w:bCs/>
          <w:sz w:val="24"/>
          <w:szCs w:val="24"/>
          <w:lang w:val="es-MX"/>
        </w:rPr>
        <w:t>el Artículo</w:t>
      </w:r>
      <w:r w:rsidR="00DD7EE4" w:rsidRPr="0037445D">
        <w:rPr>
          <w:rFonts w:ascii="Arial" w:hAnsi="Arial" w:cs="Arial"/>
          <w:bCs/>
          <w:sz w:val="24"/>
          <w:szCs w:val="24"/>
          <w:lang w:val="es-MX"/>
        </w:rPr>
        <w:t xml:space="preserve"> I.2.10</w:t>
      </w:r>
      <w:r w:rsidR="00DD7EE4">
        <w:rPr>
          <w:rFonts w:ascii="Arial" w:hAnsi="Arial" w:cs="Arial"/>
          <w:bCs/>
          <w:sz w:val="24"/>
          <w:szCs w:val="24"/>
          <w:lang w:val="es-MX"/>
        </w:rPr>
        <w:t xml:space="preserve"> del Pliego de Condiciones Particulares estableció: </w:t>
      </w:r>
      <w:r w:rsidR="00DD7EE4">
        <w:rPr>
          <w:rFonts w:ascii="Arial" w:hAnsi="Arial" w:cs="Arial"/>
          <w:bCs/>
          <w:i/>
          <w:sz w:val="24"/>
          <w:szCs w:val="24"/>
          <w:lang w:val="es-MX"/>
        </w:rPr>
        <w:t xml:space="preserve">“las propuestas que se aparten de las condiciones indicadas en las bases podrán ser consideradas por ANCAP cuando, a su 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solo juicio, el o los apartamientos no se refieran a aspectos fundamentales”, no </w:t>
      </w:r>
      <w:r w:rsidR="0037445D">
        <w:rPr>
          <w:rFonts w:ascii="Arial" w:hAnsi="Arial" w:cs="Arial"/>
          <w:bCs/>
          <w:sz w:val="24"/>
          <w:szCs w:val="24"/>
          <w:lang w:val="es-MX"/>
        </w:rPr>
        <w:t>se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 comparte ya que la referida </w:t>
      </w:r>
      <w:r w:rsidR="0037445D" w:rsidRPr="00652A5C">
        <w:rPr>
          <w:rFonts w:ascii="Arial" w:hAnsi="Arial" w:cs="Arial"/>
          <w:bCs/>
          <w:sz w:val="24"/>
          <w:szCs w:val="24"/>
          <w:lang w:val="es-MX"/>
        </w:rPr>
        <w:t>cl</w:t>
      </w:r>
      <w:r w:rsidR="0037445D">
        <w:rPr>
          <w:rFonts w:ascii="Arial" w:hAnsi="Arial" w:cs="Arial"/>
          <w:bCs/>
          <w:sz w:val="24"/>
          <w:szCs w:val="24"/>
          <w:lang w:val="es-MX"/>
        </w:rPr>
        <w:t>á</w:t>
      </w:r>
      <w:r w:rsidR="0037445D" w:rsidRPr="00652A5C">
        <w:rPr>
          <w:rFonts w:ascii="Arial" w:hAnsi="Arial" w:cs="Arial"/>
          <w:bCs/>
          <w:sz w:val="24"/>
          <w:szCs w:val="24"/>
          <w:lang w:val="es-MX"/>
        </w:rPr>
        <w:t>usula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4E77E6" w:rsidRPr="00652A5C">
        <w:rPr>
          <w:rFonts w:ascii="Arial" w:hAnsi="Arial" w:cs="Arial"/>
          <w:bCs/>
          <w:sz w:val="24"/>
          <w:szCs w:val="24"/>
          <w:lang w:val="es-MX"/>
        </w:rPr>
        <w:t>está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 prevista 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lastRenderedPageBreak/>
        <w:t>cuando existan apartamientos menores, que no cambian sustancialmente lo establecido en las bases. Manifiesta que el propio TOCAF</w:t>
      </w:r>
      <w:r w:rsidR="00EE6DBF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>admite apartamientos no sustanciales en e</w:t>
      </w:r>
      <w:r w:rsidR="00EE6DBF">
        <w:rPr>
          <w:rFonts w:ascii="Arial" w:hAnsi="Arial" w:cs="Arial"/>
          <w:bCs/>
          <w:sz w:val="24"/>
          <w:szCs w:val="24"/>
          <w:lang w:val="es-MX"/>
        </w:rPr>
        <w:t>l propio A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>rt</w:t>
      </w:r>
      <w:r w:rsidR="00EE6DBF">
        <w:rPr>
          <w:rFonts w:ascii="Arial" w:hAnsi="Arial" w:cs="Arial"/>
          <w:bCs/>
          <w:sz w:val="24"/>
          <w:szCs w:val="24"/>
          <w:lang w:val="es-MX"/>
        </w:rPr>
        <w:t>ículo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 65</w:t>
      </w:r>
      <w:r w:rsidR="00DD7EE4">
        <w:rPr>
          <w:rFonts w:ascii="Arial" w:hAnsi="Arial" w:cs="Arial"/>
          <w:bCs/>
          <w:i/>
          <w:sz w:val="24"/>
          <w:szCs w:val="24"/>
          <w:lang w:val="es-MX"/>
        </w:rPr>
        <w:t xml:space="preserve">; 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y </w:t>
      </w:r>
      <w:r w:rsidR="00DD7EE4" w:rsidRPr="00EE6DBF">
        <w:rPr>
          <w:rFonts w:ascii="Arial" w:hAnsi="Arial" w:cs="Arial"/>
          <w:b/>
          <w:bCs/>
          <w:sz w:val="24"/>
          <w:szCs w:val="24"/>
          <w:lang w:val="es-MX"/>
        </w:rPr>
        <w:t>c)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 tampoco </w:t>
      </w:r>
      <w:r w:rsidR="0037445D">
        <w:rPr>
          <w:rFonts w:ascii="Arial" w:hAnsi="Arial" w:cs="Arial"/>
          <w:bCs/>
          <w:sz w:val="24"/>
          <w:szCs w:val="24"/>
          <w:lang w:val="es-MX"/>
        </w:rPr>
        <w:t xml:space="preserve">se </w:t>
      </w:r>
      <w:r w:rsidR="00DD7EE4" w:rsidRPr="00652A5C">
        <w:rPr>
          <w:rFonts w:ascii="Arial" w:hAnsi="Arial" w:cs="Arial"/>
          <w:bCs/>
          <w:sz w:val="24"/>
          <w:szCs w:val="24"/>
          <w:lang w:val="es-MX"/>
        </w:rPr>
        <w:t xml:space="preserve">comparte lo señalado por este Tribunal </w:t>
      </w:r>
      <w:r w:rsidR="00697D2B" w:rsidRPr="00652A5C">
        <w:rPr>
          <w:rFonts w:ascii="Arial" w:hAnsi="Arial" w:cs="Arial"/>
          <w:bCs/>
          <w:sz w:val="24"/>
          <w:szCs w:val="24"/>
          <w:lang w:val="es-MX"/>
        </w:rPr>
        <w:t xml:space="preserve">ya que en el caso, se </w:t>
      </w:r>
      <w:r w:rsidR="004E77E6" w:rsidRPr="00652A5C">
        <w:rPr>
          <w:rFonts w:ascii="Arial" w:hAnsi="Arial" w:cs="Arial"/>
          <w:bCs/>
          <w:sz w:val="24"/>
          <w:szCs w:val="24"/>
          <w:lang w:val="es-MX"/>
        </w:rPr>
        <w:t>estableci</w:t>
      </w:r>
      <w:r w:rsidR="0037445D">
        <w:rPr>
          <w:rFonts w:ascii="Arial" w:hAnsi="Arial" w:cs="Arial"/>
          <w:bCs/>
          <w:sz w:val="24"/>
          <w:szCs w:val="24"/>
          <w:lang w:val="es-MX"/>
        </w:rPr>
        <w:t>eron</w:t>
      </w:r>
      <w:r w:rsidR="00697D2B" w:rsidRPr="00652A5C">
        <w:rPr>
          <w:rFonts w:ascii="Arial" w:hAnsi="Arial" w:cs="Arial"/>
          <w:bCs/>
          <w:sz w:val="24"/>
          <w:szCs w:val="24"/>
          <w:lang w:val="es-MX"/>
        </w:rPr>
        <w:t xml:space="preserve"> los factores como precio comparativo, ajuste a las especificaciones técnicas, antecedentes, plazo de entrega y evaluación del proveedor en caso  de haber sido  adjudicatario anteriormente</w:t>
      </w:r>
      <w:r w:rsidR="00652A5C" w:rsidRPr="00652A5C">
        <w:rPr>
          <w:rFonts w:ascii="Arial" w:hAnsi="Arial" w:cs="Arial"/>
          <w:bCs/>
          <w:sz w:val="24"/>
          <w:szCs w:val="24"/>
          <w:lang w:val="es-MX"/>
        </w:rPr>
        <w:t>;</w:t>
      </w:r>
    </w:p>
    <w:p w:rsidR="00EE6DBF" w:rsidRDefault="00652A5C" w:rsidP="00EE6D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7445D">
        <w:rPr>
          <w:rFonts w:ascii="Arial" w:hAnsi="Arial" w:cs="Arial"/>
          <w:b/>
          <w:sz w:val="24"/>
          <w:szCs w:val="24"/>
        </w:rPr>
        <w:t xml:space="preserve">CONSIDERANDO: </w:t>
      </w:r>
      <w:r w:rsidR="00DD27CD" w:rsidRPr="0037445D">
        <w:rPr>
          <w:rFonts w:ascii="Arial" w:hAnsi="Arial" w:cs="Arial"/>
          <w:b/>
          <w:sz w:val="24"/>
          <w:szCs w:val="24"/>
        </w:rPr>
        <w:t>1</w:t>
      </w:r>
      <w:r w:rsidRPr="0037445D">
        <w:rPr>
          <w:rFonts w:ascii="Arial" w:hAnsi="Arial" w:cs="Arial"/>
          <w:b/>
          <w:sz w:val="24"/>
          <w:szCs w:val="24"/>
        </w:rPr>
        <w:t>)</w:t>
      </w:r>
      <w:r w:rsidR="00246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DD27CD" w:rsidRPr="00F81BB7">
        <w:rPr>
          <w:rFonts w:ascii="Arial" w:hAnsi="Arial" w:cs="Arial"/>
          <w:sz w:val="24"/>
          <w:szCs w:val="24"/>
          <w:lang w:val="es-MX"/>
        </w:rPr>
        <w:t>la presentación en forma presencial de determinados recaudos, contravino lo preceptuado por los Art</w:t>
      </w:r>
      <w:r w:rsidR="00EE6DBF">
        <w:rPr>
          <w:rFonts w:ascii="Arial" w:hAnsi="Arial" w:cs="Arial"/>
          <w:sz w:val="24"/>
          <w:szCs w:val="24"/>
          <w:lang w:val="es-MX"/>
        </w:rPr>
        <w:t>ículos</w:t>
      </w:r>
      <w:r w:rsidR="00DD27CD" w:rsidRPr="00F81BB7">
        <w:rPr>
          <w:rFonts w:ascii="Arial" w:hAnsi="Arial" w:cs="Arial"/>
          <w:sz w:val="24"/>
          <w:szCs w:val="24"/>
          <w:lang w:val="es-MX"/>
        </w:rPr>
        <w:t xml:space="preserve"> </w:t>
      </w:r>
      <w:r w:rsidR="00DD27CD" w:rsidRPr="00F81BB7">
        <w:rPr>
          <w:rFonts w:ascii="Arial" w:hAnsi="Arial" w:cs="Arial"/>
          <w:bCs/>
          <w:sz w:val="24"/>
          <w:szCs w:val="24"/>
          <w:lang w:val="es-MX"/>
        </w:rPr>
        <w:t xml:space="preserve">9 in fine del Pliego Único </w:t>
      </w:r>
      <w:r w:rsidR="00DD27CD" w:rsidRPr="00F81BB7">
        <w:rPr>
          <w:rFonts w:ascii="Arial" w:hAnsi="Arial" w:cs="Arial"/>
          <w:sz w:val="24"/>
          <w:szCs w:val="24"/>
          <w:lang w:val="es-MX"/>
        </w:rPr>
        <w:t>de Bases y Condiciones Generales para los Contratos de Suministros y Servicios No Personales, aprobado por Decreto Nº 131/014</w:t>
      </w:r>
      <w:r w:rsidR="00DD27CD" w:rsidRPr="00F81BB7">
        <w:rPr>
          <w:rFonts w:ascii="Arial" w:hAnsi="Arial" w:cs="Arial"/>
          <w:bCs/>
          <w:sz w:val="24"/>
          <w:szCs w:val="24"/>
          <w:lang w:val="es-MX"/>
        </w:rPr>
        <w:t xml:space="preserve">, en tanto dichas disposiciones establecen que en ningún caso se podrá solicitar aquella documentación a la que se pueda acceder a través del RUPE o cualquier sistema de información de libre acceso. Por ende, no es posible </w:t>
      </w:r>
      <w:r w:rsidR="00DD27CD" w:rsidRPr="00F81BB7">
        <w:rPr>
          <w:rFonts w:ascii="Arial" w:hAnsi="Arial" w:cs="Arial"/>
          <w:sz w:val="24"/>
          <w:szCs w:val="24"/>
        </w:rPr>
        <w:t>exigir la presentación de dichos recaudos en forma presencial;</w:t>
      </w:r>
    </w:p>
    <w:p w:rsidR="00EE6DBF" w:rsidRDefault="00DD27CD" w:rsidP="00EE6DBF">
      <w:pPr>
        <w:spacing w:after="0" w:line="360" w:lineRule="auto"/>
        <w:ind w:firstLine="3119"/>
        <w:jc w:val="both"/>
        <w:rPr>
          <w:rFonts w:ascii="Arial" w:hAnsi="Arial" w:cs="Arial"/>
          <w:bCs/>
          <w:sz w:val="24"/>
          <w:szCs w:val="24"/>
        </w:rPr>
      </w:pPr>
      <w:r w:rsidRPr="0037445D">
        <w:rPr>
          <w:rFonts w:ascii="Arial" w:hAnsi="Arial" w:cs="Arial"/>
          <w:b/>
          <w:bCs/>
          <w:sz w:val="24"/>
          <w:szCs w:val="24"/>
        </w:rPr>
        <w:t>2)</w:t>
      </w:r>
      <w:r w:rsidRPr="00F81BB7">
        <w:rPr>
          <w:rFonts w:ascii="Arial" w:hAnsi="Arial" w:cs="Arial"/>
          <w:bCs/>
          <w:sz w:val="24"/>
          <w:szCs w:val="24"/>
        </w:rPr>
        <w:t xml:space="preserve"> que los argumentos esgrimidos por la Administración para justificar su proceder, no encuentran sustento alguno, en tanto la flexibilidad conlleva a vulnerar otras disp</w:t>
      </w:r>
      <w:r w:rsidR="00EE6DBF">
        <w:rPr>
          <w:rFonts w:ascii="Arial" w:hAnsi="Arial" w:cs="Arial"/>
          <w:bCs/>
          <w:sz w:val="24"/>
          <w:szCs w:val="24"/>
        </w:rPr>
        <w:t>osiciones, tal como  la del Artículo</w:t>
      </w:r>
      <w:r w:rsidRPr="00F81BB7">
        <w:rPr>
          <w:rFonts w:ascii="Arial" w:hAnsi="Arial" w:cs="Arial"/>
          <w:bCs/>
          <w:sz w:val="24"/>
          <w:szCs w:val="24"/>
        </w:rPr>
        <w:t xml:space="preserve"> 149 </w:t>
      </w:r>
      <w:r w:rsidR="0037445D">
        <w:rPr>
          <w:rFonts w:ascii="Arial" w:hAnsi="Arial" w:cs="Arial"/>
          <w:bCs/>
          <w:sz w:val="24"/>
          <w:szCs w:val="24"/>
        </w:rPr>
        <w:t xml:space="preserve">del TOCAF </w:t>
      </w:r>
      <w:r w:rsidRPr="00F81BB7">
        <w:rPr>
          <w:rFonts w:ascii="Arial" w:hAnsi="Arial" w:cs="Arial"/>
          <w:bCs/>
          <w:sz w:val="24"/>
          <w:szCs w:val="24"/>
        </w:rPr>
        <w:t xml:space="preserve">que recoge a texto expreso </w:t>
      </w:r>
      <w:r w:rsidR="0037445D">
        <w:rPr>
          <w:rFonts w:ascii="Arial" w:hAnsi="Arial" w:cs="Arial"/>
          <w:bCs/>
          <w:sz w:val="24"/>
          <w:szCs w:val="24"/>
        </w:rPr>
        <w:t>el</w:t>
      </w:r>
      <w:r w:rsidRPr="00F81BB7">
        <w:rPr>
          <w:rFonts w:ascii="Arial" w:hAnsi="Arial" w:cs="Arial"/>
          <w:bCs/>
          <w:sz w:val="24"/>
          <w:szCs w:val="24"/>
        </w:rPr>
        <w:t xml:space="preserve"> principio de transparencia  que debe regir el obrar público, cuyo cumplimiento requiere que los parámetros de selección del adjudicatario estén previstos a priori, dotando de seguridad jurídica al procedimiento;</w:t>
      </w:r>
    </w:p>
    <w:p w:rsidR="004E77E6" w:rsidRDefault="004E77E6" w:rsidP="00EE6DBF">
      <w:pPr>
        <w:spacing w:after="0" w:line="360" w:lineRule="auto"/>
        <w:ind w:firstLine="3119"/>
        <w:jc w:val="both"/>
        <w:rPr>
          <w:rFonts w:ascii="Arial" w:hAnsi="Arial" w:cs="Arial"/>
          <w:b/>
          <w:sz w:val="24"/>
          <w:szCs w:val="24"/>
        </w:rPr>
      </w:pPr>
      <w:r w:rsidRPr="0037445D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en consecuencia</w:t>
      </w:r>
      <w:r>
        <w:rPr>
          <w:rFonts w:ascii="Arial" w:hAnsi="Arial" w:cs="Arial"/>
          <w:sz w:val="24"/>
          <w:szCs w:val="24"/>
        </w:rPr>
        <w:t>,</w:t>
      </w:r>
      <w:r w:rsidRPr="000526D6">
        <w:rPr>
          <w:rFonts w:ascii="Arial" w:hAnsi="Arial" w:cs="Arial"/>
          <w:sz w:val="24"/>
          <w:szCs w:val="24"/>
        </w:rPr>
        <w:t xml:space="preserve"> se mantiene</w:t>
      </w:r>
      <w:r w:rsidR="00B37E9F">
        <w:rPr>
          <w:rFonts w:ascii="Arial" w:hAnsi="Arial" w:cs="Arial"/>
          <w:sz w:val="24"/>
          <w:szCs w:val="24"/>
        </w:rPr>
        <w:t>n</w:t>
      </w:r>
      <w:r w:rsidRPr="000526D6">
        <w:rPr>
          <w:rFonts w:ascii="Arial" w:hAnsi="Arial" w:cs="Arial"/>
          <w:sz w:val="24"/>
          <w:szCs w:val="24"/>
        </w:rPr>
        <w:t xml:space="preserve"> incambiada</w:t>
      </w:r>
      <w:r w:rsidR="00B37E9F">
        <w:rPr>
          <w:rFonts w:ascii="Arial" w:hAnsi="Arial" w:cs="Arial"/>
          <w:sz w:val="24"/>
          <w:szCs w:val="24"/>
        </w:rPr>
        <w:t>s</w:t>
      </w:r>
      <w:r w:rsidRPr="000526D6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>s</w:t>
      </w:r>
      <w:r w:rsidRPr="000526D6">
        <w:rPr>
          <w:rFonts w:ascii="Arial" w:hAnsi="Arial" w:cs="Arial"/>
          <w:sz w:val="24"/>
          <w:szCs w:val="24"/>
        </w:rPr>
        <w:t xml:space="preserve"> causal</w:t>
      </w:r>
      <w:r>
        <w:rPr>
          <w:rFonts w:ascii="Arial" w:hAnsi="Arial" w:cs="Arial"/>
          <w:sz w:val="24"/>
          <w:szCs w:val="24"/>
        </w:rPr>
        <w:t>es</w:t>
      </w:r>
      <w:r w:rsidRPr="000526D6">
        <w:rPr>
          <w:rFonts w:ascii="Arial" w:hAnsi="Arial" w:cs="Arial"/>
          <w:sz w:val="24"/>
          <w:szCs w:val="24"/>
        </w:rPr>
        <w:t xml:space="preserve"> que amerit</w:t>
      </w:r>
      <w:r w:rsidR="00B37E9F">
        <w:rPr>
          <w:rFonts w:ascii="Arial" w:hAnsi="Arial" w:cs="Arial"/>
          <w:sz w:val="24"/>
          <w:szCs w:val="24"/>
        </w:rPr>
        <w:t>aron las</w:t>
      </w:r>
      <w:r w:rsidRPr="000526D6">
        <w:rPr>
          <w:rFonts w:ascii="Arial" w:hAnsi="Arial" w:cs="Arial"/>
          <w:sz w:val="24"/>
          <w:szCs w:val="24"/>
        </w:rPr>
        <w:t xml:space="preserve"> observac</w:t>
      </w:r>
      <w:r>
        <w:rPr>
          <w:rFonts w:ascii="Arial" w:hAnsi="Arial" w:cs="Arial"/>
          <w:sz w:val="24"/>
          <w:szCs w:val="24"/>
        </w:rPr>
        <w:t>iones</w:t>
      </w:r>
      <w:r w:rsidRPr="000526D6">
        <w:rPr>
          <w:rFonts w:ascii="Arial" w:hAnsi="Arial" w:cs="Arial"/>
          <w:sz w:val="24"/>
          <w:szCs w:val="24"/>
        </w:rPr>
        <w:t xml:space="preserve"> oportunamente efectuada</w:t>
      </w:r>
      <w:r>
        <w:rPr>
          <w:rFonts w:ascii="Arial" w:hAnsi="Arial" w:cs="Arial"/>
          <w:sz w:val="24"/>
          <w:szCs w:val="24"/>
        </w:rPr>
        <w:t>s;</w:t>
      </w:r>
    </w:p>
    <w:p w:rsidR="00E664CC" w:rsidRPr="00F81BB7" w:rsidRDefault="00E664CC" w:rsidP="00EE6D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37E9F">
        <w:rPr>
          <w:rFonts w:ascii="Arial" w:hAnsi="Arial" w:cs="Arial"/>
          <w:b/>
          <w:sz w:val="24"/>
          <w:szCs w:val="24"/>
          <w:lang w:val="es-ES"/>
        </w:rPr>
        <w:t>ATENTO:</w:t>
      </w:r>
      <w:r w:rsidRPr="00F81BB7">
        <w:rPr>
          <w:rFonts w:ascii="Arial" w:hAnsi="Arial" w:cs="Arial"/>
          <w:sz w:val="24"/>
          <w:szCs w:val="24"/>
          <w:lang w:val="es-ES"/>
        </w:rPr>
        <w:t xml:space="preserve"> A lo dispuesto por el</w:t>
      </w:r>
      <w:r w:rsidR="00EE6DBF">
        <w:rPr>
          <w:rFonts w:ascii="Arial" w:hAnsi="Arial" w:cs="Arial"/>
          <w:sz w:val="24"/>
          <w:szCs w:val="24"/>
          <w:lang w:val="es-ES"/>
        </w:rPr>
        <w:t xml:space="preserve"> A</w:t>
      </w:r>
      <w:r w:rsidRPr="00F81BB7">
        <w:rPr>
          <w:rFonts w:ascii="Arial" w:hAnsi="Arial" w:cs="Arial"/>
          <w:sz w:val="24"/>
          <w:szCs w:val="24"/>
          <w:lang w:val="es-ES"/>
        </w:rPr>
        <w:t>rt</w:t>
      </w:r>
      <w:r w:rsidR="00EE6DBF">
        <w:rPr>
          <w:rFonts w:ascii="Arial" w:hAnsi="Arial" w:cs="Arial"/>
          <w:sz w:val="24"/>
          <w:szCs w:val="24"/>
          <w:lang w:val="es-ES"/>
        </w:rPr>
        <w:t>ículo 211 L</w:t>
      </w:r>
      <w:r w:rsidRPr="00F81BB7">
        <w:rPr>
          <w:rFonts w:ascii="Arial" w:hAnsi="Arial" w:cs="Arial"/>
          <w:sz w:val="24"/>
          <w:szCs w:val="24"/>
          <w:lang w:val="es-ES"/>
        </w:rPr>
        <w:t>it</w:t>
      </w:r>
      <w:r w:rsidR="00EE6DBF">
        <w:rPr>
          <w:rFonts w:ascii="Arial" w:hAnsi="Arial" w:cs="Arial"/>
          <w:sz w:val="24"/>
          <w:szCs w:val="24"/>
          <w:lang w:val="es-ES"/>
        </w:rPr>
        <w:t>eral</w:t>
      </w:r>
      <w:r w:rsidRPr="00F81BB7">
        <w:rPr>
          <w:rFonts w:ascii="Arial" w:hAnsi="Arial" w:cs="Arial"/>
          <w:sz w:val="24"/>
          <w:szCs w:val="24"/>
          <w:lang w:val="es-ES"/>
        </w:rPr>
        <w:t xml:space="preserve"> B) de la </w:t>
      </w:r>
      <w:r w:rsidR="00396148" w:rsidRPr="00F81BB7">
        <w:rPr>
          <w:rFonts w:ascii="Arial" w:hAnsi="Arial" w:cs="Arial"/>
          <w:sz w:val="24"/>
          <w:szCs w:val="24"/>
          <w:lang w:val="es-ES"/>
        </w:rPr>
        <w:t>Constitución</w:t>
      </w:r>
      <w:r w:rsidRPr="00F81BB7">
        <w:rPr>
          <w:rFonts w:ascii="Arial" w:hAnsi="Arial" w:cs="Arial"/>
          <w:sz w:val="24"/>
          <w:szCs w:val="24"/>
          <w:lang w:val="es-ES"/>
        </w:rPr>
        <w:t xml:space="preserve"> del Republica;</w:t>
      </w:r>
    </w:p>
    <w:p w:rsidR="00E664CC" w:rsidRPr="00F81BB7" w:rsidRDefault="00E664CC" w:rsidP="0039614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E6DBF" w:rsidRDefault="00EE6DBF" w:rsidP="003961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664CC" w:rsidRPr="00B37E9F" w:rsidRDefault="00E664CC" w:rsidP="003961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37E9F">
        <w:rPr>
          <w:rFonts w:ascii="Arial" w:hAnsi="Arial" w:cs="Arial"/>
          <w:b/>
          <w:sz w:val="24"/>
          <w:szCs w:val="24"/>
          <w:lang w:val="es-ES"/>
        </w:rPr>
        <w:lastRenderedPageBreak/>
        <w:t>EL TRIBUNAL ACUERDA</w:t>
      </w:r>
    </w:p>
    <w:p w:rsidR="00F81BB7" w:rsidRPr="00F81BB7" w:rsidRDefault="006A250D" w:rsidP="00F81BB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81BB7">
        <w:rPr>
          <w:rFonts w:ascii="Arial" w:hAnsi="Arial" w:cs="Arial"/>
          <w:sz w:val="24"/>
          <w:szCs w:val="24"/>
          <w:lang w:val="es-ES"/>
        </w:rPr>
        <w:t xml:space="preserve"> </w:t>
      </w:r>
      <w:r w:rsidR="00F81BB7" w:rsidRPr="00F81BB7">
        <w:rPr>
          <w:rFonts w:ascii="Arial" w:hAnsi="Arial" w:cs="Arial"/>
          <w:sz w:val="24"/>
          <w:szCs w:val="24"/>
        </w:rPr>
        <w:t xml:space="preserve">Mantener la observación formulada por este Tribunal mediante Resolución </w:t>
      </w:r>
      <w:r w:rsidR="00F81BB7" w:rsidRPr="00F81BB7">
        <w:rPr>
          <w:rFonts w:ascii="Arial" w:hAnsi="Arial" w:cs="Arial"/>
          <w:sz w:val="24"/>
          <w:szCs w:val="24"/>
          <w:lang w:val="es-MX"/>
        </w:rPr>
        <w:t>Nº 3</w:t>
      </w:r>
      <w:r w:rsidR="00F81BB7" w:rsidRPr="00F81BB7">
        <w:rPr>
          <w:rFonts w:ascii="Arial" w:hAnsi="Arial" w:cs="Arial"/>
          <w:sz w:val="24"/>
          <w:szCs w:val="24"/>
          <w:lang w:val="es-ES"/>
        </w:rPr>
        <w:t>057/16 de fecha 31.8.16</w:t>
      </w:r>
      <w:r w:rsidR="00EE6DBF">
        <w:rPr>
          <w:rFonts w:ascii="Arial" w:hAnsi="Arial" w:cs="Arial"/>
          <w:sz w:val="24"/>
          <w:szCs w:val="24"/>
          <w:lang w:val="es-ES"/>
        </w:rPr>
        <w:t>;</w:t>
      </w:r>
    </w:p>
    <w:p w:rsidR="00F81BB7" w:rsidRPr="00F81BB7" w:rsidRDefault="00F81BB7" w:rsidP="00F81BB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81BB7">
        <w:rPr>
          <w:rFonts w:ascii="Arial" w:hAnsi="Arial" w:cs="Arial"/>
          <w:sz w:val="24"/>
          <w:szCs w:val="24"/>
        </w:rPr>
        <w:t>D</w:t>
      </w:r>
      <w:r w:rsidR="00EE6DBF">
        <w:rPr>
          <w:rFonts w:ascii="Arial" w:hAnsi="Arial" w:cs="Arial"/>
          <w:sz w:val="24"/>
          <w:szCs w:val="24"/>
        </w:rPr>
        <w:t>ar cuenta a la Asamblea General;</w:t>
      </w:r>
    </w:p>
    <w:p w:rsidR="00D769E8" w:rsidRPr="00EE6DBF" w:rsidRDefault="00F81BB7" w:rsidP="00EE6DBF">
      <w:pPr>
        <w:pStyle w:val="Prrafodelista"/>
        <w:numPr>
          <w:ilvl w:val="0"/>
          <w:numId w:val="3"/>
        </w:numPr>
        <w:spacing w:after="0" w:line="360" w:lineRule="auto"/>
        <w:rPr>
          <w:szCs w:val="24"/>
          <w:lang w:val="es-ES"/>
        </w:rPr>
      </w:pPr>
      <w:r w:rsidRPr="00F81BB7">
        <w:rPr>
          <w:rFonts w:ascii="Arial" w:hAnsi="Arial" w:cs="Arial"/>
          <w:sz w:val="24"/>
          <w:szCs w:val="24"/>
        </w:rPr>
        <w:t>Devolver las actuaciones.</w:t>
      </w:r>
      <w:r w:rsidR="00ED0DF2">
        <w:rPr>
          <w:bCs/>
        </w:rPr>
        <w:t xml:space="preserve"> </w:t>
      </w:r>
    </w:p>
    <w:p w:rsidR="00EE6DBF" w:rsidRDefault="00EE6DBF" w:rsidP="00EE6DBF">
      <w:pPr>
        <w:spacing w:after="0" w:line="360" w:lineRule="auto"/>
        <w:rPr>
          <w:szCs w:val="24"/>
          <w:lang w:val="es-ES"/>
        </w:rPr>
      </w:pPr>
    </w:p>
    <w:p w:rsidR="00EE6DBF" w:rsidRDefault="00EE6DBF" w:rsidP="00EE6DBF">
      <w:pPr>
        <w:spacing w:after="0" w:line="360" w:lineRule="auto"/>
        <w:rPr>
          <w:szCs w:val="24"/>
          <w:lang w:val="es-ES"/>
        </w:rPr>
      </w:pPr>
    </w:p>
    <w:p w:rsidR="00EE6DBF" w:rsidRDefault="00EE6DBF" w:rsidP="00EE6DBF">
      <w:pPr>
        <w:spacing w:after="0" w:line="360" w:lineRule="auto"/>
        <w:rPr>
          <w:szCs w:val="24"/>
          <w:lang w:val="es-ES"/>
        </w:rPr>
      </w:pPr>
    </w:p>
    <w:p w:rsidR="00EE6DBF" w:rsidRDefault="00EE6DBF" w:rsidP="00EE6DBF">
      <w:pPr>
        <w:spacing w:after="0" w:line="360" w:lineRule="auto"/>
        <w:rPr>
          <w:szCs w:val="24"/>
          <w:lang w:val="es-ES"/>
        </w:rPr>
      </w:pPr>
    </w:p>
    <w:p w:rsidR="00EE6DBF" w:rsidRPr="00EE6DBF" w:rsidRDefault="00EE6DBF" w:rsidP="00EE6DBF">
      <w:pPr>
        <w:spacing w:after="0" w:line="360" w:lineRule="auto"/>
        <w:ind w:hanging="426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EE6DBF" w:rsidRPr="00EE6DBF" w:rsidSect="00765E88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47" w:rsidRDefault="00653A47" w:rsidP="00EE6DBF">
      <w:pPr>
        <w:spacing w:after="0" w:line="240" w:lineRule="auto"/>
      </w:pPr>
      <w:r>
        <w:separator/>
      </w:r>
    </w:p>
  </w:endnote>
  <w:endnote w:type="continuationSeparator" w:id="0">
    <w:p w:rsidR="00653A47" w:rsidRDefault="00653A47" w:rsidP="00EE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BF" w:rsidRDefault="00EE6D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47" w:rsidRDefault="00653A47" w:rsidP="00EE6DBF">
      <w:pPr>
        <w:spacing w:after="0" w:line="240" w:lineRule="auto"/>
      </w:pPr>
      <w:r>
        <w:separator/>
      </w:r>
    </w:p>
  </w:footnote>
  <w:footnote w:type="continuationSeparator" w:id="0">
    <w:p w:rsidR="00653A47" w:rsidRDefault="00653A47" w:rsidP="00EE6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487"/>
    <w:multiLevelType w:val="hybridMultilevel"/>
    <w:tmpl w:val="226A824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43E59"/>
    <w:multiLevelType w:val="hybridMultilevel"/>
    <w:tmpl w:val="AE72DC2E"/>
    <w:lvl w:ilvl="0" w:tplc="4BBE1E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EEF10F5"/>
    <w:multiLevelType w:val="hybridMultilevel"/>
    <w:tmpl w:val="226A824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56"/>
    <w:rsid w:val="000D2CAE"/>
    <w:rsid w:val="00166146"/>
    <w:rsid w:val="002465B2"/>
    <w:rsid w:val="0037445D"/>
    <w:rsid w:val="00392732"/>
    <w:rsid w:val="00393949"/>
    <w:rsid w:val="00396148"/>
    <w:rsid w:val="00430FA9"/>
    <w:rsid w:val="0046256B"/>
    <w:rsid w:val="004E77E6"/>
    <w:rsid w:val="005003C1"/>
    <w:rsid w:val="00504341"/>
    <w:rsid w:val="00652A5C"/>
    <w:rsid w:val="00653A47"/>
    <w:rsid w:val="00682B8E"/>
    <w:rsid w:val="00697D2B"/>
    <w:rsid w:val="006A250D"/>
    <w:rsid w:val="006E1A56"/>
    <w:rsid w:val="00765E88"/>
    <w:rsid w:val="008A5EF0"/>
    <w:rsid w:val="0095313D"/>
    <w:rsid w:val="00A10F54"/>
    <w:rsid w:val="00A23183"/>
    <w:rsid w:val="00AF540B"/>
    <w:rsid w:val="00B15105"/>
    <w:rsid w:val="00B37E9F"/>
    <w:rsid w:val="00C06287"/>
    <w:rsid w:val="00D769E8"/>
    <w:rsid w:val="00D94746"/>
    <w:rsid w:val="00DD27CD"/>
    <w:rsid w:val="00DD7EE4"/>
    <w:rsid w:val="00DF6E97"/>
    <w:rsid w:val="00E664CC"/>
    <w:rsid w:val="00E71090"/>
    <w:rsid w:val="00EB3333"/>
    <w:rsid w:val="00EC6216"/>
    <w:rsid w:val="00ED0DF2"/>
    <w:rsid w:val="00ED4DC2"/>
    <w:rsid w:val="00EE6DBF"/>
    <w:rsid w:val="00F30C72"/>
    <w:rsid w:val="00F554EF"/>
    <w:rsid w:val="00F81BB7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4CC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D0DF2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0DF2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EE6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DBF"/>
  </w:style>
  <w:style w:type="paragraph" w:styleId="Piedepgina">
    <w:name w:val="footer"/>
    <w:basedOn w:val="Normal"/>
    <w:link w:val="PiedepginaCar"/>
    <w:uiPriority w:val="99"/>
    <w:unhideWhenUsed/>
    <w:rsid w:val="00EE6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BF"/>
  </w:style>
  <w:style w:type="paragraph" w:styleId="Textodeglobo">
    <w:name w:val="Balloon Text"/>
    <w:basedOn w:val="Normal"/>
    <w:link w:val="TextodegloboCar"/>
    <w:uiPriority w:val="99"/>
    <w:semiHidden/>
    <w:unhideWhenUsed/>
    <w:rsid w:val="00EE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4CC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D0DF2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0DF2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EE6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DBF"/>
  </w:style>
  <w:style w:type="paragraph" w:styleId="Piedepgina">
    <w:name w:val="footer"/>
    <w:basedOn w:val="Normal"/>
    <w:link w:val="PiedepginaCar"/>
    <w:uiPriority w:val="99"/>
    <w:unhideWhenUsed/>
    <w:rsid w:val="00EE6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BF"/>
  </w:style>
  <w:style w:type="paragraph" w:styleId="Textodeglobo">
    <w:name w:val="Balloon Text"/>
    <w:basedOn w:val="Normal"/>
    <w:link w:val="TextodegloboCar"/>
    <w:uiPriority w:val="99"/>
    <w:semiHidden/>
    <w:unhideWhenUsed/>
    <w:rsid w:val="00EE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AEB5-B2F7-4D61-8EB2-21FD8FD5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2017-02-02T15:33:00Z</cp:lastPrinted>
  <dcterms:created xsi:type="dcterms:W3CDTF">2017-02-02T15:12:00Z</dcterms:created>
  <dcterms:modified xsi:type="dcterms:W3CDTF">2017-02-02T15:33:00Z</dcterms:modified>
</cp:coreProperties>
</file>