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CF" w:rsidRPr="00DF6EB4" w:rsidRDefault="005A5D2B" w:rsidP="003046CF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 </w:t>
      </w:r>
      <w:r w:rsidR="003046CF" w:rsidRPr="00DF6EB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3046CF">
        <w:rPr>
          <w:rFonts w:ascii="Arial" w:hAnsi="Arial" w:cs="Arial"/>
          <w:b/>
          <w:sz w:val="28"/>
          <w:szCs w:val="28"/>
          <w:lang w:val="es-ES_tradnl"/>
        </w:rPr>
        <w:t>32</w:t>
      </w:r>
      <w:r w:rsidR="00EA2E9F">
        <w:rPr>
          <w:rFonts w:ascii="Arial" w:hAnsi="Arial" w:cs="Arial"/>
          <w:b/>
          <w:sz w:val="28"/>
          <w:szCs w:val="28"/>
          <w:lang w:val="es-ES_tradnl"/>
        </w:rPr>
        <w:t>4</w:t>
      </w:r>
      <w:r w:rsidR="003046CF" w:rsidRPr="00DF6EB4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3046CF" w:rsidRPr="00DF6EB4" w:rsidRDefault="003046CF" w:rsidP="003046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3046CF" w:rsidRPr="00DF6EB4" w:rsidRDefault="003046CF" w:rsidP="003046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F6EB4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046CF" w:rsidRPr="00DF6EB4" w:rsidRDefault="003046CF" w:rsidP="003046C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046CF" w:rsidRPr="00DF6EB4" w:rsidRDefault="003046CF" w:rsidP="003046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F6EB4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046CF" w:rsidRPr="00DF6EB4" w:rsidRDefault="003046CF" w:rsidP="003046C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046CF" w:rsidRPr="00DF6EB4" w:rsidRDefault="003046CF" w:rsidP="003046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F6EB4">
        <w:rPr>
          <w:rFonts w:ascii="Arial" w:hAnsi="Arial" w:cs="Arial"/>
          <w:b/>
          <w:sz w:val="24"/>
          <w:szCs w:val="24"/>
          <w:lang w:val="es-ES_tradnl"/>
        </w:rPr>
        <w:t>EN SESION DE FECHA 25 DE ENERO DE 2017</w:t>
      </w:r>
    </w:p>
    <w:p w:rsidR="003046CF" w:rsidRPr="00DF6EB4" w:rsidRDefault="003046CF" w:rsidP="003046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046CF" w:rsidRPr="000A29AF" w:rsidRDefault="003046CF" w:rsidP="003046C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29AF">
        <w:rPr>
          <w:rFonts w:ascii="Arial" w:hAnsi="Arial" w:cs="Arial"/>
          <w:b/>
          <w:sz w:val="24"/>
          <w:szCs w:val="24"/>
        </w:rPr>
        <w:t>(E. E. Nº 201</w:t>
      </w:r>
      <w:r w:rsidRPr="000A29AF">
        <w:rPr>
          <w:rFonts w:ascii="Arial" w:hAnsi="Arial" w:cs="Arial"/>
          <w:b/>
          <w:sz w:val="24"/>
          <w:szCs w:val="24"/>
        </w:rPr>
        <w:t>5</w:t>
      </w:r>
      <w:r w:rsidRPr="000A29AF">
        <w:rPr>
          <w:rFonts w:ascii="Arial" w:hAnsi="Arial" w:cs="Arial"/>
          <w:b/>
          <w:sz w:val="24"/>
          <w:szCs w:val="24"/>
        </w:rPr>
        <w:t>-17-1-000</w:t>
      </w:r>
      <w:r w:rsidRPr="000A29AF">
        <w:rPr>
          <w:rFonts w:ascii="Arial" w:hAnsi="Arial" w:cs="Arial"/>
          <w:b/>
          <w:sz w:val="24"/>
          <w:szCs w:val="24"/>
        </w:rPr>
        <w:t>0439</w:t>
      </w:r>
      <w:r w:rsidRPr="000A29AF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0A29AF">
        <w:rPr>
          <w:rFonts w:ascii="Arial" w:hAnsi="Arial" w:cs="Arial"/>
          <w:b/>
          <w:sz w:val="24"/>
          <w:szCs w:val="24"/>
        </w:rPr>
        <w:t>Ent</w:t>
      </w:r>
      <w:proofErr w:type="spellEnd"/>
      <w:r w:rsidRPr="000A29AF">
        <w:rPr>
          <w:rFonts w:ascii="Arial" w:hAnsi="Arial" w:cs="Arial"/>
          <w:b/>
          <w:sz w:val="24"/>
          <w:szCs w:val="24"/>
        </w:rPr>
        <w:t>. N° 0</w:t>
      </w:r>
      <w:r w:rsidRPr="000A29AF">
        <w:rPr>
          <w:rFonts w:ascii="Arial" w:hAnsi="Arial" w:cs="Arial"/>
          <w:b/>
          <w:sz w:val="24"/>
          <w:szCs w:val="24"/>
        </w:rPr>
        <w:t>149</w:t>
      </w:r>
      <w:r w:rsidRPr="000A29AF">
        <w:rPr>
          <w:rFonts w:ascii="Arial" w:hAnsi="Arial" w:cs="Arial"/>
          <w:b/>
          <w:sz w:val="24"/>
          <w:szCs w:val="24"/>
        </w:rPr>
        <w:t>/17)</w:t>
      </w:r>
    </w:p>
    <w:p w:rsidR="005A5D2B" w:rsidRDefault="005A5D2B">
      <w:pPr>
        <w:spacing w:after="0" w:line="360" w:lineRule="auto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                                                                    </w:t>
      </w:r>
    </w:p>
    <w:p w:rsidR="005A5D2B" w:rsidRDefault="005A5D2B">
      <w:pPr>
        <w:keepNext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es-ES"/>
        </w:rPr>
      </w:pPr>
    </w:p>
    <w:p w:rsidR="005A5D2B" w:rsidRDefault="005A5D2B" w:rsidP="000A29AF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highlight w:val="yellow"/>
          <w:lang w:val="es-ES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  <w:t xml:space="preserve">VISTO: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las actuaciones remitidas por la Intendencia de Rivera, relacionada con la reiteración del gasto derivado  de la Licitación Pública Internacional Nº  02/2014 referente al acondicionamiento y desarrollo del </w:t>
      </w:r>
      <w:r w:rsidR="00CF698E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            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barrio “33 Orientales” de la Ciudad de Rivera;</w:t>
      </w:r>
    </w:p>
    <w:p w:rsidR="005A5D2B" w:rsidRDefault="005A5D2B" w:rsidP="000A29AF">
      <w:pPr>
        <w:keepNext/>
        <w:spacing w:after="0" w:line="360" w:lineRule="auto"/>
        <w:ind w:firstLine="851"/>
        <w:jc w:val="both"/>
        <w:outlineLvl w:val="1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_tradnl" w:eastAsia="es-ES"/>
        </w:rPr>
        <w:t xml:space="preserve">RESULTANDO: 1) </w:t>
      </w:r>
      <w:r>
        <w:rPr>
          <w:rFonts w:ascii="Arial" w:hAnsi="Arial" w:cs="Arial"/>
          <w:color w:val="000000"/>
          <w:sz w:val="24"/>
          <w:szCs w:val="24"/>
          <w:lang w:val="es-ES_tradnl" w:eastAsia="es-ES"/>
        </w:rPr>
        <w:t xml:space="preserve">que previa conformidad del B.I.D., otorgada </w:t>
      </w:r>
      <w:r>
        <w:rPr>
          <w:rFonts w:ascii="Arial" w:hAnsi="Arial" w:cs="Arial"/>
          <w:sz w:val="24"/>
          <w:szCs w:val="24"/>
          <w:lang w:eastAsia="es-ES"/>
        </w:rPr>
        <w:t>con fecha 25/09/014, el Ejecutivo Departamental, mediante Resolución Nº 10925 de fecha 3/10/014, adjudicó la convocatoria, ad referéndum de este Tribunal, a la firma STILER S.A., por un total de $ 93:065.688, (impuestos y Leyes Sociales incluidos), más ajustes paramétricos;</w:t>
      </w:r>
    </w:p>
    <w:p w:rsidR="005A5D2B" w:rsidRDefault="005A5D2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     2) </w:t>
      </w:r>
      <w:r>
        <w:rPr>
          <w:rFonts w:ascii="Arial" w:hAnsi="Arial" w:cs="Arial"/>
          <w:sz w:val="24"/>
          <w:szCs w:val="24"/>
          <w:lang w:eastAsia="es-ES"/>
        </w:rPr>
        <w:t xml:space="preserve">que según informe contable de fecha 22/12/014 del Área Financiero Contable de la Unidad Coordinadora – PDGS, la financiación del gasto se realiza con cargo al Proyecto 960 “Programa de Desarrollo y Gestión Sub Nacional”, Programa 492, Inciso 24 “Diversos Créditos”, Unidad Ejecutora 002, Presidencia de la República, y financiación 2.1 Endeudamiento Externo, por la suma de $ 73:494.001, más ajustes paramétricos, hasta el equivalente de U$S 3:247.062, el saldo restante, de </w:t>
      </w:r>
      <w:r w:rsidR="000A29AF">
        <w:rPr>
          <w:rFonts w:ascii="Arial" w:hAnsi="Arial" w:cs="Arial"/>
          <w:sz w:val="24"/>
          <w:szCs w:val="24"/>
          <w:lang w:eastAsia="es-ES"/>
        </w:rPr>
        <w:t xml:space="preserve">                      </w:t>
      </w:r>
      <w:r>
        <w:rPr>
          <w:rFonts w:ascii="Arial" w:hAnsi="Arial" w:cs="Arial"/>
          <w:sz w:val="24"/>
          <w:szCs w:val="24"/>
          <w:lang w:eastAsia="es-ES"/>
        </w:rPr>
        <w:t>$ 19:581.687, más ajustes paramétricos, será financiado por la Intendencia:</w:t>
      </w:r>
    </w:p>
    <w:p w:rsidR="005A5D2B" w:rsidRDefault="005A5D2B" w:rsidP="000A29A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3) </w:t>
      </w:r>
      <w:r>
        <w:rPr>
          <w:rFonts w:ascii="Arial" w:hAnsi="Arial" w:cs="Arial"/>
          <w:sz w:val="24"/>
          <w:szCs w:val="24"/>
          <w:lang w:eastAsia="es-ES"/>
        </w:rPr>
        <w:t>que en sesión de fecha 11/02/015, este Tribunal no formuló observaciones, comet</w:t>
      </w:r>
      <w:r w:rsidR="000A29AF">
        <w:rPr>
          <w:rFonts w:ascii="Arial" w:hAnsi="Arial" w:cs="Arial"/>
          <w:sz w:val="24"/>
          <w:szCs w:val="24"/>
          <w:lang w:eastAsia="es-ES"/>
        </w:rPr>
        <w:t>ie</w:t>
      </w:r>
      <w:r>
        <w:rPr>
          <w:rFonts w:ascii="Arial" w:hAnsi="Arial" w:cs="Arial"/>
          <w:sz w:val="24"/>
          <w:szCs w:val="24"/>
          <w:lang w:eastAsia="es-ES"/>
        </w:rPr>
        <w:t xml:space="preserve">ndo: </w:t>
      </w:r>
    </w:p>
    <w:p w:rsidR="005A5D2B" w:rsidRDefault="005A5D2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3.1)</w:t>
      </w:r>
      <w:r>
        <w:rPr>
          <w:rFonts w:ascii="Arial" w:hAnsi="Arial" w:cs="Arial"/>
          <w:sz w:val="24"/>
          <w:szCs w:val="24"/>
          <w:lang w:eastAsia="es-ES"/>
        </w:rPr>
        <w:t xml:space="preserve"> a la Contadora Auditora destacada ante la Presidencia de la República, la intervención de la transferencia de $ 73:494.001, más ajustes paramétricos a la Intendencia de Rivera, una vez dictada la resolución correspondiente; y </w:t>
      </w:r>
    </w:p>
    <w:p w:rsidR="005A5D2B" w:rsidRDefault="005A5D2B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3.2)</w:t>
      </w:r>
      <w:r>
        <w:rPr>
          <w:rFonts w:ascii="Arial" w:hAnsi="Arial" w:cs="Arial"/>
          <w:sz w:val="24"/>
          <w:szCs w:val="24"/>
          <w:lang w:eastAsia="es-ES"/>
        </w:rPr>
        <w:t xml:space="preserve"> al Contador Delegado en la Intendencia de Rivera la intervención del gasto de $ 19:581.687, más ajustes paramétricos, una vez imputados el mismo a rubro correspondiente con disponibilidad suficiente;</w:t>
      </w:r>
    </w:p>
    <w:p w:rsidR="005A5D2B" w:rsidRDefault="005A5D2B" w:rsidP="000A29A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lastRenderedPageBreak/>
        <w:t xml:space="preserve">4)  </w:t>
      </w:r>
      <w:r>
        <w:rPr>
          <w:rFonts w:ascii="Arial" w:hAnsi="Arial" w:cs="Arial"/>
          <w:sz w:val="24"/>
          <w:szCs w:val="24"/>
          <w:lang w:eastAsia="es-ES"/>
        </w:rPr>
        <w:t>que con la conformidad de la firma adjudicataria, otorgada con fecha 17/03/016, mediante la Resolución Nº 3404 el Ejecutivo Departamental dispuso la ampliación, en un 50,17%, de la contratación emergente de la contratación original con STILER S.A.;</w:t>
      </w:r>
    </w:p>
    <w:p w:rsidR="005A5D2B" w:rsidRDefault="005A5D2B" w:rsidP="000A29A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 w:rsidRPr="000A29AF">
        <w:rPr>
          <w:rFonts w:ascii="Arial" w:hAnsi="Arial" w:cs="Arial"/>
          <w:b/>
          <w:sz w:val="24"/>
          <w:szCs w:val="24"/>
          <w:lang w:eastAsia="es-ES"/>
        </w:rPr>
        <w:t>5</w:t>
      </w:r>
      <w:r w:rsidRPr="000A29AF">
        <w:rPr>
          <w:rFonts w:ascii="Arial" w:hAnsi="Arial" w:cs="Arial"/>
          <w:b/>
          <w:bCs/>
          <w:sz w:val="24"/>
          <w:szCs w:val="24"/>
          <w:lang w:eastAsia="es-ES"/>
        </w:rPr>
        <w:t>)</w:t>
      </w: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que el gasto, imputado con cargo al Programa 203 O.D.G. 3.8.9, con una disponib</w:t>
      </w:r>
      <w:r w:rsidR="000A29AF">
        <w:rPr>
          <w:rFonts w:ascii="Arial" w:hAnsi="Arial" w:cs="Arial"/>
          <w:sz w:val="24"/>
          <w:szCs w:val="24"/>
          <w:lang w:eastAsia="es-ES"/>
        </w:rPr>
        <w:t>ilidad excedida en $ 60.895.040</w:t>
      </w:r>
      <w:r>
        <w:rPr>
          <w:rFonts w:ascii="Arial" w:hAnsi="Arial" w:cs="Arial"/>
          <w:sz w:val="24"/>
          <w:szCs w:val="24"/>
          <w:lang w:eastAsia="es-ES"/>
        </w:rPr>
        <w:t>; fue observado por este Tribunal, en Sesión de fecha 1/06/2016, por carecer de disponibilidad presupuestal el rubro de imputación, no constando  reiteración del mismo;</w:t>
      </w:r>
    </w:p>
    <w:p w:rsidR="005A5D2B" w:rsidRDefault="005A5D2B" w:rsidP="000A29A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 w:rsidRPr="000A29AF">
        <w:rPr>
          <w:rFonts w:ascii="Arial" w:hAnsi="Arial" w:cs="Arial"/>
          <w:b/>
          <w:sz w:val="24"/>
          <w:szCs w:val="24"/>
          <w:lang w:eastAsia="es-ES"/>
        </w:rPr>
        <w:t>6</w:t>
      </w:r>
      <w:r>
        <w:rPr>
          <w:rFonts w:ascii="Arial" w:hAnsi="Arial" w:cs="Arial"/>
          <w:b/>
          <w:bCs/>
          <w:sz w:val="24"/>
          <w:szCs w:val="24"/>
          <w:lang w:eastAsia="es-ES"/>
        </w:rPr>
        <w:t>)</w:t>
      </w:r>
      <w:r>
        <w:rPr>
          <w:rFonts w:ascii="Arial" w:hAnsi="Arial" w:cs="Arial"/>
          <w:sz w:val="24"/>
          <w:szCs w:val="24"/>
          <w:lang w:eastAsia="es-ES"/>
        </w:rPr>
        <w:t xml:space="preserve"> que la empresa efectuó solicitud de ampliación de plazo por contingencias climáticas y paro</w:t>
      </w:r>
      <w:r w:rsidR="000735F2">
        <w:rPr>
          <w:rFonts w:ascii="Arial" w:hAnsi="Arial" w:cs="Arial"/>
          <w:sz w:val="24"/>
          <w:szCs w:val="24"/>
          <w:lang w:eastAsia="es-ES"/>
        </w:rPr>
        <w:t xml:space="preserve"> por</w:t>
      </w:r>
      <w:r>
        <w:rPr>
          <w:rFonts w:ascii="Arial" w:hAnsi="Arial" w:cs="Arial"/>
          <w:sz w:val="24"/>
          <w:szCs w:val="24"/>
          <w:lang w:eastAsia="es-ES"/>
        </w:rPr>
        <w:t xml:space="preserve"> informe jurídico de fecha 22/06/2016, surge que se concedió </w:t>
      </w:r>
      <w:bookmarkStart w:id="0" w:name="_GoBack"/>
      <w:bookmarkEnd w:id="0"/>
      <w:r>
        <w:rPr>
          <w:rFonts w:ascii="Arial" w:hAnsi="Arial" w:cs="Arial"/>
          <w:sz w:val="24"/>
          <w:szCs w:val="24"/>
          <w:lang w:eastAsia="es-ES"/>
        </w:rPr>
        <w:t>extensión del plazo de 70 días hábiles del plazo de entrega,</w:t>
      </w:r>
      <w:r w:rsidR="000A29AF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sin que existiera acto expreso disponiéndola;</w:t>
      </w:r>
    </w:p>
    <w:p w:rsidR="005A5D2B" w:rsidRDefault="005A5D2B" w:rsidP="000A29AF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>7)</w:t>
      </w:r>
      <w:r w:rsidR="000A29AF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que con la conformidad de la firma adjudicataria, otorgada con fecha 22/06/016 para la realización las Pluviales Chasque de los Santos, mediante la Resolución Nº 9199/2016 el Ejecutivo Departamental dispuso una nueva ampliación, en un 24,83% de la misma;</w:t>
      </w:r>
    </w:p>
    <w:p w:rsidR="005A5D2B" w:rsidRDefault="005A5D2B" w:rsidP="000A29AF">
      <w:pPr>
        <w:spacing w:after="0" w:line="360" w:lineRule="auto"/>
        <w:ind w:firstLine="2694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8) </w:t>
      </w:r>
      <w:r>
        <w:rPr>
          <w:rFonts w:ascii="Arial" w:hAnsi="Arial" w:cs="Arial"/>
          <w:color w:val="000000"/>
          <w:sz w:val="24"/>
          <w:szCs w:val="24"/>
          <w:lang w:eastAsia="es-ES"/>
        </w:rPr>
        <w:t>que con fecha 1/8/2016 se informa  que la obra se financiará con cargo al Fondo de Desarrollo del Interior y consta informe contable del programa 203, ODG 3.8.9, el que carece de disponibilidad presupuestal, estando excedido en $ 62.051572;</w:t>
      </w:r>
    </w:p>
    <w:p w:rsidR="005A5D2B" w:rsidRDefault="005A5D2B" w:rsidP="000A29AF">
      <w:pPr>
        <w:spacing w:after="0" w:line="360" w:lineRule="auto"/>
        <w:ind w:firstLine="2694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9) </w:t>
      </w: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que este Tribunal, en sesión de fecha 14 de setiembre de 2016, observó el gasto, en razón de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que la ampliación de referencia será financiada por el Fondo de Desarrollo del Interior, condición distinta a la original, que implica que las consideraciones vertidas por este Tribunal respecto de la aplicación de las previsiones del </w:t>
      </w:r>
      <w:r w:rsidR="00EA2E9F">
        <w:rPr>
          <w:rFonts w:ascii="Arial" w:hAnsi="Arial" w:cs="Arial"/>
          <w:color w:val="000000"/>
          <w:sz w:val="24"/>
          <w:szCs w:val="24"/>
          <w:lang w:val="es-ES" w:eastAsia="es-ES"/>
        </w:rPr>
        <w:t>A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rt</w:t>
      </w:r>
      <w:r w:rsidR="00EA2E9F">
        <w:rPr>
          <w:rFonts w:ascii="Arial" w:hAnsi="Arial" w:cs="Arial"/>
          <w:color w:val="000000"/>
          <w:sz w:val="24"/>
          <w:szCs w:val="24"/>
          <w:lang w:val="es-ES" w:eastAsia="es-ES"/>
        </w:rPr>
        <w:t>ículo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45 del TOCAF, no sean extensibles a la ampliación proyectada, debiéndose haber acu</w:t>
      </w:r>
      <w:r w:rsidR="00EA2E9F">
        <w:rPr>
          <w:rFonts w:ascii="Arial" w:hAnsi="Arial" w:cs="Arial"/>
          <w:color w:val="000000"/>
          <w:sz w:val="24"/>
          <w:szCs w:val="24"/>
          <w:lang w:val="es-ES" w:eastAsia="es-ES"/>
        </w:rPr>
        <w:t>dido a los procedimientos del A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rtículo 33 del  T.O.C.A.F , que en consecuencia no resulta aplicable, lo previsto por el </w:t>
      </w:r>
      <w:r w:rsidR="00EA2E9F">
        <w:rPr>
          <w:rFonts w:ascii="Arial" w:hAnsi="Arial" w:cs="Arial"/>
          <w:color w:val="000000"/>
          <w:sz w:val="24"/>
          <w:szCs w:val="24"/>
          <w:lang w:val="es-ES" w:eastAsia="es-ES"/>
        </w:rPr>
        <w:t>A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rtículo 74 del TOCAF que exige que la ampliación se realice en las mismas condiciones que el contrato original, y por contravenirse  las previsiones del </w:t>
      </w:r>
      <w:r w:rsidR="00EA2E9F">
        <w:rPr>
          <w:rFonts w:ascii="Arial" w:hAnsi="Arial" w:cs="Arial"/>
          <w:color w:val="000000"/>
          <w:sz w:val="24"/>
          <w:szCs w:val="24"/>
          <w:lang w:val="es-ES" w:eastAsia="es-ES"/>
        </w:rPr>
        <w:t>A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>rt</w:t>
      </w:r>
      <w:r w:rsidR="00EA2E9F">
        <w:rPr>
          <w:rFonts w:ascii="Arial" w:hAnsi="Arial" w:cs="Arial"/>
          <w:color w:val="000000"/>
          <w:sz w:val="24"/>
          <w:szCs w:val="24"/>
          <w:lang w:val="es-ES" w:eastAsia="es-ES"/>
        </w:rPr>
        <w:t>ículo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15 del T.O.C.A.F.;</w:t>
      </w:r>
    </w:p>
    <w:p w:rsidR="005A5D2B" w:rsidRDefault="005A5D2B" w:rsidP="000A29AF">
      <w:pPr>
        <w:spacing w:after="0" w:line="360" w:lineRule="auto"/>
        <w:ind w:firstLine="2694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  <w:t xml:space="preserve">10)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que, por Resolución No. 11438 de fecha 17 de octubre de 2016, el Intendente reiteró el gasto, alegando que </w:t>
      </w:r>
      <w:proofErr w:type="spellStart"/>
      <w:r>
        <w:rPr>
          <w:rFonts w:ascii="Arial" w:hAnsi="Arial" w:cs="Arial"/>
          <w:color w:val="000000"/>
          <w:sz w:val="24"/>
          <w:szCs w:val="24"/>
          <w:lang w:val="es-ES" w:eastAsia="es-ES"/>
        </w:rPr>
        <w:t>aún</w:t>
      </w:r>
      <w:proofErr w:type="spellEnd"/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cuando la fuente de 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lastRenderedPageBreak/>
        <w:t xml:space="preserve">financiación de la ampliación sea diferente que la del contrato inicial igualmente se mantienen las condiciones básicas del contrato; </w:t>
      </w:r>
    </w:p>
    <w:p w:rsidR="005A5D2B" w:rsidRDefault="005A5D2B" w:rsidP="000A29AF">
      <w:pPr>
        <w:widowControl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  <w:t xml:space="preserve">CONSIDERANDO: </w:t>
      </w:r>
      <w:r>
        <w:rPr>
          <w:rFonts w:ascii="Arial" w:hAnsi="Arial" w:cs="Arial"/>
          <w:b/>
          <w:bCs/>
          <w:sz w:val="24"/>
          <w:szCs w:val="24"/>
          <w:lang w:val="es-ES" w:eastAsia="es-ES"/>
        </w:rPr>
        <w:t>1)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que el </w:t>
      </w:r>
      <w:r w:rsidR="00EA2E9F">
        <w:rPr>
          <w:rFonts w:ascii="Arial" w:hAnsi="Arial" w:cs="Arial"/>
          <w:sz w:val="24"/>
          <w:szCs w:val="24"/>
          <w:lang w:val="es-MX" w:eastAsia="es-ES"/>
        </w:rPr>
        <w:t>A</w:t>
      </w:r>
      <w:r>
        <w:rPr>
          <w:rFonts w:ascii="Arial" w:hAnsi="Arial" w:cs="Arial"/>
          <w:sz w:val="24"/>
          <w:szCs w:val="24"/>
          <w:lang w:val="es-MX" w:eastAsia="es-ES"/>
        </w:rPr>
        <w:t>rt</w:t>
      </w:r>
      <w:r w:rsidR="00EA2E9F">
        <w:rPr>
          <w:rFonts w:ascii="Arial" w:hAnsi="Arial" w:cs="Arial"/>
          <w:sz w:val="24"/>
          <w:szCs w:val="24"/>
          <w:lang w:val="es-MX" w:eastAsia="es-ES"/>
        </w:rPr>
        <w:t>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</w:t>
      </w:r>
      <w:r w:rsidR="00EA2E9F">
        <w:rPr>
          <w:rFonts w:ascii="Arial" w:hAnsi="Arial" w:cs="Arial"/>
          <w:sz w:val="24"/>
          <w:szCs w:val="24"/>
          <w:lang w:val="es-MX" w:eastAsia="es-ES"/>
        </w:rPr>
        <w:t>L</w:t>
      </w:r>
      <w:r>
        <w:rPr>
          <w:rFonts w:ascii="Arial" w:hAnsi="Arial" w:cs="Arial"/>
          <w:sz w:val="24"/>
          <w:szCs w:val="24"/>
          <w:lang w:val="es-MX" w:eastAsia="es-ES"/>
        </w:rPr>
        <w:t>it</w:t>
      </w:r>
      <w:r w:rsidR="00EA2E9F">
        <w:rPr>
          <w:rFonts w:ascii="Arial" w:hAnsi="Arial" w:cs="Arial"/>
          <w:sz w:val="24"/>
          <w:szCs w:val="24"/>
          <w:lang w:val="es-MX" w:eastAsia="es-ES"/>
        </w:rPr>
        <w:t>eral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B) del </w:t>
      </w:r>
      <w:r w:rsidR="00EA2E9F">
        <w:rPr>
          <w:rFonts w:ascii="Arial" w:hAnsi="Arial" w:cs="Arial"/>
          <w:sz w:val="24"/>
          <w:szCs w:val="24"/>
          <w:lang w:val="es-MX" w:eastAsia="es-ES"/>
        </w:rPr>
        <w:t>A</w:t>
      </w:r>
      <w:r>
        <w:rPr>
          <w:rFonts w:ascii="Arial" w:hAnsi="Arial" w:cs="Arial"/>
          <w:sz w:val="24"/>
          <w:szCs w:val="24"/>
          <w:lang w:val="es-MX" w:eastAsia="es-ES"/>
        </w:rPr>
        <w:t>rt</w:t>
      </w:r>
      <w:r w:rsidR="00EA2E9F">
        <w:rPr>
          <w:rFonts w:ascii="Arial" w:hAnsi="Arial" w:cs="Arial"/>
          <w:sz w:val="24"/>
          <w:szCs w:val="24"/>
          <w:lang w:val="es-MX" w:eastAsia="es-ES"/>
        </w:rPr>
        <w:t>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211 de la Constitución de la República, deben hacerlo en forma fundada,  expresando de manera detallada los motivos que justifican a su juicio segu</w:t>
      </w:r>
      <w:r w:rsidR="00EA2E9F">
        <w:rPr>
          <w:rFonts w:ascii="Arial" w:hAnsi="Arial" w:cs="Arial"/>
          <w:sz w:val="24"/>
          <w:szCs w:val="24"/>
          <w:lang w:val="es-MX" w:eastAsia="es-ES"/>
        </w:rPr>
        <w:t>ir el curso del gasto del pago;</w:t>
      </w:r>
    </w:p>
    <w:p w:rsidR="005A5D2B" w:rsidRDefault="005A5D2B" w:rsidP="000A29AF">
      <w:pPr>
        <w:spacing w:after="0" w:line="360" w:lineRule="auto"/>
        <w:ind w:firstLine="2977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es-ES" w:eastAsia="es-ES"/>
        </w:rPr>
        <w:t>2)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se mantienen incambiadas las razones de legalidad que dieron lugar a la observación oportunamente efectuada por el este Tribunal en sesión de</w:t>
      </w:r>
      <w:r w:rsidR="00EA2E9F">
        <w:rPr>
          <w:rFonts w:ascii="Arial" w:hAnsi="Arial" w:cs="Arial"/>
          <w:sz w:val="24"/>
          <w:szCs w:val="24"/>
          <w:lang w:val="es-MX" w:eastAsia="es-ES"/>
        </w:rPr>
        <w:t xml:space="preserve"> fecha 14 de setiembre de 2016;</w:t>
      </w:r>
    </w:p>
    <w:p w:rsidR="005A5D2B" w:rsidRDefault="005A5D2B" w:rsidP="000A29AF">
      <w:pPr>
        <w:keepNext/>
        <w:spacing w:after="0" w:line="360" w:lineRule="auto"/>
        <w:ind w:firstLine="851"/>
        <w:jc w:val="both"/>
        <w:outlineLvl w:val="1"/>
        <w:rPr>
          <w:rFonts w:ascii="Arial" w:hAnsi="Arial" w:cs="Arial"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ATENTO: </w:t>
      </w: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a lo precedentemente expuesto y a lo establecido en el </w:t>
      </w:r>
      <w:r w:rsidR="00B220A6">
        <w:rPr>
          <w:rFonts w:ascii="Arial" w:hAnsi="Arial" w:cs="Arial"/>
          <w:color w:val="000000"/>
          <w:sz w:val="24"/>
          <w:szCs w:val="24"/>
          <w:lang w:eastAsia="es-ES"/>
        </w:rPr>
        <w:t>A</w:t>
      </w:r>
      <w:r>
        <w:rPr>
          <w:rFonts w:ascii="Arial" w:hAnsi="Arial" w:cs="Arial"/>
          <w:color w:val="000000"/>
          <w:sz w:val="24"/>
          <w:szCs w:val="24"/>
          <w:lang w:eastAsia="es-ES"/>
        </w:rPr>
        <w:t>rt</w:t>
      </w:r>
      <w:r w:rsidR="00B220A6">
        <w:rPr>
          <w:rFonts w:ascii="Arial" w:hAnsi="Arial" w:cs="Arial"/>
          <w:color w:val="000000"/>
          <w:sz w:val="24"/>
          <w:szCs w:val="24"/>
          <w:lang w:eastAsia="es-ES"/>
        </w:rPr>
        <w:t>ículo</w:t>
      </w:r>
      <w:r>
        <w:rPr>
          <w:rFonts w:ascii="Arial" w:hAnsi="Arial" w:cs="Arial"/>
          <w:color w:val="000000"/>
          <w:sz w:val="24"/>
          <w:szCs w:val="24"/>
          <w:lang w:eastAsia="es-ES"/>
        </w:rPr>
        <w:t xml:space="preserve"> 211 </w:t>
      </w:r>
      <w:r w:rsidR="00B220A6">
        <w:rPr>
          <w:rFonts w:ascii="Arial" w:hAnsi="Arial" w:cs="Arial"/>
          <w:color w:val="000000"/>
          <w:sz w:val="24"/>
          <w:szCs w:val="24"/>
          <w:lang w:eastAsia="es-ES"/>
        </w:rPr>
        <w:t>L</w:t>
      </w:r>
      <w:r>
        <w:rPr>
          <w:rFonts w:ascii="Arial" w:hAnsi="Arial" w:cs="Arial"/>
          <w:color w:val="000000"/>
          <w:sz w:val="24"/>
          <w:szCs w:val="24"/>
          <w:lang w:eastAsia="es-ES"/>
        </w:rPr>
        <w:t>iteral B) de la Constitución de la República;</w:t>
      </w:r>
    </w:p>
    <w:p w:rsidR="005A5D2B" w:rsidRDefault="005A5D2B">
      <w:pPr>
        <w:keepNext/>
        <w:spacing w:after="0" w:line="360" w:lineRule="auto"/>
        <w:jc w:val="center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>EL TRIBUNAL ACUERDA</w:t>
      </w:r>
    </w:p>
    <w:p w:rsidR="005A5D2B" w:rsidRDefault="000A29AF" w:rsidP="000A29A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 w:eastAsia="es-ES"/>
        </w:rPr>
        <w:t xml:space="preserve">1) </w:t>
      </w:r>
      <w:r w:rsidR="005A5D2B">
        <w:rPr>
          <w:rFonts w:ascii="Arial" w:hAnsi="Arial" w:cs="Arial"/>
          <w:color w:val="000000"/>
          <w:sz w:val="24"/>
          <w:szCs w:val="24"/>
          <w:lang w:val="es-ES" w:eastAsia="es-ES"/>
        </w:rPr>
        <w:t>Mantener la observación formulad</w:t>
      </w:r>
      <w:r w:rsidR="00EA2E9F">
        <w:rPr>
          <w:rFonts w:ascii="Arial" w:hAnsi="Arial" w:cs="Arial"/>
          <w:color w:val="000000"/>
          <w:sz w:val="24"/>
          <w:szCs w:val="24"/>
          <w:lang w:val="es-ES" w:eastAsia="es-ES"/>
        </w:rPr>
        <w:t>a en sesión de fecha 14/9/2016;</w:t>
      </w:r>
    </w:p>
    <w:p w:rsidR="005A5D2B" w:rsidRPr="000A29AF" w:rsidRDefault="000A29AF" w:rsidP="000A29A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0A29AF">
        <w:rPr>
          <w:rFonts w:ascii="Arial" w:hAnsi="Arial" w:cs="Arial"/>
          <w:b/>
          <w:color w:val="000000"/>
          <w:sz w:val="24"/>
          <w:szCs w:val="24"/>
          <w:lang w:val="es-ES" w:eastAsia="es-ES"/>
        </w:rPr>
        <w:t>2)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</w:t>
      </w:r>
      <w:r w:rsidR="005A5D2B" w:rsidRPr="000A29AF">
        <w:rPr>
          <w:rFonts w:ascii="Arial" w:hAnsi="Arial" w:cs="Arial"/>
          <w:color w:val="000000"/>
          <w:sz w:val="24"/>
          <w:szCs w:val="24"/>
          <w:lang w:val="es-ES" w:eastAsia="es-ES"/>
        </w:rPr>
        <w:t>Dar cuenta a la Junta Departamental de Rivera;</w:t>
      </w:r>
    </w:p>
    <w:p w:rsidR="005A5D2B" w:rsidRDefault="000A29AF" w:rsidP="000A29A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  <w:r w:rsidRPr="000A29AF">
        <w:rPr>
          <w:rFonts w:ascii="Arial" w:hAnsi="Arial" w:cs="Arial"/>
          <w:b/>
          <w:color w:val="000000"/>
          <w:sz w:val="24"/>
          <w:szCs w:val="24"/>
          <w:lang w:val="es-ES" w:eastAsia="es-ES"/>
        </w:rPr>
        <w:t>3)</w:t>
      </w:r>
      <w:r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</w:t>
      </w:r>
      <w:r w:rsidR="005A5D2B">
        <w:rPr>
          <w:rFonts w:ascii="Arial" w:hAnsi="Arial" w:cs="Arial"/>
          <w:color w:val="000000"/>
          <w:sz w:val="24"/>
          <w:szCs w:val="24"/>
          <w:lang w:val="es-ES" w:eastAsia="es-ES"/>
        </w:rPr>
        <w:t>Devolver las actuaciones.</w:t>
      </w:r>
    </w:p>
    <w:p w:rsidR="005A5D2B" w:rsidRDefault="005A5D2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" w:eastAsia="es-ES"/>
        </w:rPr>
      </w:pPr>
    </w:p>
    <w:p w:rsidR="005A5D2B" w:rsidRDefault="000A29AF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  <w:lang w:val="es-ES" w:eastAsia="es-ES"/>
        </w:rPr>
        <w:t>ag</w:t>
      </w:r>
      <w:proofErr w:type="spellEnd"/>
      <w:proofErr w:type="gramEnd"/>
    </w:p>
    <w:p w:rsidR="005A5D2B" w:rsidRDefault="005A5D2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s-ES_tradnl" w:eastAsia="es-ES"/>
        </w:rPr>
      </w:pPr>
    </w:p>
    <w:p w:rsidR="005A5D2B" w:rsidRDefault="005A5D2B">
      <w:pPr>
        <w:rPr>
          <w:rFonts w:ascii="Times New Roman" w:hAnsi="Times New Roman" w:cs="Times New Roman"/>
          <w:lang w:val="es-ES_tradnl"/>
        </w:rPr>
      </w:pPr>
    </w:p>
    <w:sectPr w:rsidR="005A5D2B" w:rsidSect="005E7C8B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B4" w:rsidRDefault="002807B4" w:rsidP="002807B4">
      <w:pPr>
        <w:spacing w:after="0" w:line="240" w:lineRule="auto"/>
      </w:pPr>
      <w:r>
        <w:separator/>
      </w:r>
    </w:p>
  </w:endnote>
  <w:endnote w:type="continuationSeparator" w:id="0">
    <w:p w:rsidR="002807B4" w:rsidRDefault="002807B4" w:rsidP="0028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727985"/>
      <w:docPartObj>
        <w:docPartGallery w:val="Page Numbers (Bottom of Page)"/>
        <w:docPartUnique/>
      </w:docPartObj>
    </w:sdtPr>
    <w:sdtContent>
      <w:p w:rsidR="002807B4" w:rsidRDefault="002807B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5F2" w:rsidRPr="000735F2">
          <w:rPr>
            <w:noProof/>
            <w:lang w:val="es-ES"/>
          </w:rPr>
          <w:t>2</w:t>
        </w:r>
        <w:r>
          <w:fldChar w:fldCharType="end"/>
        </w:r>
      </w:p>
    </w:sdtContent>
  </w:sdt>
  <w:p w:rsidR="002807B4" w:rsidRDefault="002807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B4" w:rsidRDefault="002807B4" w:rsidP="002807B4">
      <w:pPr>
        <w:spacing w:after="0" w:line="240" w:lineRule="auto"/>
      </w:pPr>
      <w:r>
        <w:separator/>
      </w:r>
    </w:p>
  </w:footnote>
  <w:footnote w:type="continuationSeparator" w:id="0">
    <w:p w:rsidR="002807B4" w:rsidRDefault="002807B4" w:rsidP="00280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5C049C20"/>
    <w:lvl w:ilvl="0" w:tplc="076AA8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14111123"/>
    <w:multiLevelType w:val="hybridMultilevel"/>
    <w:tmpl w:val="583C7D4C"/>
    <w:lvl w:ilvl="0" w:tplc="38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2B"/>
    <w:rsid w:val="000735F2"/>
    <w:rsid w:val="000A29AF"/>
    <w:rsid w:val="002807B4"/>
    <w:rsid w:val="003046CF"/>
    <w:rsid w:val="005A5D2B"/>
    <w:rsid w:val="005E7C8B"/>
    <w:rsid w:val="007E61B3"/>
    <w:rsid w:val="00B220A6"/>
    <w:rsid w:val="00B809DF"/>
    <w:rsid w:val="00CF698E"/>
    <w:rsid w:val="00EA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A29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7B4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280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7B4"/>
    <w:rPr>
      <w:rFonts w:ascii="Calibri" w:hAnsi="Calibri" w:cs="Calibri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A29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7B4"/>
    <w:rPr>
      <w:rFonts w:ascii="Calibri" w:hAnsi="Calibri" w:cs="Calibri"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280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7B4"/>
    <w:rPr>
      <w:rFonts w:ascii="Calibri" w:hAnsi="Calibri" w:cs="Calibri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776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Tribunal de Cuentas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MARIA JOSE OVIEDO PELAEZ</dc:creator>
  <cp:keywords/>
  <dc:description/>
  <cp:lastModifiedBy>Andrea Gerner</cp:lastModifiedBy>
  <cp:revision>13</cp:revision>
  <cp:lastPrinted>2017-01-30T18:53:00Z</cp:lastPrinted>
  <dcterms:created xsi:type="dcterms:W3CDTF">2017-01-30T17:16:00Z</dcterms:created>
  <dcterms:modified xsi:type="dcterms:W3CDTF">2017-01-30T18:55:00Z</dcterms:modified>
</cp:coreProperties>
</file>