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D0B" w:rsidRPr="00C61614" w:rsidRDefault="00CA6D0B" w:rsidP="00C61614">
      <w:pPr>
        <w:tabs>
          <w:tab w:val="center" w:pos="4253"/>
        </w:tabs>
        <w:suppressAutoHyphens/>
        <w:jc w:val="right"/>
        <w:rPr>
          <w:rFonts w:cs="Arial"/>
          <w:b/>
          <w:sz w:val="28"/>
          <w:szCs w:val="28"/>
          <w:lang w:val="es-ES_tradnl"/>
        </w:rPr>
      </w:pPr>
      <w:bookmarkStart w:id="0" w:name="_GoBack"/>
      <w:bookmarkEnd w:id="0"/>
      <w:r w:rsidRPr="00C61614">
        <w:rPr>
          <w:rFonts w:cs="Arial"/>
          <w:b/>
          <w:sz w:val="28"/>
          <w:szCs w:val="28"/>
          <w:lang w:val="es-ES_tradnl"/>
        </w:rPr>
        <w:t xml:space="preserve">RES. </w:t>
      </w:r>
      <w:r>
        <w:rPr>
          <w:rFonts w:cs="Arial"/>
          <w:b/>
          <w:sz w:val="28"/>
          <w:szCs w:val="28"/>
          <w:lang w:val="es-ES_tradnl"/>
        </w:rPr>
        <w:t>3576</w:t>
      </w:r>
      <w:r w:rsidRPr="00C61614">
        <w:rPr>
          <w:rFonts w:cs="Arial"/>
          <w:b/>
          <w:sz w:val="28"/>
          <w:szCs w:val="28"/>
          <w:lang w:val="es-ES_tradnl"/>
        </w:rPr>
        <w:t>/16</w:t>
      </w:r>
    </w:p>
    <w:p w:rsidR="00CA6D0B" w:rsidRDefault="00CA6D0B">
      <w:pPr>
        <w:tabs>
          <w:tab w:val="center" w:pos="4253"/>
        </w:tabs>
        <w:suppressAutoHyphens/>
        <w:jc w:val="center"/>
        <w:rPr>
          <w:rFonts w:cs="Arial"/>
          <w:b/>
          <w:lang w:val="es-ES_tradnl"/>
        </w:rPr>
      </w:pPr>
    </w:p>
    <w:p w:rsidR="00CA6D0B" w:rsidRDefault="00CA6D0B" w:rsidP="00662BF1">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CA6D0B" w:rsidRDefault="00CA6D0B" w:rsidP="00662BF1">
      <w:pPr>
        <w:tabs>
          <w:tab w:val="left" w:pos="-720"/>
        </w:tabs>
        <w:suppressAutoHyphens/>
        <w:jc w:val="center"/>
        <w:rPr>
          <w:rFonts w:ascii="Helvetica" w:hAnsi="Helvetica"/>
          <w:b/>
          <w:lang w:val="es-ES_tradnl"/>
        </w:rPr>
      </w:pPr>
    </w:p>
    <w:p w:rsidR="00CA6D0B" w:rsidRDefault="00CA6D0B" w:rsidP="00662BF1">
      <w:pPr>
        <w:tabs>
          <w:tab w:val="center" w:pos="4253"/>
        </w:tabs>
        <w:suppressAutoHyphens/>
        <w:jc w:val="center"/>
        <w:rPr>
          <w:rFonts w:ascii="Helvetica" w:hAnsi="Helvetica"/>
          <w:b/>
          <w:lang w:val="es-ES_tradnl"/>
        </w:rPr>
      </w:pPr>
      <w:r>
        <w:rPr>
          <w:rFonts w:ascii="Helvetica" w:hAnsi="Helvetica"/>
          <w:b/>
          <w:lang w:val="es-ES_tradnl"/>
        </w:rPr>
        <w:t>TRIBUNAL DE CUENTAS</w:t>
      </w:r>
    </w:p>
    <w:p w:rsidR="00CA6D0B" w:rsidRDefault="00CA6D0B" w:rsidP="00662BF1">
      <w:pPr>
        <w:tabs>
          <w:tab w:val="left" w:pos="-720"/>
        </w:tabs>
        <w:suppressAutoHyphens/>
        <w:jc w:val="center"/>
        <w:rPr>
          <w:rFonts w:ascii="Helvetica" w:hAnsi="Helvetica"/>
          <w:b/>
          <w:lang w:val="es-ES_tradnl"/>
        </w:rPr>
      </w:pPr>
    </w:p>
    <w:p w:rsidR="00CA6D0B" w:rsidRDefault="00CA6D0B" w:rsidP="00662BF1">
      <w:pPr>
        <w:tabs>
          <w:tab w:val="center" w:pos="4253"/>
        </w:tabs>
        <w:suppressAutoHyphens/>
        <w:jc w:val="center"/>
        <w:rPr>
          <w:rFonts w:ascii="Helvetica" w:hAnsi="Helvetica"/>
          <w:b/>
          <w:lang w:val="es-ES_tradnl"/>
        </w:rPr>
      </w:pPr>
      <w:r>
        <w:rPr>
          <w:rFonts w:ascii="Helvetica" w:hAnsi="Helvetica"/>
          <w:b/>
          <w:lang w:val="es-ES_tradnl"/>
        </w:rPr>
        <w:t>EN SESION DE FECHA 12 DE OCTUBRE DE 2016</w:t>
      </w:r>
    </w:p>
    <w:p w:rsidR="00CA6D0B" w:rsidRDefault="00CA6D0B" w:rsidP="00662BF1">
      <w:pPr>
        <w:tabs>
          <w:tab w:val="center" w:pos="4253"/>
        </w:tabs>
        <w:suppressAutoHyphens/>
        <w:jc w:val="center"/>
        <w:rPr>
          <w:rFonts w:ascii="Helvetica" w:hAnsi="Helvetica"/>
          <w:b/>
          <w:lang w:val="es-ES_tradnl"/>
        </w:rPr>
      </w:pPr>
    </w:p>
    <w:p w:rsidR="00CA6D0B" w:rsidRPr="00CA6D0B" w:rsidRDefault="00CA6D0B" w:rsidP="00662BF1">
      <w:pPr>
        <w:tabs>
          <w:tab w:val="center" w:pos="4253"/>
        </w:tabs>
        <w:suppressAutoHyphens/>
        <w:jc w:val="center"/>
        <w:rPr>
          <w:rFonts w:ascii="Helvetica" w:hAnsi="Helvetica"/>
          <w:b/>
          <w:lang w:val="es-UY"/>
        </w:rPr>
      </w:pPr>
      <w:r w:rsidRPr="00CA6D0B">
        <w:rPr>
          <w:rFonts w:ascii="Helvetica" w:hAnsi="Helvetica"/>
          <w:b/>
          <w:lang w:val="es-UY"/>
        </w:rPr>
        <w:t xml:space="preserve">(E. E. Nº 2016-17-1-0004510, </w:t>
      </w:r>
      <w:proofErr w:type="spellStart"/>
      <w:r w:rsidRPr="00CA6D0B">
        <w:rPr>
          <w:rFonts w:ascii="Helvetica" w:hAnsi="Helvetica"/>
          <w:b/>
          <w:lang w:val="es-UY"/>
        </w:rPr>
        <w:t>Ent</w:t>
      </w:r>
      <w:proofErr w:type="spellEnd"/>
      <w:r w:rsidRPr="00CA6D0B">
        <w:rPr>
          <w:rFonts w:ascii="Helvetica" w:hAnsi="Helvetica"/>
          <w:b/>
          <w:lang w:val="es-UY"/>
        </w:rPr>
        <w:t>. N° 3435/16)</w:t>
      </w:r>
    </w:p>
    <w:p w:rsidR="00CA6D0B" w:rsidRPr="00CA6D0B" w:rsidRDefault="00CA6D0B">
      <w:pPr>
        <w:tabs>
          <w:tab w:val="center" w:pos="4253"/>
        </w:tabs>
        <w:suppressAutoHyphens/>
        <w:jc w:val="center"/>
        <w:rPr>
          <w:rFonts w:cs="Arial"/>
          <w:b/>
          <w:lang w:val="es-UY"/>
        </w:rPr>
      </w:pPr>
    </w:p>
    <w:p w:rsidR="00CA6D0B" w:rsidRDefault="00CA6D0B" w:rsidP="00305CD7">
      <w:pPr>
        <w:tabs>
          <w:tab w:val="center" w:pos="4253"/>
        </w:tabs>
        <w:suppressAutoHyphens/>
        <w:jc w:val="center"/>
        <w:rPr>
          <w:rFonts w:ascii="Helvetica" w:hAnsi="Helvetica"/>
          <w:b/>
          <w:lang w:val="es-ES_tradnl"/>
        </w:rPr>
      </w:pPr>
    </w:p>
    <w:p w:rsidR="001A0427" w:rsidRPr="009D27AB" w:rsidRDefault="00561B16" w:rsidP="00D76AD4">
      <w:pPr>
        <w:autoSpaceDE w:val="0"/>
        <w:autoSpaceDN w:val="0"/>
        <w:adjustRightInd w:val="0"/>
        <w:spacing w:line="360" w:lineRule="auto"/>
        <w:ind w:firstLine="851"/>
        <w:jc w:val="both"/>
        <w:rPr>
          <w:rFonts w:cs="Arial"/>
        </w:rPr>
      </w:pPr>
      <w:r>
        <w:rPr>
          <w:rFonts w:cs="Arial"/>
          <w:b/>
          <w:bCs/>
        </w:rPr>
        <w:t>V</w:t>
      </w:r>
      <w:r w:rsidR="001A0427" w:rsidRPr="009D27AB">
        <w:rPr>
          <w:rFonts w:cs="Arial"/>
          <w:b/>
          <w:bCs/>
        </w:rPr>
        <w:t xml:space="preserve">ISTO: </w:t>
      </w:r>
      <w:r w:rsidR="001A0427" w:rsidRPr="009D27AB">
        <w:rPr>
          <w:rFonts w:cs="Arial"/>
        </w:rPr>
        <w:t xml:space="preserve">la Rendición de Cuentas y Balance de Ejecución Presupuestal de la Intendencia de Artigas correspondiente al </w:t>
      </w:r>
      <w:r w:rsidR="00D76AD4">
        <w:rPr>
          <w:rFonts w:cs="Arial"/>
        </w:rPr>
        <w:t>E</w:t>
      </w:r>
      <w:r w:rsidR="001A0427" w:rsidRPr="009D27AB">
        <w:rPr>
          <w:rFonts w:cs="Arial"/>
        </w:rPr>
        <w:t>jercicio 2015;</w:t>
      </w:r>
    </w:p>
    <w:p w:rsidR="001A0427" w:rsidRPr="009D27AB" w:rsidRDefault="001A0427" w:rsidP="00D76AD4">
      <w:pPr>
        <w:tabs>
          <w:tab w:val="left" w:pos="284"/>
        </w:tabs>
        <w:autoSpaceDE w:val="0"/>
        <w:autoSpaceDN w:val="0"/>
        <w:adjustRightInd w:val="0"/>
        <w:spacing w:line="360" w:lineRule="auto"/>
        <w:ind w:firstLine="851"/>
        <w:jc w:val="both"/>
        <w:rPr>
          <w:rFonts w:cs="Arial"/>
        </w:rPr>
      </w:pPr>
      <w:r w:rsidRPr="009D27AB">
        <w:rPr>
          <w:rFonts w:cs="Arial"/>
          <w:b/>
          <w:bCs/>
        </w:rPr>
        <w:t xml:space="preserve">RESULTANDO: </w:t>
      </w:r>
      <w:r w:rsidRPr="009D27AB">
        <w:rPr>
          <w:rFonts w:cs="Arial"/>
        </w:rPr>
        <w:t xml:space="preserve">que el examen se efectuó de acuerdo con los Principios Fundamentales de Auditoría (ISSAI 100 y 200) y las Directrices de Auditoría Financiera (ISSAI </w:t>
      </w:r>
      <w:smartTag w:uri="urn:schemas-microsoft-com:office:smarttags" w:element="metricconverter">
        <w:smartTagPr>
          <w:attr w:name="ProductID" w:val="1000 a"/>
        </w:smartTagPr>
        <w:r w:rsidRPr="009D27AB">
          <w:rPr>
            <w:rFonts w:cs="Arial"/>
          </w:rPr>
          <w:t>1000 a</w:t>
        </w:r>
      </w:smartTag>
      <w:r w:rsidRPr="009D27AB">
        <w:rPr>
          <w:rFonts w:cs="Arial"/>
        </w:rPr>
        <w:t xml:space="preserve"> 1810) de la Organización Internacional de Entidades Fiscalizadoras Superiores (INTOSAI), habiéndose llevado a cabo los procedimientos considerados necesarios en las circunstancias;</w:t>
      </w:r>
    </w:p>
    <w:p w:rsidR="001A0427" w:rsidRPr="009D27AB" w:rsidRDefault="001A0427" w:rsidP="00D76AD4">
      <w:pPr>
        <w:autoSpaceDE w:val="0"/>
        <w:autoSpaceDN w:val="0"/>
        <w:adjustRightInd w:val="0"/>
        <w:spacing w:line="360" w:lineRule="auto"/>
        <w:ind w:firstLine="851"/>
        <w:jc w:val="both"/>
        <w:rPr>
          <w:rFonts w:cs="Arial"/>
        </w:rPr>
      </w:pPr>
      <w:r w:rsidRPr="009D27AB">
        <w:rPr>
          <w:rFonts w:cs="Arial"/>
          <w:b/>
          <w:bCs/>
        </w:rPr>
        <w:t xml:space="preserve">CONSIDERANDO: </w:t>
      </w:r>
      <w:r w:rsidRPr="009D27AB">
        <w:rPr>
          <w:rFonts w:cs="Arial"/>
        </w:rPr>
        <w:t>que las conclusiones y evidencias obtenidas son las que se expresan en el Informe de Auditoría, que incluye Dictamen e Informe a la Administración;</w:t>
      </w:r>
    </w:p>
    <w:p w:rsidR="001A0427" w:rsidRPr="009D27AB" w:rsidRDefault="001A0427" w:rsidP="00D76AD4">
      <w:pPr>
        <w:autoSpaceDE w:val="0"/>
        <w:autoSpaceDN w:val="0"/>
        <w:adjustRightInd w:val="0"/>
        <w:spacing w:line="360" w:lineRule="auto"/>
        <w:ind w:firstLine="851"/>
        <w:jc w:val="both"/>
        <w:rPr>
          <w:rFonts w:cs="Arial"/>
        </w:rPr>
      </w:pPr>
      <w:r w:rsidRPr="009D27AB">
        <w:rPr>
          <w:rFonts w:cs="Arial"/>
          <w:b/>
          <w:bCs/>
        </w:rPr>
        <w:t xml:space="preserve">ATENTO: </w:t>
      </w:r>
      <w:r w:rsidRPr="009D27AB">
        <w:rPr>
          <w:rFonts w:cs="Arial"/>
        </w:rPr>
        <w:t>a lo dispuesto por el Artículo 211 Literal C) de la Constitución de la República;</w:t>
      </w:r>
    </w:p>
    <w:p w:rsidR="001A0427" w:rsidRPr="009D27AB" w:rsidRDefault="001A0427" w:rsidP="001A0427">
      <w:pPr>
        <w:autoSpaceDE w:val="0"/>
        <w:autoSpaceDN w:val="0"/>
        <w:adjustRightInd w:val="0"/>
        <w:spacing w:line="360" w:lineRule="auto"/>
        <w:jc w:val="center"/>
        <w:rPr>
          <w:rFonts w:cs="Arial"/>
          <w:b/>
          <w:bCs/>
        </w:rPr>
      </w:pPr>
      <w:r w:rsidRPr="009D27AB">
        <w:rPr>
          <w:rFonts w:cs="Arial"/>
          <w:b/>
          <w:bCs/>
        </w:rPr>
        <w:t>EL TRIBUNAL ACUERDA</w:t>
      </w:r>
    </w:p>
    <w:p w:rsidR="001A0427" w:rsidRPr="00561B16" w:rsidRDefault="001A0427" w:rsidP="00764E88">
      <w:pPr>
        <w:pStyle w:val="Prrafodelista"/>
        <w:numPr>
          <w:ilvl w:val="0"/>
          <w:numId w:val="1"/>
        </w:numPr>
        <w:tabs>
          <w:tab w:val="left" w:pos="426"/>
        </w:tabs>
        <w:autoSpaceDE w:val="0"/>
        <w:autoSpaceDN w:val="0"/>
        <w:adjustRightInd w:val="0"/>
        <w:spacing w:line="360" w:lineRule="auto"/>
        <w:ind w:left="0" w:firstLine="0"/>
        <w:jc w:val="both"/>
        <w:rPr>
          <w:rFonts w:cs="Arial"/>
        </w:rPr>
      </w:pPr>
      <w:r w:rsidRPr="00561B16">
        <w:rPr>
          <w:rFonts w:cs="Arial"/>
        </w:rPr>
        <w:t>Expedirse en los términos del Informe de Auditoría que se adjunta</w:t>
      </w:r>
      <w:r w:rsidR="00D76AD4">
        <w:rPr>
          <w:rFonts w:cs="Arial"/>
        </w:rPr>
        <w:t>;</w:t>
      </w:r>
    </w:p>
    <w:p w:rsidR="001A0427" w:rsidRPr="009D27AB" w:rsidRDefault="001A0427" w:rsidP="00A93D22">
      <w:pPr>
        <w:autoSpaceDE w:val="0"/>
        <w:autoSpaceDN w:val="0"/>
        <w:adjustRightInd w:val="0"/>
        <w:spacing w:line="360" w:lineRule="auto"/>
        <w:ind w:left="426" w:hanging="426"/>
        <w:jc w:val="both"/>
        <w:rPr>
          <w:rFonts w:cs="Arial"/>
        </w:rPr>
      </w:pPr>
      <w:r w:rsidRPr="009D27AB">
        <w:rPr>
          <w:rFonts w:cs="Arial"/>
          <w:b/>
          <w:bCs/>
        </w:rPr>
        <w:t xml:space="preserve">2) </w:t>
      </w:r>
      <w:r w:rsidRPr="009D27AB">
        <w:rPr>
          <w:rFonts w:cs="Arial"/>
        </w:rPr>
        <w:t xml:space="preserve">Comunicar la presente Resolución a la Intendencia y a la Junta </w:t>
      </w:r>
      <w:r w:rsidR="00561B16">
        <w:rPr>
          <w:rFonts w:cs="Arial"/>
        </w:rPr>
        <w:t xml:space="preserve"> </w:t>
      </w:r>
      <w:r w:rsidR="00D76AD4">
        <w:rPr>
          <w:rFonts w:cs="Arial"/>
        </w:rPr>
        <w:t xml:space="preserve"> </w:t>
      </w:r>
      <w:r w:rsidRPr="009D27AB">
        <w:rPr>
          <w:rFonts w:cs="Arial"/>
        </w:rPr>
        <w:t>Departamental de Artigas</w:t>
      </w:r>
      <w:r w:rsidR="00D76AD4">
        <w:rPr>
          <w:rFonts w:cs="Arial"/>
        </w:rPr>
        <w:t>;</w:t>
      </w:r>
    </w:p>
    <w:p w:rsidR="001A0427" w:rsidRPr="009D27AB" w:rsidRDefault="001A0427" w:rsidP="00A93D22">
      <w:pPr>
        <w:autoSpaceDE w:val="0"/>
        <w:autoSpaceDN w:val="0"/>
        <w:adjustRightInd w:val="0"/>
        <w:spacing w:line="360" w:lineRule="auto"/>
        <w:ind w:left="426" w:hanging="426"/>
        <w:jc w:val="both"/>
        <w:rPr>
          <w:rFonts w:cs="Arial"/>
        </w:rPr>
      </w:pPr>
      <w:r w:rsidRPr="009D27AB">
        <w:rPr>
          <w:rFonts w:cs="Arial"/>
          <w:b/>
          <w:bCs/>
        </w:rPr>
        <w:t xml:space="preserve">3) </w:t>
      </w:r>
      <w:r w:rsidR="00A93D22">
        <w:rPr>
          <w:rFonts w:cs="Arial"/>
          <w:b/>
          <w:bCs/>
        </w:rPr>
        <w:t xml:space="preserve">  </w:t>
      </w:r>
      <w:r w:rsidRPr="009D27AB">
        <w:rPr>
          <w:rFonts w:cs="Arial"/>
        </w:rPr>
        <w:t>Dar cuenta a la Asamblea General.</w:t>
      </w:r>
    </w:p>
    <w:p w:rsidR="001A0427" w:rsidRPr="009D27AB" w:rsidRDefault="001A0427" w:rsidP="001A0427">
      <w:pPr>
        <w:autoSpaceDE w:val="0"/>
        <w:autoSpaceDN w:val="0"/>
        <w:adjustRightInd w:val="0"/>
        <w:spacing w:line="360" w:lineRule="auto"/>
        <w:jc w:val="both"/>
        <w:rPr>
          <w:rFonts w:cs="Arial"/>
        </w:rPr>
      </w:pPr>
    </w:p>
    <w:p w:rsidR="00561B16" w:rsidRDefault="00D76AD4">
      <w:proofErr w:type="spellStart"/>
      <w:proofErr w:type="gramStart"/>
      <w:r w:rsidRPr="00D76AD4">
        <w:t>ag</w:t>
      </w:r>
      <w:proofErr w:type="spellEnd"/>
      <w:proofErr w:type="gramEnd"/>
    </w:p>
    <w:p w:rsidR="00353CBD" w:rsidRDefault="00353CBD"/>
    <w:p w:rsidR="00353CBD" w:rsidRDefault="00353CBD"/>
    <w:p w:rsidR="00353CBD" w:rsidRDefault="00353CBD"/>
    <w:p w:rsidR="00353CBD" w:rsidRDefault="00353CBD"/>
    <w:p w:rsidR="00353CBD" w:rsidRDefault="00353CBD"/>
    <w:p w:rsidR="00353CBD" w:rsidRDefault="00353CBD">
      <w:pPr>
        <w:pStyle w:val="Ttulo1"/>
        <w:suppressAutoHyphens/>
      </w:pPr>
      <w:bookmarkStart w:id="1" w:name="_Toc405566053"/>
      <w:r>
        <w:lastRenderedPageBreak/>
        <w:t>DICTAMEN</w:t>
      </w:r>
      <w:bookmarkEnd w:id="1"/>
    </w:p>
    <w:p w:rsidR="00353CBD" w:rsidRDefault="00353CBD">
      <w:pPr>
        <w:rPr>
          <w:lang w:val="es-ES_tradnl"/>
        </w:rPr>
      </w:pPr>
    </w:p>
    <w:p w:rsidR="00353CBD" w:rsidRPr="007D284F" w:rsidRDefault="00353CBD">
      <w:pPr>
        <w:rPr>
          <w:lang w:val="es-ES_tradnl"/>
        </w:rPr>
      </w:pPr>
    </w:p>
    <w:p w:rsidR="00353CBD" w:rsidRPr="00EC439A" w:rsidRDefault="00353CBD" w:rsidP="00EC439A">
      <w:pPr>
        <w:pStyle w:val="Textoindependiente"/>
      </w:pPr>
      <w:r w:rsidRPr="00EC439A">
        <w:t>El Tribunal de Cuentas ha examinado la Rendición de Cuentas y el Balance de Ejecución Presupuestal de la Intendencia de Artigas correspondiente al ejercicio 2015, que incluye los siguientes estados: de Ejecución Presupuestal con relación a los Créditos y a los Recursos, Resultado del Ejercicio, Resultado Acumulado y otros estados complementarios.</w:t>
      </w:r>
    </w:p>
    <w:p w:rsidR="00353CBD" w:rsidRPr="00EC439A" w:rsidRDefault="00353CBD" w:rsidP="00EC439A">
      <w:pPr>
        <w:pStyle w:val="Textoindependiente"/>
      </w:pPr>
      <w:r w:rsidRPr="00EC439A">
        <w:t>También se presentan, en caso de corresponder, los incumplimientos legales constatados por el Tribunal de Cuentas en el curso de la auditoría efectuada</w:t>
      </w:r>
      <w:r>
        <w:t>.</w:t>
      </w:r>
    </w:p>
    <w:p w:rsidR="00353CBD" w:rsidRDefault="00353CBD" w:rsidP="00D435E4">
      <w:pPr>
        <w:pStyle w:val="Textoindependiente"/>
      </w:pPr>
    </w:p>
    <w:p w:rsidR="00353CBD" w:rsidRDefault="00353CBD" w:rsidP="00EC439A">
      <w:pPr>
        <w:pStyle w:val="Subttulo"/>
        <w:widowControl w:val="0"/>
      </w:pPr>
      <w:r w:rsidRPr="00EC439A">
        <w:rPr>
          <w:rFonts w:ascii="Arial" w:hAnsi="Arial" w:cs="Arial"/>
        </w:rPr>
        <w:t>Responsabilidad de la Intendencia</w:t>
      </w:r>
    </w:p>
    <w:p w:rsidR="00353CBD" w:rsidRDefault="00353CBD" w:rsidP="00EC439A">
      <w:pPr>
        <w:pStyle w:val="Textoindependiente"/>
      </w:pPr>
      <w:r>
        <w:t>La Intendencia es responsable por la preparación y la razonable presentación de estos estados de acuerdo con la normativa vigente y con la Resolución de este Tribunal de fecha 28/01/2004. Esta responsabilidad incluye diseñar, implementar y mantener un sistema de control interno adecuado para la preparación y presentación razonable de estos estados que estén libres de errores significativos, ya sea debido a fraude o error, y seleccionar y aplicar políticas contables apropiadas.</w:t>
      </w:r>
    </w:p>
    <w:p w:rsidR="00353CBD" w:rsidRDefault="00353CBD" w:rsidP="00D435E4">
      <w:pPr>
        <w:pStyle w:val="Textoindependiente"/>
      </w:pPr>
    </w:p>
    <w:p w:rsidR="00353CBD" w:rsidRPr="00EC439A" w:rsidRDefault="00353CBD" w:rsidP="00EC439A">
      <w:pPr>
        <w:pStyle w:val="Textoindependiente"/>
        <w:rPr>
          <w:b/>
        </w:rPr>
      </w:pPr>
      <w:r w:rsidRPr="00EC439A">
        <w:rPr>
          <w:b/>
        </w:rPr>
        <w:t>Responsabilidad del auditor</w:t>
      </w:r>
    </w:p>
    <w:p w:rsidR="00353CBD" w:rsidRPr="00EC439A" w:rsidRDefault="00353CBD" w:rsidP="00EC439A">
      <w:pPr>
        <w:pStyle w:val="Textoindependiente"/>
      </w:pPr>
      <w:r>
        <w:t>La responsabilidad del Tribunal de Cuentas es expresar una opinión sobre dichos estados contables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estados contables están libres de errores significativos</w:t>
      </w:r>
    </w:p>
    <w:p w:rsidR="00353CBD" w:rsidRPr="00EC439A" w:rsidRDefault="00353CBD" w:rsidP="00EC439A">
      <w:pPr>
        <w:pStyle w:val="Textoindependiente"/>
      </w:pPr>
      <w: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353CBD" w:rsidRPr="00EC439A" w:rsidRDefault="00353CBD" w:rsidP="00EC439A">
      <w:pPr>
        <w:pStyle w:val="Textoindependiente"/>
      </w:pPr>
      <w:r>
        <w:t>Se considera que la evidencia de auditoría obtenida brinda una base suficiente y apropiada para sustentar la opinión.</w:t>
      </w:r>
    </w:p>
    <w:p w:rsidR="00353CBD" w:rsidRDefault="00353CBD">
      <w:pPr>
        <w:pStyle w:val="Subttulo"/>
        <w:widowControl w:val="0"/>
        <w:rPr>
          <w:rFonts w:ascii="Arial" w:hAnsi="Arial"/>
        </w:rPr>
      </w:pPr>
    </w:p>
    <w:p w:rsidR="00353CBD" w:rsidRPr="00E77077" w:rsidRDefault="00353CBD">
      <w:pPr>
        <w:pStyle w:val="Subttulo"/>
        <w:widowControl w:val="0"/>
        <w:rPr>
          <w:rFonts w:ascii="Arial" w:hAnsi="Arial"/>
        </w:rPr>
      </w:pPr>
      <w:r w:rsidRPr="00E77077">
        <w:rPr>
          <w:rFonts w:ascii="Arial" w:hAnsi="Arial"/>
        </w:rPr>
        <w:t>Bases para la calificación de opinión</w:t>
      </w:r>
    </w:p>
    <w:p w:rsidR="00353CBD" w:rsidRPr="00E77077" w:rsidRDefault="00353CBD" w:rsidP="00D435E4">
      <w:pPr>
        <w:pStyle w:val="Textoindependiente"/>
      </w:pPr>
      <w:r w:rsidRPr="00E77077">
        <w:t xml:space="preserve">La Intendencia presentó en el Estado de Resultado del Ejercicio, gastos por diferencias de cotización por $ 57:568.163 e intereses financieros por               $ 6:345.477, los cuales no fueron imputados a los objetos presupuestales correspondientes. </w:t>
      </w:r>
    </w:p>
    <w:p w:rsidR="00353CBD" w:rsidRPr="00E77077" w:rsidRDefault="00353CBD" w:rsidP="00D435E4">
      <w:pPr>
        <w:pStyle w:val="Textoindependiente"/>
      </w:pPr>
      <w:r w:rsidRPr="00E77077">
        <w:t>Asimismo, se consideraron como gastos extrapresupuestales $ 52:291.825, sin tener una contrapartida de ingresos no prevista en el Presupuesto. La exposición de los gastos no se realizó correctamente, por cuanto debieron ser imputados en los objetos de gastos respectivos, y no como egresos extrapresupuestales.</w:t>
      </w:r>
    </w:p>
    <w:p w:rsidR="00353CBD" w:rsidRDefault="00353CBD" w:rsidP="00D435E4">
      <w:pPr>
        <w:pStyle w:val="Textoindependiente"/>
      </w:pPr>
      <w:r w:rsidRPr="00E77077">
        <w:t>Por lo expuesto, el "Estado de Ejecución Presupuestal de Gastos" no presenta adecuadamente los importes gastados por todos los conceptos, afectando en consecuencia los montos presentados como gastados en más y en menos, respecto de los créditos presupuestales autorizados.</w:t>
      </w:r>
      <w:r w:rsidRPr="00E77077">
        <w:tab/>
        <w:t xml:space="preserve"> </w:t>
      </w:r>
    </w:p>
    <w:p w:rsidR="00353CBD" w:rsidRDefault="00353CBD" w:rsidP="00D435E4">
      <w:pPr>
        <w:pStyle w:val="Textoindependiente"/>
      </w:pPr>
    </w:p>
    <w:p w:rsidR="00353CBD" w:rsidRDefault="00353CBD">
      <w:pPr>
        <w:pStyle w:val="Subttulo"/>
        <w:widowControl w:val="0"/>
        <w:rPr>
          <w:rFonts w:ascii="Arial" w:hAnsi="Arial" w:cs="Arial"/>
        </w:rPr>
      </w:pPr>
    </w:p>
    <w:p w:rsidR="00353CBD" w:rsidRDefault="00353CBD">
      <w:pPr>
        <w:pStyle w:val="Subttulo"/>
        <w:widowControl w:val="0"/>
      </w:pPr>
      <w:r>
        <w:rPr>
          <w:rFonts w:ascii="Arial" w:hAnsi="Arial" w:cs="Arial"/>
        </w:rPr>
        <w:t>Opinión</w:t>
      </w:r>
    </w:p>
    <w:p w:rsidR="00353CBD" w:rsidRPr="00EB7113" w:rsidRDefault="00353CBD" w:rsidP="00D435E4">
      <w:pPr>
        <w:pStyle w:val="Textoindependiente"/>
      </w:pPr>
      <w:r>
        <w:t xml:space="preserve">En opinión del Tribunal de Cuentas, </w:t>
      </w:r>
      <w:r w:rsidRPr="00EB7113">
        <w:t xml:space="preserve">los estados mencionados presentan razonablemente, en todos sus aspectos importantes, la ejecución de los recursos, el resultado del </w:t>
      </w:r>
      <w:r>
        <w:t>E</w:t>
      </w:r>
      <w:r w:rsidRPr="00EB7113">
        <w:t>jercicio y el resultado acumulado al 31/12/1</w:t>
      </w:r>
      <w:r>
        <w:t>5</w:t>
      </w:r>
      <w:r w:rsidRPr="00EB7113">
        <w:t>, de acuerdo con las normas establecidas en el TOCAF y la Resolución de este Tribunal de fecha 28/01/2004.</w:t>
      </w:r>
    </w:p>
    <w:p w:rsidR="00353CBD" w:rsidRDefault="00353CBD" w:rsidP="00D435E4">
      <w:pPr>
        <w:pStyle w:val="Textoindependiente"/>
      </w:pPr>
      <w:r w:rsidRPr="00EB7113">
        <w:t xml:space="preserve">Excepto por lo señalado en el párrafo </w:t>
      </w:r>
      <w:r>
        <w:t xml:space="preserve">“Bases </w:t>
      </w:r>
      <w:r w:rsidRPr="00EB7113">
        <w:t>para la calificación de opinión</w:t>
      </w:r>
      <w:r>
        <w:t>”</w:t>
      </w:r>
      <w:r w:rsidRPr="00EB7113">
        <w:t>, el estado de ejecución presupuestal con relación a los créditos</w:t>
      </w:r>
      <w:r>
        <w:t>,</w:t>
      </w:r>
      <w:r w:rsidRPr="00EB7113">
        <w:t xml:space="preserve"> presenta razonablemente, en todos sus aspectos importantes, la ejecución de los créditos de acuerdo con las</w:t>
      </w:r>
      <w:r>
        <w:t xml:space="preserve"> normas establecidas en el TOCAF y </w:t>
      </w:r>
      <w:smartTag w:uri="urn:schemas-microsoft-com:office:smarttags" w:element="PersonName">
        <w:smartTagPr>
          <w:attr w:name="ProductID" w:val="la Resoluci￳n"/>
        </w:smartTagPr>
        <w:r>
          <w:t>la Resolución</w:t>
        </w:r>
      </w:smartTag>
      <w:r>
        <w:t xml:space="preserve"> de este Tribunal de fecha 28/01/04.</w:t>
      </w:r>
    </w:p>
    <w:p w:rsidR="00353CBD" w:rsidRDefault="00353CBD" w:rsidP="00D435E4">
      <w:pPr>
        <w:pStyle w:val="Textoindependiente"/>
      </w:pPr>
    </w:p>
    <w:p w:rsidR="00353CBD" w:rsidRDefault="00353CBD">
      <w:pPr>
        <w:pStyle w:val="Subttulo"/>
        <w:widowControl w:val="0"/>
        <w:rPr>
          <w:rFonts w:ascii="Arial" w:hAnsi="Arial" w:cs="Arial"/>
          <w:b w:val="0"/>
        </w:rPr>
      </w:pPr>
      <w:r>
        <w:rPr>
          <w:rFonts w:ascii="Arial" w:hAnsi="Arial" w:cs="Arial"/>
          <w:b w:val="0"/>
        </w:rPr>
        <w:t>Con relación a la normativa vigente, en el curso de la auditoría se han constatado los siguientes incumplimientos:</w:t>
      </w:r>
    </w:p>
    <w:p w:rsidR="00353CBD" w:rsidRPr="00E77077" w:rsidRDefault="00353CBD" w:rsidP="00E77077">
      <w:pPr>
        <w:pStyle w:val="Subttulo"/>
        <w:widowControl w:val="0"/>
        <w:rPr>
          <w:rFonts w:ascii="Arial" w:hAnsi="Arial" w:cs="Arial"/>
        </w:rPr>
      </w:pPr>
      <w:r w:rsidRPr="00E77077">
        <w:rPr>
          <w:rFonts w:ascii="Arial" w:hAnsi="Arial" w:cs="Arial"/>
        </w:rPr>
        <w:t xml:space="preserve">1- Artículo 86 de la Constitución de la República: </w:t>
      </w:r>
      <w:r w:rsidRPr="00E77077">
        <w:rPr>
          <w:rFonts w:ascii="Arial" w:hAnsi="Arial" w:cs="Arial"/>
          <w:b w:val="0"/>
          <w:kern w:val="0"/>
        </w:rPr>
        <w:t>S</w:t>
      </w:r>
      <w:r w:rsidRPr="00E77077">
        <w:rPr>
          <w:rFonts w:ascii="Arial" w:hAnsi="Arial" w:cs="Arial"/>
          <w:b w:val="0"/>
          <w:kern w:val="0"/>
          <w:lang w:val="es-ES_tradnl"/>
        </w:rPr>
        <w:t xml:space="preserve">e pagaron partidas por diferencias de sueldo y horas extras que no fueron previstas en una instancia presupuestal. Si bien para la determinación de las horas extras se aplica un convenio colectivo firmado el 17/09/2010, el mismo no ha sido recogido en ninguna instancia presupuestal. </w:t>
      </w:r>
    </w:p>
    <w:p w:rsidR="00353CBD" w:rsidRPr="00C91792" w:rsidRDefault="00353CBD" w:rsidP="00E77077">
      <w:pPr>
        <w:pStyle w:val="Subttulo"/>
        <w:widowControl w:val="0"/>
        <w:rPr>
          <w:rFonts w:ascii="Arial" w:hAnsi="Arial" w:cs="Arial"/>
        </w:rPr>
      </w:pPr>
      <w:r w:rsidRPr="00C91792">
        <w:rPr>
          <w:rFonts w:ascii="Arial" w:hAnsi="Arial" w:cs="Arial"/>
        </w:rPr>
        <w:t xml:space="preserve">2- </w:t>
      </w:r>
      <w:r>
        <w:rPr>
          <w:rFonts w:ascii="Arial" w:hAnsi="Arial" w:cs="Arial"/>
        </w:rPr>
        <w:t>Artículo 211 L</w:t>
      </w:r>
      <w:r w:rsidRPr="00C91792">
        <w:rPr>
          <w:rFonts w:ascii="Arial" w:hAnsi="Arial" w:cs="Arial"/>
        </w:rPr>
        <w:t xml:space="preserve">iteral </w:t>
      </w:r>
      <w:r>
        <w:rPr>
          <w:rFonts w:ascii="Arial" w:hAnsi="Arial" w:cs="Arial"/>
        </w:rPr>
        <w:t>B</w:t>
      </w:r>
      <w:r w:rsidRPr="00C91792">
        <w:rPr>
          <w:rFonts w:ascii="Arial" w:hAnsi="Arial" w:cs="Arial"/>
        </w:rPr>
        <w:t xml:space="preserve">) </w:t>
      </w:r>
      <w:r>
        <w:rPr>
          <w:rFonts w:ascii="Arial" w:hAnsi="Arial" w:cs="Arial"/>
        </w:rPr>
        <w:t xml:space="preserve">de la </w:t>
      </w:r>
      <w:r w:rsidRPr="00C91792">
        <w:rPr>
          <w:rFonts w:ascii="Arial" w:hAnsi="Arial" w:cs="Arial"/>
        </w:rPr>
        <w:t>Constitución de la República:</w:t>
      </w:r>
    </w:p>
    <w:p w:rsidR="00353CBD" w:rsidRPr="00C91792" w:rsidRDefault="00353CBD" w:rsidP="00E77077">
      <w:pPr>
        <w:pStyle w:val="Subttulo"/>
        <w:widowControl w:val="0"/>
        <w:rPr>
          <w:rFonts w:ascii="Arial" w:hAnsi="Arial" w:cs="Arial"/>
          <w:b w:val="0"/>
          <w:kern w:val="0"/>
          <w:lang w:val="es-ES_tradnl"/>
        </w:rPr>
      </w:pPr>
      <w:r w:rsidRPr="00C91792">
        <w:rPr>
          <w:rFonts w:ascii="Arial" w:hAnsi="Arial" w:cs="Arial"/>
          <w:b w:val="0"/>
          <w:kern w:val="0"/>
          <w:lang w:val="es-ES_tradnl"/>
        </w:rPr>
        <w:t xml:space="preserve">En algunas licitaciones abreviadas, la intervención del Tribunal de Cuentas no fue previa al gasto. </w:t>
      </w:r>
    </w:p>
    <w:p w:rsidR="00353CBD" w:rsidRDefault="00353CBD" w:rsidP="00E77077">
      <w:pPr>
        <w:pStyle w:val="Subttulo"/>
        <w:widowControl w:val="0"/>
        <w:rPr>
          <w:rFonts w:ascii="Arial" w:hAnsi="Arial" w:cs="Arial"/>
          <w:b w:val="0"/>
        </w:rPr>
      </w:pPr>
      <w:r>
        <w:rPr>
          <w:rFonts w:ascii="Arial" w:hAnsi="Arial" w:cs="Arial"/>
        </w:rPr>
        <w:t>3</w:t>
      </w:r>
      <w:r w:rsidRPr="00E77077">
        <w:rPr>
          <w:rFonts w:ascii="Arial" w:hAnsi="Arial" w:cs="Arial"/>
        </w:rPr>
        <w:t xml:space="preserve">- Artículos 225 y 227 de la Constitución de la República y Ordenanza     N° 71 del Tribunal de Cuentas: </w:t>
      </w:r>
      <w:r w:rsidRPr="00E77077">
        <w:rPr>
          <w:rFonts w:ascii="Arial" w:hAnsi="Arial" w:cs="Arial"/>
          <w:b w:val="0"/>
        </w:rPr>
        <w:t xml:space="preserve">No se realizaron los ajustes correspondientes a efectos de subsanar las observaciones efectuadas por este Tribunal al Presupuesto Quinquenal 2011-2015 y a la Modificación Presupuestal </w:t>
      </w:r>
      <w:r>
        <w:rPr>
          <w:rFonts w:ascii="Arial" w:hAnsi="Arial" w:cs="Arial"/>
          <w:b w:val="0"/>
        </w:rPr>
        <w:t xml:space="preserve">                                 </w:t>
      </w:r>
      <w:r w:rsidRPr="00E77077">
        <w:rPr>
          <w:rFonts w:ascii="Arial" w:hAnsi="Arial" w:cs="Arial"/>
          <w:b w:val="0"/>
        </w:rPr>
        <w:t xml:space="preserve">2013-2015 de la Intendencia, que fueron aceptadas por la Junta Departamental. </w:t>
      </w:r>
    </w:p>
    <w:p w:rsidR="00353CBD" w:rsidRPr="00E77077" w:rsidRDefault="00353CBD" w:rsidP="00E77077">
      <w:pPr>
        <w:pStyle w:val="Subttulo"/>
        <w:widowControl w:val="0"/>
        <w:rPr>
          <w:rFonts w:ascii="Arial" w:hAnsi="Arial" w:cs="Arial"/>
        </w:rPr>
      </w:pPr>
      <w:r>
        <w:rPr>
          <w:rFonts w:ascii="Arial" w:hAnsi="Arial" w:cs="Arial"/>
        </w:rPr>
        <w:t>4-</w:t>
      </w:r>
      <w:r w:rsidRPr="00E77077">
        <w:rPr>
          <w:rFonts w:ascii="Arial" w:hAnsi="Arial" w:cs="Arial"/>
        </w:rPr>
        <w:t xml:space="preserve"> Artículo 297 Numeral 1 de la Constitución de la República: </w:t>
      </w:r>
      <w:r w:rsidRPr="00E77077">
        <w:rPr>
          <w:rFonts w:ascii="Arial" w:hAnsi="Arial" w:cs="Arial"/>
          <w:b w:val="0"/>
          <w:kern w:val="0"/>
          <w:lang w:val="es-ES_tradnl"/>
        </w:rPr>
        <w:t>La Intendencia otorgó bonificaciones a la Contribución Inmobiliaria Rural, lo cual excede la potestad tributaria del Gobierno Departamental. 500-8</w:t>
      </w:r>
    </w:p>
    <w:p w:rsidR="00353CBD" w:rsidRPr="002909A6" w:rsidRDefault="00353CBD" w:rsidP="00E77077">
      <w:pPr>
        <w:tabs>
          <w:tab w:val="left" w:pos="0"/>
        </w:tabs>
        <w:spacing w:line="360" w:lineRule="auto"/>
        <w:jc w:val="both"/>
        <w:rPr>
          <w:rFonts w:cs="Arial"/>
          <w:b/>
          <w:lang w:val="es-UY" w:eastAsia="es-UY"/>
        </w:rPr>
      </w:pPr>
      <w:r>
        <w:rPr>
          <w:rFonts w:cs="Arial"/>
          <w:b/>
          <w:lang w:val="es-UY" w:eastAsia="es-UY"/>
        </w:rPr>
        <w:t>5-</w:t>
      </w:r>
      <w:r w:rsidRPr="002909A6">
        <w:rPr>
          <w:rFonts w:cs="Arial"/>
          <w:b/>
          <w:lang w:val="es-UY" w:eastAsia="es-UY"/>
        </w:rPr>
        <w:t xml:space="preserve"> Artículos 3  y 12 de</w:t>
      </w:r>
      <w:r>
        <w:rPr>
          <w:rFonts w:cs="Arial"/>
          <w:b/>
          <w:lang w:val="es-UY" w:eastAsia="es-UY"/>
        </w:rPr>
        <w:t>l TOCAF y Ordenanza N° 84 del Tribunal de Cuentas</w:t>
      </w:r>
      <w:r w:rsidRPr="002909A6">
        <w:rPr>
          <w:rFonts w:cs="Arial"/>
          <w:b/>
          <w:lang w:val="es-UY" w:eastAsia="es-UY"/>
        </w:rPr>
        <w:t>:</w:t>
      </w:r>
      <w:r>
        <w:rPr>
          <w:rFonts w:cs="Arial"/>
          <w:b/>
          <w:lang w:val="es-UY" w:eastAsia="es-UY"/>
        </w:rPr>
        <w:t xml:space="preserve"> </w:t>
      </w:r>
      <w:r w:rsidRPr="002909A6">
        <w:rPr>
          <w:rFonts w:cs="Arial"/>
          <w:lang w:val="es-UY" w:eastAsia="es-UY"/>
        </w:rPr>
        <w:t>Dentro del saldo de Banco y asimismo formando parte de los Recursos, en "Ing</w:t>
      </w:r>
      <w:r w:rsidRPr="00E77077">
        <w:rPr>
          <w:rFonts w:cs="Arial"/>
          <w:lang w:val="es-UY" w:eastAsia="es-UY"/>
        </w:rPr>
        <w:t>resos eventuales", se incluyen</w:t>
      </w:r>
      <w:r w:rsidRPr="002909A6">
        <w:rPr>
          <w:rFonts w:cs="Arial"/>
          <w:lang w:val="es-UY" w:eastAsia="es-UY"/>
        </w:rPr>
        <w:t xml:space="preserve"> garantías recibidas mediante depósitos bancarios de los proveedores, por lo que se consideran recursos de la Intendencia, cuando en realidad se encuentran en custodia. Asimismo, los recursos no son presentados con arreglo a la Ordenanza 84 del Tribunal de Cuentas.</w:t>
      </w:r>
    </w:p>
    <w:p w:rsidR="00353CBD" w:rsidRPr="00E77077" w:rsidRDefault="00353CBD" w:rsidP="00E77077">
      <w:pPr>
        <w:pStyle w:val="Subttulo"/>
        <w:widowControl w:val="0"/>
        <w:rPr>
          <w:rFonts w:ascii="Arial" w:hAnsi="Arial" w:cs="Arial"/>
        </w:rPr>
      </w:pPr>
      <w:r w:rsidRPr="00E77077">
        <w:rPr>
          <w:rFonts w:ascii="Arial" w:hAnsi="Arial" w:cs="Arial"/>
        </w:rPr>
        <w:t>6</w:t>
      </w:r>
      <w:r>
        <w:rPr>
          <w:rFonts w:ascii="Arial" w:hAnsi="Arial" w:cs="Arial"/>
        </w:rPr>
        <w:t>-</w:t>
      </w:r>
      <w:r w:rsidRPr="00E77077">
        <w:rPr>
          <w:rFonts w:ascii="Arial" w:hAnsi="Arial" w:cs="Arial"/>
        </w:rPr>
        <w:t xml:space="preserve"> Artículos 4, 5 y 11 del TOCAF: </w:t>
      </w:r>
      <w:r w:rsidRPr="00E77077">
        <w:rPr>
          <w:rFonts w:ascii="Arial" w:hAnsi="Arial" w:cs="Arial"/>
          <w:b w:val="0"/>
        </w:rPr>
        <w:t xml:space="preserve">Durante el </w:t>
      </w:r>
      <w:r>
        <w:rPr>
          <w:rFonts w:ascii="Arial" w:hAnsi="Arial" w:cs="Arial"/>
          <w:b w:val="0"/>
        </w:rPr>
        <w:t>E</w:t>
      </w:r>
      <w:r w:rsidRPr="00E77077">
        <w:rPr>
          <w:rFonts w:ascii="Arial" w:hAnsi="Arial" w:cs="Arial"/>
          <w:b w:val="0"/>
        </w:rPr>
        <w:t>jercicio 2015 no se depositó el importe total de las recaudaciones, realizando pagos con dichos fondos.</w:t>
      </w:r>
    </w:p>
    <w:p w:rsidR="00353CBD" w:rsidRPr="00E77077" w:rsidRDefault="00353CBD" w:rsidP="00E77077">
      <w:pPr>
        <w:pStyle w:val="Subttulo"/>
        <w:widowControl w:val="0"/>
        <w:rPr>
          <w:rFonts w:ascii="Arial" w:hAnsi="Arial" w:cs="Arial"/>
        </w:rPr>
      </w:pPr>
      <w:r w:rsidRPr="00E77077">
        <w:rPr>
          <w:rFonts w:ascii="Arial" w:hAnsi="Arial" w:cs="Arial"/>
        </w:rPr>
        <w:t xml:space="preserve">7- Artículo 14 del TOCAF: </w:t>
      </w:r>
      <w:r w:rsidRPr="00E77077">
        <w:rPr>
          <w:rFonts w:ascii="Arial" w:hAnsi="Arial" w:cs="Arial"/>
          <w:b w:val="0"/>
        </w:rPr>
        <w:t xml:space="preserve">La Intendencia no imputó a los objetos presupuestales correspondientes, pérdidas por diferencias de cotización, intereses  financieros y gastos incluidos en el Estado de Fondos </w:t>
      </w:r>
      <w:r>
        <w:rPr>
          <w:rFonts w:ascii="Arial" w:hAnsi="Arial" w:cs="Arial"/>
          <w:b w:val="0"/>
        </w:rPr>
        <w:t>E</w:t>
      </w:r>
      <w:r w:rsidRPr="00E77077">
        <w:rPr>
          <w:rFonts w:ascii="Arial" w:hAnsi="Arial" w:cs="Arial"/>
          <w:b w:val="0"/>
        </w:rPr>
        <w:t>xtrapresupuestales que no tienen una contrapartida de ingresos no prevista presupuestalmente. Asimismo, se constató que se autorizaron ingresos de funcionarios en forma posterior al inicio efectivo a sus tareas, y que, las compras correspondientes a combustibles fueron ordenadas con posterioridad a haber sido efectuadas.</w:t>
      </w:r>
    </w:p>
    <w:p w:rsidR="00353CBD" w:rsidRPr="00E77077" w:rsidRDefault="00353CBD" w:rsidP="00E77077">
      <w:pPr>
        <w:pStyle w:val="Subttulo"/>
        <w:widowControl w:val="0"/>
        <w:rPr>
          <w:rFonts w:ascii="Arial" w:hAnsi="Arial" w:cs="Arial"/>
        </w:rPr>
      </w:pPr>
      <w:r w:rsidRPr="00E77077">
        <w:rPr>
          <w:rFonts w:ascii="Arial" w:hAnsi="Arial" w:cs="Arial"/>
        </w:rPr>
        <w:t>8- Artículo 20 del TOCAF:</w:t>
      </w:r>
      <w:r>
        <w:rPr>
          <w:rFonts w:ascii="Arial" w:hAnsi="Arial" w:cs="Arial"/>
        </w:rPr>
        <w:t xml:space="preserve"> </w:t>
      </w:r>
      <w:r w:rsidRPr="00E77077">
        <w:rPr>
          <w:rFonts w:ascii="Arial" w:hAnsi="Arial" w:cs="Arial"/>
          <w:b w:val="0"/>
        </w:rPr>
        <w:t xml:space="preserve">Debido al sistema de registro que se ha venido utilizando en la Intendencia, las adquisiciones se contabilizan en base a las órdenes de compra que se emiten, por lo que, al cierre del ejercicio existen gastos imputados en los que aún no se cumplió íntegramente el proceso de compra. Asimismo, algunos gastos ejecutados no fueron reconocidos por su devengamiento, sino al momento de su pago. </w:t>
      </w:r>
    </w:p>
    <w:p w:rsidR="00353CBD" w:rsidRPr="00E77077" w:rsidRDefault="00353CBD" w:rsidP="00E77077">
      <w:pPr>
        <w:pStyle w:val="Subttulo"/>
        <w:widowControl w:val="0"/>
        <w:rPr>
          <w:rFonts w:ascii="Arial" w:hAnsi="Arial" w:cs="Arial"/>
        </w:rPr>
      </w:pPr>
      <w:r w:rsidRPr="00E77077">
        <w:rPr>
          <w:rFonts w:ascii="Arial" w:hAnsi="Arial" w:cs="Arial"/>
        </w:rPr>
        <w:t xml:space="preserve">9- Artículo 33 del TOCAF: </w:t>
      </w:r>
      <w:r w:rsidRPr="00E77077">
        <w:rPr>
          <w:rFonts w:ascii="Arial" w:hAnsi="Arial" w:cs="Arial"/>
          <w:b w:val="0"/>
        </w:rPr>
        <w:t>Se efectuaron contrataciones sin utilizar el procedimiento que hubiera correspondido de acuerdo a su monto.</w:t>
      </w:r>
    </w:p>
    <w:p w:rsidR="00353CBD" w:rsidRPr="00E77077" w:rsidRDefault="00353CBD" w:rsidP="00E77077">
      <w:pPr>
        <w:pStyle w:val="Subttulo"/>
        <w:widowControl w:val="0"/>
        <w:rPr>
          <w:rFonts w:ascii="Arial" w:hAnsi="Arial" w:cs="Arial"/>
          <w:b w:val="0"/>
        </w:rPr>
      </w:pPr>
      <w:r w:rsidRPr="00E77077">
        <w:rPr>
          <w:rFonts w:ascii="Arial" w:hAnsi="Arial" w:cs="Arial"/>
        </w:rPr>
        <w:t>10- Artículo 40 del TOCAF:</w:t>
      </w:r>
      <w:r w:rsidRPr="00E77077">
        <w:rPr>
          <w:rFonts w:ascii="Arial" w:hAnsi="Arial" w:cs="Arial"/>
          <w:b w:val="0"/>
        </w:rPr>
        <w:t xml:space="preserve"> Existen inmuebles arrendados por la Intendencia sin contrato vigente y para los cuales no se solicitó previamente la tasación técnica correspondiente. </w:t>
      </w:r>
    </w:p>
    <w:p w:rsidR="00353CBD" w:rsidRPr="00C91792" w:rsidRDefault="00353CBD" w:rsidP="00E77077">
      <w:pPr>
        <w:pStyle w:val="Subttulo"/>
        <w:widowControl w:val="0"/>
        <w:rPr>
          <w:rFonts w:ascii="Arial" w:hAnsi="Arial" w:cs="Arial"/>
          <w:b w:val="0"/>
        </w:rPr>
      </w:pPr>
      <w:r w:rsidRPr="00C91792">
        <w:rPr>
          <w:rFonts w:ascii="Arial" w:hAnsi="Arial" w:cs="Arial"/>
        </w:rPr>
        <w:t xml:space="preserve">11- Artículo 48 penúltimo Inciso del TOCAF: </w:t>
      </w:r>
      <w:r w:rsidRPr="00C91792">
        <w:rPr>
          <w:rFonts w:ascii="Arial" w:hAnsi="Arial" w:cs="Arial"/>
          <w:b w:val="0"/>
        </w:rPr>
        <w:t xml:space="preserve">Se realizaron licitaciones abreviadas en cuyos pliegos de condiciones se exigieron a los oferentes, requisitos que debieron ser solicitados sólo al adjudicatario. </w:t>
      </w:r>
    </w:p>
    <w:p w:rsidR="00353CBD" w:rsidRPr="00E77077" w:rsidRDefault="00353CBD" w:rsidP="00E77077">
      <w:pPr>
        <w:pStyle w:val="Subttulo"/>
        <w:widowControl w:val="0"/>
        <w:rPr>
          <w:rFonts w:ascii="Arial" w:hAnsi="Arial" w:cs="Arial"/>
          <w:b w:val="0"/>
        </w:rPr>
      </w:pPr>
      <w:r w:rsidRPr="00C91792">
        <w:rPr>
          <w:rFonts w:ascii="Arial" w:hAnsi="Arial" w:cs="Arial"/>
        </w:rPr>
        <w:t>12-  Artículo 48 Literal C)  del TOCAF:</w:t>
      </w:r>
      <w:r w:rsidRPr="00C91792">
        <w:rPr>
          <w:rFonts w:ascii="Arial" w:hAnsi="Arial" w:cs="Arial"/>
          <w:b w:val="0"/>
        </w:rPr>
        <w:t xml:space="preserve"> Se realizaron licitaciones abreviadas en cuyos pliegos de condiciones no se establecieron los factores de ponderación para evaluar las ofertas presentadas.</w:t>
      </w:r>
    </w:p>
    <w:p w:rsidR="00353CBD" w:rsidRPr="00E77077" w:rsidRDefault="00353CBD" w:rsidP="00E77077">
      <w:pPr>
        <w:pStyle w:val="Subttulo"/>
        <w:widowControl w:val="0"/>
        <w:rPr>
          <w:rFonts w:ascii="Arial" w:hAnsi="Arial" w:cs="Arial"/>
        </w:rPr>
      </w:pPr>
      <w:r w:rsidRPr="00E77077">
        <w:rPr>
          <w:rFonts w:ascii="Arial" w:hAnsi="Arial" w:cs="Arial"/>
        </w:rPr>
        <w:t xml:space="preserve">13-. Artículos 84 y 97 del TOCAF: </w:t>
      </w:r>
      <w:r w:rsidRPr="00E77077">
        <w:rPr>
          <w:rFonts w:ascii="Arial" w:hAnsi="Arial" w:cs="Arial"/>
          <w:b w:val="0"/>
        </w:rPr>
        <w:t xml:space="preserve">No se dispone de inventario valuado de los bienes existentes en las dependencias de la Intendencia. </w:t>
      </w:r>
    </w:p>
    <w:p w:rsidR="00353CBD" w:rsidRPr="00E77077" w:rsidRDefault="00353CBD" w:rsidP="00E77077">
      <w:pPr>
        <w:pStyle w:val="Subttulo"/>
        <w:widowControl w:val="0"/>
        <w:rPr>
          <w:rFonts w:ascii="Arial" w:hAnsi="Arial" w:cs="Arial"/>
        </w:rPr>
      </w:pPr>
      <w:r w:rsidRPr="00E77077">
        <w:rPr>
          <w:rFonts w:ascii="Arial" w:hAnsi="Arial" w:cs="Arial"/>
        </w:rPr>
        <w:t>1</w:t>
      </w:r>
      <w:r>
        <w:rPr>
          <w:rFonts w:ascii="Arial" w:hAnsi="Arial" w:cs="Arial"/>
        </w:rPr>
        <w:t>4-</w:t>
      </w:r>
      <w:r w:rsidRPr="00E77077">
        <w:rPr>
          <w:rFonts w:ascii="Arial" w:hAnsi="Arial" w:cs="Arial"/>
        </w:rPr>
        <w:t xml:space="preserve"> Artículos 90 y 154 del TOCAF:</w:t>
      </w:r>
      <w:r>
        <w:rPr>
          <w:rFonts w:ascii="Arial" w:hAnsi="Arial" w:cs="Arial"/>
        </w:rPr>
        <w:t xml:space="preserve"> </w:t>
      </w:r>
      <w:r w:rsidRPr="00E77077">
        <w:rPr>
          <w:rFonts w:ascii="Arial" w:hAnsi="Arial" w:cs="Arial"/>
          <w:b w:val="0"/>
        </w:rPr>
        <w:t>La Intendencia no contrató seguro de caución de fidelidad para todos los funcionarios que manejan o custodian fondos</w:t>
      </w:r>
      <w:r>
        <w:rPr>
          <w:rFonts w:ascii="Arial" w:hAnsi="Arial" w:cs="Arial"/>
          <w:b w:val="0"/>
        </w:rPr>
        <w:t xml:space="preserve"> o valores</w:t>
      </w:r>
      <w:r w:rsidRPr="00E77077">
        <w:rPr>
          <w:rFonts w:ascii="Arial" w:hAnsi="Arial" w:cs="Arial"/>
          <w:b w:val="0"/>
        </w:rPr>
        <w:t xml:space="preserve">. </w:t>
      </w:r>
    </w:p>
    <w:p w:rsidR="00353CBD" w:rsidRPr="00C91792" w:rsidRDefault="00353CBD" w:rsidP="00E77077">
      <w:pPr>
        <w:pStyle w:val="Subttulo"/>
        <w:widowControl w:val="0"/>
        <w:rPr>
          <w:rFonts w:ascii="Arial" w:hAnsi="Arial" w:cs="Arial"/>
        </w:rPr>
      </w:pPr>
      <w:r>
        <w:rPr>
          <w:rFonts w:ascii="Arial" w:hAnsi="Arial" w:cs="Arial"/>
        </w:rPr>
        <w:t>15-</w:t>
      </w:r>
      <w:r w:rsidRPr="00E77077">
        <w:rPr>
          <w:rFonts w:ascii="Arial" w:hAnsi="Arial" w:cs="Arial"/>
        </w:rPr>
        <w:t xml:space="preserve"> Artículo 94 del TOCAF y Ordenanza N° 81 del Tribunal de Cuentas:</w:t>
      </w:r>
      <w:r>
        <w:rPr>
          <w:rFonts w:ascii="Arial" w:hAnsi="Arial" w:cs="Arial"/>
        </w:rPr>
        <w:t xml:space="preserve"> </w:t>
      </w:r>
      <w:r w:rsidRPr="00E77077">
        <w:rPr>
          <w:rFonts w:ascii="Arial" w:hAnsi="Arial" w:cs="Arial"/>
          <w:b w:val="0"/>
        </w:rPr>
        <w:t xml:space="preserve">La Intendencia no cuenta con un sistema de contabilidad patrimonial que le </w:t>
      </w:r>
      <w:r w:rsidRPr="00C91792">
        <w:rPr>
          <w:rFonts w:ascii="Arial" w:hAnsi="Arial" w:cs="Arial"/>
          <w:b w:val="0"/>
        </w:rPr>
        <w:t xml:space="preserve">permita cumplir con lo dispuesto por las citadas normas. </w:t>
      </w:r>
    </w:p>
    <w:p w:rsidR="00353CBD" w:rsidRPr="00C91792" w:rsidRDefault="00353CBD" w:rsidP="00E77077">
      <w:pPr>
        <w:pStyle w:val="Subttulo"/>
        <w:widowControl w:val="0"/>
        <w:rPr>
          <w:rFonts w:ascii="Arial" w:hAnsi="Arial" w:cs="Arial"/>
        </w:rPr>
      </w:pPr>
      <w:r w:rsidRPr="00C91792">
        <w:rPr>
          <w:rFonts w:ascii="Arial" w:hAnsi="Arial" w:cs="Arial"/>
        </w:rPr>
        <w:t xml:space="preserve">16- Artículo 111 </w:t>
      </w:r>
      <w:r>
        <w:rPr>
          <w:rFonts w:ascii="Arial" w:hAnsi="Arial" w:cs="Arial"/>
        </w:rPr>
        <w:t>N</w:t>
      </w:r>
      <w:r w:rsidRPr="00C91792">
        <w:rPr>
          <w:rFonts w:ascii="Arial" w:hAnsi="Arial" w:cs="Arial"/>
        </w:rPr>
        <w:t xml:space="preserve">umeral 6) del TOCAF: </w:t>
      </w:r>
      <w:r w:rsidRPr="00C91792">
        <w:rPr>
          <w:rFonts w:ascii="Arial" w:hAnsi="Arial" w:cs="Arial"/>
          <w:b w:val="0"/>
        </w:rPr>
        <w:t xml:space="preserve">No se ha dado cumplimiento con lo establecido en dicha norma debido a que la unidad de Auditoría Interna de la Intendencia no estuvo operativa durante todo el </w:t>
      </w:r>
      <w:r>
        <w:rPr>
          <w:rFonts w:ascii="Arial" w:hAnsi="Arial" w:cs="Arial"/>
          <w:b w:val="0"/>
        </w:rPr>
        <w:t>E</w:t>
      </w:r>
      <w:r w:rsidRPr="00C91792">
        <w:rPr>
          <w:rFonts w:ascii="Arial" w:hAnsi="Arial" w:cs="Arial"/>
          <w:b w:val="0"/>
        </w:rPr>
        <w:t xml:space="preserve">jercicio 2015. </w:t>
      </w:r>
    </w:p>
    <w:p w:rsidR="00353CBD" w:rsidRPr="00E77077" w:rsidRDefault="00353CBD" w:rsidP="00E77077">
      <w:pPr>
        <w:pStyle w:val="Subttulo"/>
        <w:widowControl w:val="0"/>
        <w:rPr>
          <w:rFonts w:ascii="Arial" w:hAnsi="Arial" w:cs="Arial"/>
        </w:rPr>
      </w:pPr>
      <w:r w:rsidRPr="00C91792">
        <w:rPr>
          <w:rFonts w:ascii="Arial" w:hAnsi="Arial" w:cs="Arial"/>
        </w:rPr>
        <w:t xml:space="preserve">17- Artículo 119 del TOCAF: </w:t>
      </w:r>
      <w:r w:rsidRPr="00C91792">
        <w:rPr>
          <w:rFonts w:ascii="Arial" w:hAnsi="Arial" w:cs="Arial"/>
          <w:b w:val="0"/>
        </w:rPr>
        <w:t>No se efectuaron arqueos sorpresivos en forma</w:t>
      </w:r>
      <w:r w:rsidRPr="00E77077">
        <w:rPr>
          <w:rFonts w:ascii="Arial" w:hAnsi="Arial" w:cs="Arial"/>
          <w:b w:val="0"/>
        </w:rPr>
        <w:t xml:space="preserve"> periódica. </w:t>
      </w:r>
    </w:p>
    <w:p w:rsidR="00353CBD" w:rsidRPr="00E77077" w:rsidRDefault="00353CBD" w:rsidP="00E77077">
      <w:pPr>
        <w:pStyle w:val="Subttulo"/>
        <w:widowControl w:val="0"/>
        <w:rPr>
          <w:rFonts w:ascii="Arial" w:hAnsi="Arial" w:cs="Arial"/>
        </w:rPr>
      </w:pPr>
      <w:r w:rsidRPr="00E77077">
        <w:rPr>
          <w:rFonts w:ascii="Arial" w:hAnsi="Arial" w:cs="Arial"/>
        </w:rPr>
        <w:t xml:space="preserve">18. Artículo 128 del TOCAF: </w:t>
      </w:r>
      <w:r w:rsidRPr="00E77077">
        <w:rPr>
          <w:rFonts w:ascii="Arial" w:hAnsi="Arial" w:cs="Arial"/>
          <w:b w:val="0"/>
        </w:rPr>
        <w:t xml:space="preserve">No se presenta en el estado respectivo, el detalle del grado de cumplimiento de los objetivos y metas programadas. No se detallan las obras ejecutadas, tanto previstas como no previstas en el Presupuesto, no identificando para cada obra las unidades físicas previstas y ejecutadas, los costos previstos y los costos resultantes. </w:t>
      </w:r>
    </w:p>
    <w:p w:rsidR="00353CBD" w:rsidRPr="00E77077" w:rsidRDefault="00353CBD" w:rsidP="00E77077">
      <w:pPr>
        <w:pStyle w:val="Subttulo"/>
        <w:widowControl w:val="0"/>
        <w:rPr>
          <w:rFonts w:ascii="Arial" w:hAnsi="Arial" w:cs="Arial"/>
        </w:rPr>
      </w:pPr>
      <w:r w:rsidRPr="00E77077">
        <w:rPr>
          <w:rFonts w:ascii="Arial" w:hAnsi="Arial" w:cs="Arial"/>
        </w:rPr>
        <w:t>19- Artículo 13 Numeral 18 de la Ley N°</w:t>
      </w:r>
      <w:r>
        <w:rPr>
          <w:rFonts w:ascii="Arial" w:hAnsi="Arial" w:cs="Arial"/>
        </w:rPr>
        <w:t xml:space="preserve"> </w:t>
      </w:r>
      <w:r w:rsidRPr="00E77077">
        <w:rPr>
          <w:rFonts w:ascii="Arial" w:hAnsi="Arial" w:cs="Arial"/>
        </w:rPr>
        <w:t xml:space="preserve">19.272: </w:t>
      </w:r>
      <w:r w:rsidRPr="00E77077">
        <w:rPr>
          <w:rFonts w:ascii="Arial" w:hAnsi="Arial" w:cs="Arial"/>
          <w:b w:val="0"/>
        </w:rPr>
        <w:t xml:space="preserve">Los Municipios no realizaron la Rendición de Cuentas anual ante el Gobierno Departamental durante el ejercicio 2015. </w:t>
      </w:r>
    </w:p>
    <w:p w:rsidR="00353CBD" w:rsidRPr="00E77077" w:rsidRDefault="00353CBD" w:rsidP="00E77077">
      <w:pPr>
        <w:pStyle w:val="Subttulo"/>
        <w:widowControl w:val="0"/>
        <w:rPr>
          <w:rFonts w:ascii="Arial" w:hAnsi="Arial" w:cs="Arial"/>
        </w:rPr>
      </w:pPr>
      <w:r w:rsidRPr="00E77077">
        <w:rPr>
          <w:rFonts w:ascii="Arial" w:hAnsi="Arial" w:cs="Arial"/>
        </w:rPr>
        <w:t xml:space="preserve">20- Artículo  30 de la Ley 19.272: </w:t>
      </w:r>
      <w:r w:rsidRPr="00E77077">
        <w:rPr>
          <w:rFonts w:ascii="Arial" w:hAnsi="Arial" w:cs="Arial"/>
          <w:b w:val="0"/>
        </w:rPr>
        <w:t>Los Municipios no cumplieron con dicho artículo ya que no presentaron a la Junta Departamental, dentro de los treinta días de su instalación en el año 2015, el proyecto de reglamento de su funcionamiento.</w:t>
      </w:r>
    </w:p>
    <w:p w:rsidR="00353CBD" w:rsidRPr="00E77077" w:rsidRDefault="00353CBD" w:rsidP="00E77077">
      <w:pPr>
        <w:pStyle w:val="Subttulo"/>
        <w:widowControl w:val="0"/>
        <w:rPr>
          <w:rFonts w:ascii="Arial" w:hAnsi="Arial" w:cs="Arial"/>
        </w:rPr>
      </w:pPr>
      <w:r w:rsidRPr="00E77077">
        <w:rPr>
          <w:rFonts w:ascii="Arial" w:hAnsi="Arial" w:cs="Arial"/>
        </w:rPr>
        <w:t>21-</w:t>
      </w:r>
      <w:r w:rsidRPr="00E77077">
        <w:rPr>
          <w:rFonts w:ascii="Arial" w:hAnsi="Arial" w:cs="Arial"/>
          <w:b w:val="0"/>
        </w:rPr>
        <w:t xml:space="preserve"> </w:t>
      </w:r>
      <w:r w:rsidRPr="00E77077">
        <w:rPr>
          <w:rFonts w:ascii="Arial" w:hAnsi="Arial" w:cs="Arial"/>
        </w:rPr>
        <w:t xml:space="preserve">Resolución del Tribunal de Cuentas del 28/01/2004: </w:t>
      </w:r>
      <w:r w:rsidRPr="00E77077">
        <w:rPr>
          <w:rFonts w:ascii="Arial" w:hAnsi="Arial" w:cs="Arial"/>
          <w:b w:val="0"/>
        </w:rPr>
        <w:t>El documento de la Rendición de Cuentas presentado no se ajustó en su totalidad a lo dispuesto por dicha Resolución.</w:t>
      </w:r>
    </w:p>
    <w:p w:rsidR="00353CBD" w:rsidRPr="009D27AB" w:rsidRDefault="00353CBD" w:rsidP="009D27AB">
      <w:pPr>
        <w:pStyle w:val="Subttulo"/>
        <w:widowControl w:val="0"/>
        <w:rPr>
          <w:rFonts w:ascii="Arial" w:hAnsi="Arial" w:cs="Arial"/>
        </w:rPr>
      </w:pPr>
      <w:r w:rsidRPr="009D27AB">
        <w:rPr>
          <w:rFonts w:ascii="Arial" w:hAnsi="Arial" w:cs="Arial"/>
        </w:rPr>
        <w:t xml:space="preserve">22- Convenio N° 30 de la O.I.T.: </w:t>
      </w:r>
      <w:r w:rsidRPr="009D27AB">
        <w:rPr>
          <w:rFonts w:ascii="Arial" w:hAnsi="Arial" w:cs="Arial"/>
          <w:b w:val="0"/>
        </w:rPr>
        <w:t xml:space="preserve">Las liquidaciones de horas extras realizadas en el </w:t>
      </w:r>
      <w:r>
        <w:rPr>
          <w:rFonts w:ascii="Arial" w:hAnsi="Arial" w:cs="Arial"/>
          <w:b w:val="0"/>
        </w:rPr>
        <w:t>E</w:t>
      </w:r>
      <w:r w:rsidRPr="009D27AB">
        <w:rPr>
          <w:rFonts w:ascii="Arial" w:hAnsi="Arial" w:cs="Arial"/>
          <w:b w:val="0"/>
        </w:rPr>
        <w:t xml:space="preserve">jercicio 2015, en algunos casos, han superado los límites establecidos en este Convenio. </w:t>
      </w:r>
    </w:p>
    <w:p w:rsidR="00353CBD" w:rsidRPr="009D27AB" w:rsidRDefault="00353CBD" w:rsidP="009D27AB">
      <w:pPr>
        <w:pStyle w:val="Subttulo"/>
        <w:widowControl w:val="0"/>
        <w:rPr>
          <w:rFonts w:ascii="Arial" w:hAnsi="Arial" w:cs="Arial"/>
        </w:rPr>
      </w:pPr>
      <w:r w:rsidRPr="009D27AB">
        <w:rPr>
          <w:rFonts w:ascii="Arial" w:hAnsi="Arial" w:cs="Arial"/>
        </w:rPr>
        <w:t>23- Artículo 239 de la Modificación Presupuestal Quinquenal 2013-2015:</w:t>
      </w:r>
      <w:r>
        <w:rPr>
          <w:rFonts w:ascii="Arial" w:hAnsi="Arial" w:cs="Arial"/>
        </w:rPr>
        <w:t xml:space="preserve">                </w:t>
      </w:r>
      <w:r w:rsidRPr="009D27AB">
        <w:rPr>
          <w:rFonts w:ascii="Arial" w:hAnsi="Arial" w:cs="Arial"/>
          <w:b w:val="0"/>
        </w:rPr>
        <w:t xml:space="preserve">El atraso constatado, de tres cuotas consecutivas en el pago de los convenios celebrados por la Intendencia y los contribuyentes no determinó que los mismos perdieran automáticamente el derecho al referido beneficio. </w:t>
      </w:r>
    </w:p>
    <w:p w:rsidR="00353CBD" w:rsidRPr="00E77077" w:rsidRDefault="00353CBD" w:rsidP="00C91792">
      <w:pPr>
        <w:spacing w:line="360" w:lineRule="auto"/>
        <w:jc w:val="both"/>
        <w:rPr>
          <w:rFonts w:cs="Arial"/>
          <w:snapToGrid w:val="0"/>
        </w:rPr>
      </w:pPr>
      <w:r w:rsidRPr="009D27AB">
        <w:rPr>
          <w:rFonts w:cs="Arial"/>
          <w:snapToGrid w:val="0"/>
        </w:rPr>
        <w:t>Asimismo, durante el</w:t>
      </w:r>
      <w:r>
        <w:rPr>
          <w:rFonts w:cs="Arial"/>
          <w:snapToGrid w:val="0"/>
        </w:rPr>
        <w:t xml:space="preserve"> E</w:t>
      </w:r>
      <w:r w:rsidRPr="009D27AB">
        <w:rPr>
          <w:rFonts w:cs="Arial"/>
          <w:snapToGrid w:val="0"/>
        </w:rPr>
        <w:t>jercicio 2015, fueron observados y reiterados gastos por incumplimiento de los Artículos 86 y 211 de la Constitución de la República, Artículos 14, 15, 21, 33, 40 y 43 del TOCAF, Artículos 3 y 4 del Convenio 30 de la OIT,</w:t>
      </w:r>
      <w:r w:rsidRPr="009D27AB">
        <w:rPr>
          <w:rFonts w:cs="Arial"/>
        </w:rPr>
        <w:t xml:space="preserve"> </w:t>
      </w:r>
      <w:r w:rsidRPr="009D27AB">
        <w:rPr>
          <w:rFonts w:cs="Arial"/>
          <w:snapToGrid w:val="0"/>
        </w:rPr>
        <w:t xml:space="preserve">Decreto N° 199/007, Resolución N° 688/992 de la DGI, Convenio con ANCAP de fecha 25/02/13. Además, el Tribunal de Cuentas observó que no se dio cumplimiento a lo dispuesto por el </w:t>
      </w:r>
      <w:r w:rsidRPr="009D27AB">
        <w:rPr>
          <w:rFonts w:cs="Arial"/>
        </w:rPr>
        <w:t xml:space="preserve">Artículo 133 de la Constitución de la República aplicable a los Gobiernos Departamentales por remisión del Artículo 222 de dicha Carta, debido a que la Junta Departamental aumentó el plazo previsto originalmente, para acogerse los contribuyentes al plan de exoneraciones y financiación previsto en el “Plan Pago Fácil”.  </w:t>
      </w:r>
    </w:p>
    <w:p w:rsidR="00353CBD" w:rsidRDefault="00353CBD">
      <w:pPr>
        <w:spacing w:line="360" w:lineRule="auto"/>
        <w:ind w:firstLine="851"/>
        <w:jc w:val="both"/>
        <w:rPr>
          <w:snapToGrid w:val="0"/>
        </w:rPr>
      </w:pPr>
    </w:p>
    <w:p w:rsidR="00353CBD" w:rsidRDefault="00353CBD">
      <w:pPr>
        <w:widowControl w:val="0"/>
        <w:jc w:val="right"/>
        <w:rPr>
          <w:rFonts w:cs="Arial"/>
        </w:rPr>
      </w:pPr>
      <w:r>
        <w:rPr>
          <w:rFonts w:cs="Arial"/>
        </w:rPr>
        <w:t>Montevideo, 30</w:t>
      </w:r>
      <w:r w:rsidRPr="009D27AB">
        <w:rPr>
          <w:rFonts w:cs="Arial"/>
        </w:rPr>
        <w:t xml:space="preserve"> de setiembre de 2016.</w:t>
      </w:r>
    </w:p>
    <w:p w:rsidR="00353CBD" w:rsidRDefault="00353CBD" w:rsidP="002A3DB4">
      <w:pPr>
        <w:widowControl w:val="0"/>
        <w:rPr>
          <w:rFonts w:cs="Arial"/>
        </w:rPr>
      </w:pPr>
      <w:proofErr w:type="spellStart"/>
      <w:proofErr w:type="gramStart"/>
      <w:r>
        <w:rPr>
          <w:rFonts w:cs="Arial"/>
        </w:rPr>
        <w:t>ag</w:t>
      </w:r>
      <w:proofErr w:type="spellEnd"/>
      <w:proofErr w:type="gramEnd"/>
    </w:p>
    <w:p w:rsidR="00353CBD" w:rsidRPr="009D27AB" w:rsidRDefault="00353CBD" w:rsidP="00230EDB">
      <w:pPr>
        <w:spacing w:line="360" w:lineRule="auto"/>
        <w:jc w:val="center"/>
        <w:rPr>
          <w:rFonts w:cs="Arial"/>
        </w:rPr>
      </w:pPr>
    </w:p>
    <w:p w:rsidR="00353CBD" w:rsidRDefault="00353CBD" w:rsidP="008E4012">
      <w:pPr>
        <w:widowControl w:val="0"/>
        <w:spacing w:line="360" w:lineRule="auto"/>
        <w:jc w:val="both"/>
        <w:rPr>
          <w:rFonts w:cs="Arial"/>
        </w:rPr>
      </w:pPr>
    </w:p>
    <w:p w:rsidR="00BA5BEA" w:rsidRDefault="00BA5BEA" w:rsidP="008E4012">
      <w:pPr>
        <w:widowControl w:val="0"/>
        <w:spacing w:line="360" w:lineRule="auto"/>
        <w:jc w:val="both"/>
        <w:rPr>
          <w:rFonts w:cs="Arial"/>
        </w:rPr>
      </w:pPr>
    </w:p>
    <w:p w:rsidR="00BA5BEA" w:rsidRDefault="00BA5BEA" w:rsidP="008E4012">
      <w:pPr>
        <w:widowControl w:val="0"/>
        <w:spacing w:line="360" w:lineRule="auto"/>
        <w:jc w:val="both"/>
        <w:rPr>
          <w:rFonts w:cs="Arial"/>
        </w:rPr>
      </w:pPr>
    </w:p>
    <w:p w:rsidR="00BA5BEA" w:rsidRDefault="00BA5BEA" w:rsidP="008E4012">
      <w:pPr>
        <w:widowControl w:val="0"/>
        <w:spacing w:line="360" w:lineRule="auto"/>
        <w:jc w:val="both"/>
        <w:rPr>
          <w:rFonts w:cs="Arial"/>
        </w:rPr>
      </w:pPr>
    </w:p>
    <w:p w:rsidR="00BA5BEA" w:rsidRDefault="00BA5BEA" w:rsidP="008E4012">
      <w:pPr>
        <w:widowControl w:val="0"/>
        <w:spacing w:line="360" w:lineRule="auto"/>
        <w:jc w:val="both"/>
        <w:rPr>
          <w:rFonts w:cs="Arial"/>
        </w:rPr>
      </w:pPr>
    </w:p>
    <w:p w:rsidR="00BA5BEA" w:rsidRPr="009D27AB" w:rsidRDefault="00BA5BEA" w:rsidP="008E4012">
      <w:pPr>
        <w:widowControl w:val="0"/>
        <w:spacing w:line="360" w:lineRule="auto"/>
        <w:jc w:val="both"/>
        <w:rPr>
          <w:rFonts w:cs="Arial"/>
        </w:rPr>
      </w:pPr>
    </w:p>
    <w:p w:rsidR="00353CBD" w:rsidRPr="00C3385D" w:rsidRDefault="00353CBD" w:rsidP="008E4012">
      <w:pPr>
        <w:spacing w:line="360" w:lineRule="auto"/>
        <w:jc w:val="center"/>
        <w:rPr>
          <w:b/>
        </w:rPr>
      </w:pPr>
      <w:bookmarkStart w:id="2" w:name="_Toc405566055"/>
      <w:r w:rsidRPr="00C3385D">
        <w:rPr>
          <w:b/>
        </w:rPr>
        <w:t>INFORME A LA ADMINISTRACIÓN</w:t>
      </w:r>
      <w:bookmarkEnd w:id="2"/>
    </w:p>
    <w:p w:rsidR="00353CBD" w:rsidRPr="00B7583E" w:rsidRDefault="00353CBD" w:rsidP="008E4012">
      <w:pPr>
        <w:spacing w:line="360" w:lineRule="auto"/>
        <w:rPr>
          <w:lang w:val="es-ES_tradnl"/>
        </w:rPr>
      </w:pPr>
    </w:p>
    <w:p w:rsidR="00353CBD" w:rsidRDefault="00353CBD" w:rsidP="008E4012">
      <w:pPr>
        <w:pStyle w:val="Textoindependiente21"/>
        <w:widowControl w:val="0"/>
        <w:spacing w:after="0"/>
        <w:rPr>
          <w:rFonts w:ascii="Arial" w:hAnsi="Arial" w:cs="Arial"/>
        </w:rPr>
      </w:pPr>
      <w:r>
        <w:rPr>
          <w:rFonts w:ascii="Arial" w:hAnsi="Arial" w:cs="Arial"/>
        </w:rPr>
        <w:t>El Tribunal de Cuentas ha examinado la Rendición de Cuentas y Balance de Eje</w:t>
      </w:r>
      <w:r>
        <w:rPr>
          <w:rFonts w:ascii="Arial" w:hAnsi="Arial" w:cs="Arial"/>
        </w:rPr>
        <w:softHyphen/>
        <w:t>cución Presupuestal correspondiente al Ejercicio 2015 y ha emitido su corres</w:t>
      </w:r>
      <w:r>
        <w:rPr>
          <w:rFonts w:ascii="Arial" w:hAnsi="Arial" w:cs="Arial"/>
        </w:rPr>
        <w:softHyphen/>
        <w:t>pondiente Dictamen.</w:t>
      </w:r>
    </w:p>
    <w:p w:rsidR="00353CBD" w:rsidRDefault="00353CBD" w:rsidP="008E4012">
      <w:pPr>
        <w:pStyle w:val="Textoindependiente21"/>
        <w:widowControl w:val="0"/>
        <w:spacing w:after="0"/>
        <w:rPr>
          <w:rFonts w:ascii="Arial" w:hAnsi="Arial" w:cs="Arial"/>
        </w:rPr>
      </w:pPr>
    </w:p>
    <w:p w:rsidR="00353CBD" w:rsidRDefault="00353CBD" w:rsidP="008E4012">
      <w:pPr>
        <w:pStyle w:val="Textoindependiente21"/>
        <w:widowControl w:val="0"/>
        <w:spacing w:after="0"/>
        <w:rPr>
          <w:rFonts w:ascii="Arial" w:hAnsi="Arial" w:cs="Arial"/>
        </w:rPr>
      </w:pPr>
      <w:r>
        <w:rPr>
          <w:rFonts w:ascii="Arial" w:hAnsi="Arial" w:cs="Arial"/>
        </w:rPr>
        <w:t>Como consecuencia del examen practicado, se incluyen en este Informe comen</w:t>
      </w:r>
      <w:r>
        <w:rPr>
          <w:rFonts w:ascii="Arial" w:hAnsi="Arial" w:cs="Arial"/>
        </w:rPr>
        <w:softHyphen/>
        <w:t>tarios que se ha entendido conveniente exponer, relacionados a la situación de determinados capítulos y rubros de los Estados examinados así como recomendaciones que deberá atender el Organismo. Se incluye además una evaluación de la forma de cumplimiento de las recomen</w:t>
      </w:r>
      <w:r>
        <w:rPr>
          <w:rFonts w:ascii="Arial" w:hAnsi="Arial" w:cs="Arial"/>
        </w:rPr>
        <w:softHyphen/>
        <w:t>daciones formuladas en el Informe de Auditoría correspondiente al Ejercicio anterior.</w:t>
      </w:r>
    </w:p>
    <w:p w:rsidR="00353CBD" w:rsidRDefault="00353CBD" w:rsidP="008E4012">
      <w:pPr>
        <w:pStyle w:val="Textoindependiente21"/>
        <w:widowControl w:val="0"/>
        <w:spacing w:after="0"/>
        <w:rPr>
          <w:rFonts w:ascii="Arial" w:hAnsi="Arial" w:cs="Arial"/>
        </w:rPr>
      </w:pPr>
    </w:p>
    <w:p w:rsidR="00353CBD" w:rsidRDefault="00353CBD" w:rsidP="00210440">
      <w:pPr>
        <w:pStyle w:val="Ttulo2"/>
        <w:widowControl w:val="0"/>
        <w:suppressAutoHyphens/>
        <w:spacing w:after="0"/>
        <w:jc w:val="both"/>
      </w:pPr>
      <w:bookmarkStart w:id="3" w:name="_Toc405566056"/>
      <w:r>
        <w:t xml:space="preserve">1 - </w:t>
      </w:r>
      <w:r w:rsidRPr="002047A9">
        <w:t>Constataciones que afectan la opinión</w:t>
      </w:r>
      <w:bookmarkEnd w:id="3"/>
    </w:p>
    <w:p w:rsidR="00353CBD" w:rsidRPr="009D27AB" w:rsidRDefault="00353CBD" w:rsidP="008E4012">
      <w:pPr>
        <w:pStyle w:val="Textoindependiente"/>
      </w:pPr>
    </w:p>
    <w:p w:rsidR="00353CBD" w:rsidRPr="009D27AB" w:rsidRDefault="00353CBD" w:rsidP="008E4012">
      <w:pPr>
        <w:pStyle w:val="Ttulo2"/>
        <w:widowControl w:val="0"/>
        <w:spacing w:after="0"/>
        <w:jc w:val="both"/>
        <w:rPr>
          <w:rFonts w:cs="Arial"/>
        </w:rPr>
      </w:pPr>
      <w:bookmarkStart w:id="4" w:name="_Toc405566057"/>
      <w:r w:rsidRPr="009D27AB">
        <w:rPr>
          <w:rFonts w:cs="Arial"/>
        </w:rPr>
        <w:t>Ejecución Presupuestal con relación a los créditos</w:t>
      </w:r>
      <w:bookmarkEnd w:id="4"/>
    </w:p>
    <w:p w:rsidR="00353CBD" w:rsidRPr="009D27AB" w:rsidRDefault="00353CBD" w:rsidP="008E4012">
      <w:pPr>
        <w:pStyle w:val="Textoindependiente21"/>
        <w:widowControl w:val="0"/>
        <w:spacing w:after="0"/>
        <w:rPr>
          <w:rFonts w:ascii="Arial" w:hAnsi="Arial" w:cs="Arial"/>
          <w:szCs w:val="24"/>
        </w:rPr>
      </w:pPr>
      <w:bookmarkStart w:id="5" w:name="_Toc404685131"/>
      <w:r w:rsidRPr="009D27AB">
        <w:rPr>
          <w:rFonts w:ascii="Arial" w:hAnsi="Arial" w:cs="Arial"/>
          <w:szCs w:val="24"/>
        </w:rPr>
        <w:t xml:space="preserve">Si bien la Intendencia expone en el Estado de Resultado, diferencias de cotización por $ 57:568.163 e intereses financieros por $ 6:345.477, dichos gastos no fueron imputados a los objetos presupuestales correspondientes. </w:t>
      </w:r>
      <w:bookmarkEnd w:id="5"/>
      <w:r w:rsidRPr="009D27AB">
        <w:rPr>
          <w:rFonts w:ascii="Arial" w:hAnsi="Arial" w:cs="Arial"/>
          <w:szCs w:val="24"/>
        </w:rPr>
        <w:t xml:space="preserve">La exposición de los gastos no se realizó correctamente, por cuanto debieron ser imputados en los objetos de gastos respectivos, y no ser presentados solamente en el estado de “Resultado del Ejercicio”. </w:t>
      </w:r>
    </w:p>
    <w:p w:rsidR="00353CBD" w:rsidRPr="009D27AB" w:rsidRDefault="00353CBD" w:rsidP="008E4012">
      <w:pPr>
        <w:widowControl w:val="0"/>
        <w:spacing w:line="360" w:lineRule="auto"/>
        <w:jc w:val="both"/>
        <w:rPr>
          <w:rFonts w:cs="Arial"/>
          <w:lang w:val="es-UY" w:eastAsia="es-UY"/>
        </w:rPr>
      </w:pPr>
      <w:r w:rsidRPr="009D27AB">
        <w:rPr>
          <w:rFonts w:cs="Arial"/>
          <w:lang w:val="es-UY" w:eastAsia="es-UY"/>
        </w:rPr>
        <w:t>Asimismo, se consideraron</w:t>
      </w:r>
      <w:r w:rsidRPr="007024E2">
        <w:rPr>
          <w:rFonts w:cs="Arial"/>
          <w:lang w:val="es-UY" w:eastAsia="es-UY"/>
        </w:rPr>
        <w:t xml:space="preserve"> como gastos extrapresupuestales $ 52:291.825</w:t>
      </w:r>
      <w:r w:rsidRPr="009D27AB">
        <w:rPr>
          <w:rFonts w:cs="Arial"/>
          <w:lang w:val="es-UY" w:eastAsia="es-UY"/>
        </w:rPr>
        <w:t>,</w:t>
      </w:r>
      <w:r w:rsidRPr="007024E2">
        <w:rPr>
          <w:rFonts w:cs="Arial"/>
          <w:lang w:val="es-UY" w:eastAsia="es-UY"/>
        </w:rPr>
        <w:t xml:space="preserve"> sin tener una contrapartida de ingresos no prevista en el Presupuesto</w:t>
      </w:r>
      <w:r w:rsidRPr="009D27AB">
        <w:rPr>
          <w:rFonts w:cs="Arial"/>
          <w:lang w:val="es-UY" w:eastAsia="es-UY"/>
        </w:rPr>
        <w:t>, por lo que la exposició</w:t>
      </w:r>
      <w:r w:rsidRPr="007024E2">
        <w:rPr>
          <w:rFonts w:cs="Arial"/>
          <w:lang w:val="es-UY" w:eastAsia="es-UY"/>
        </w:rPr>
        <w:t>n de los gastos no se realizó correctamente</w:t>
      </w:r>
      <w:r w:rsidRPr="009D27AB">
        <w:rPr>
          <w:rFonts w:cs="Arial"/>
          <w:lang w:val="es-UY" w:eastAsia="es-UY"/>
        </w:rPr>
        <w:t>,</w:t>
      </w:r>
      <w:r w:rsidRPr="007024E2">
        <w:rPr>
          <w:rFonts w:cs="Arial"/>
          <w:lang w:val="es-UY" w:eastAsia="es-UY"/>
        </w:rPr>
        <w:t xml:space="preserve"> por cuanto debieron ser imputados en los objetos de gastos respectivos</w:t>
      </w:r>
      <w:r w:rsidRPr="009D27AB">
        <w:rPr>
          <w:rFonts w:cs="Arial"/>
          <w:lang w:val="es-UY" w:eastAsia="es-UY"/>
        </w:rPr>
        <w:t>,</w:t>
      </w:r>
      <w:r w:rsidRPr="007024E2">
        <w:rPr>
          <w:rFonts w:cs="Arial"/>
          <w:lang w:val="es-UY" w:eastAsia="es-UY"/>
        </w:rPr>
        <w:t xml:space="preserve"> y no como egresos extrapresupuestales</w:t>
      </w:r>
      <w:r w:rsidRPr="009D27AB">
        <w:rPr>
          <w:rFonts w:cs="Arial"/>
          <w:lang w:val="es-UY" w:eastAsia="es-UY"/>
        </w:rPr>
        <w:t>.</w:t>
      </w:r>
    </w:p>
    <w:p w:rsidR="00353CBD" w:rsidRPr="009D27AB" w:rsidRDefault="00353CBD" w:rsidP="008E4012">
      <w:pPr>
        <w:widowControl w:val="0"/>
        <w:spacing w:line="360" w:lineRule="auto"/>
        <w:jc w:val="both"/>
        <w:rPr>
          <w:rFonts w:cs="Arial"/>
          <w:lang w:val="es-UY" w:eastAsia="es-UY"/>
        </w:rPr>
      </w:pPr>
      <w:r w:rsidRPr="009D27AB">
        <w:rPr>
          <w:rFonts w:cs="Arial"/>
        </w:rPr>
        <w:t>El monto total, que asciende a $ 116.205.465, representa el 10,53% del total de egresos expuestos en el Estado de Resultado del Ejercicio.</w:t>
      </w:r>
    </w:p>
    <w:p w:rsidR="00353CBD" w:rsidRPr="007024E2" w:rsidRDefault="00353CBD" w:rsidP="008E4012">
      <w:pPr>
        <w:widowControl w:val="0"/>
        <w:spacing w:line="360" w:lineRule="auto"/>
        <w:jc w:val="both"/>
        <w:rPr>
          <w:rFonts w:cs="Arial"/>
          <w:b/>
          <w:lang w:val="es-UY" w:eastAsia="es-UY"/>
        </w:rPr>
      </w:pPr>
      <w:r w:rsidRPr="009D27AB">
        <w:rPr>
          <w:rFonts w:cs="Arial"/>
          <w:lang w:val="es-UY" w:eastAsia="es-UY"/>
        </w:rPr>
        <w:t xml:space="preserve">Por lo expuesto, </w:t>
      </w:r>
      <w:r w:rsidRPr="007024E2">
        <w:rPr>
          <w:rFonts w:cs="Arial"/>
          <w:lang w:val="es-UY" w:eastAsia="es-UY"/>
        </w:rPr>
        <w:t>el "Estado de Ejecución Presupuestal de Gastos" no presenta adecuadamente los importes gastados por todos los conceptos, afectando en consecuencia</w:t>
      </w:r>
      <w:r w:rsidRPr="009D27AB">
        <w:rPr>
          <w:rFonts w:cs="Arial"/>
          <w:lang w:val="es-UY" w:eastAsia="es-UY"/>
        </w:rPr>
        <w:t>,</w:t>
      </w:r>
      <w:r w:rsidRPr="007024E2">
        <w:rPr>
          <w:rFonts w:cs="Arial"/>
          <w:lang w:val="es-UY" w:eastAsia="es-UY"/>
        </w:rPr>
        <w:t xml:space="preserve"> los montos presentados como gastados en más y en menos</w:t>
      </w:r>
      <w:r w:rsidRPr="009D27AB">
        <w:rPr>
          <w:rFonts w:cs="Arial"/>
          <w:lang w:val="es-UY" w:eastAsia="es-UY"/>
        </w:rPr>
        <w:t>,</w:t>
      </w:r>
      <w:r w:rsidRPr="007024E2">
        <w:rPr>
          <w:rFonts w:cs="Arial"/>
          <w:lang w:val="es-UY" w:eastAsia="es-UY"/>
        </w:rPr>
        <w:t xml:space="preserve"> respecto de los créditos presupuestales autorizados.</w:t>
      </w:r>
      <w:r w:rsidRPr="007024E2">
        <w:rPr>
          <w:rFonts w:cs="Arial"/>
          <w:lang w:val="es-UY" w:eastAsia="es-UY"/>
        </w:rPr>
        <w:tab/>
      </w:r>
    </w:p>
    <w:p w:rsidR="00353CBD" w:rsidRDefault="00353CBD" w:rsidP="008E4012">
      <w:pPr>
        <w:pStyle w:val="Ttulo2"/>
        <w:widowControl w:val="0"/>
        <w:suppressAutoHyphens/>
        <w:spacing w:after="0"/>
        <w:jc w:val="both"/>
        <w:rPr>
          <w:rFonts w:cs="Arial"/>
        </w:rPr>
      </w:pPr>
    </w:p>
    <w:p w:rsidR="00353CBD" w:rsidRPr="009D27AB" w:rsidRDefault="00353CBD" w:rsidP="00ED291E">
      <w:pPr>
        <w:pStyle w:val="Ttulo2"/>
        <w:widowControl w:val="0"/>
        <w:suppressAutoHyphens/>
        <w:spacing w:after="0"/>
        <w:jc w:val="both"/>
        <w:rPr>
          <w:rFonts w:cs="Arial"/>
        </w:rPr>
      </w:pPr>
      <w:r>
        <w:rPr>
          <w:rFonts w:cs="Arial"/>
        </w:rPr>
        <w:t xml:space="preserve">2  - </w:t>
      </w:r>
      <w:r w:rsidRPr="009D27AB">
        <w:rPr>
          <w:rFonts w:cs="Arial"/>
        </w:rPr>
        <w:t>Constataciones que no afectan la opinión</w:t>
      </w:r>
    </w:p>
    <w:p w:rsidR="00353CBD" w:rsidRPr="008C2EC5" w:rsidRDefault="00353CBD" w:rsidP="008E4012">
      <w:pPr>
        <w:pStyle w:val="Textoindependiente"/>
        <w:rPr>
          <w:lang w:val="es-ES"/>
        </w:rPr>
      </w:pPr>
    </w:p>
    <w:p w:rsidR="00353CBD" w:rsidRPr="009D27AB" w:rsidRDefault="00353CBD" w:rsidP="008E4012">
      <w:pPr>
        <w:spacing w:line="360" w:lineRule="auto"/>
        <w:jc w:val="both"/>
        <w:rPr>
          <w:rFonts w:cs="Arial"/>
          <w:b/>
        </w:rPr>
      </w:pPr>
      <w:r>
        <w:rPr>
          <w:rFonts w:cs="Arial"/>
          <w:b/>
        </w:rPr>
        <w:t xml:space="preserve">2.1 </w:t>
      </w:r>
      <w:r w:rsidRPr="009D27AB">
        <w:rPr>
          <w:rFonts w:cs="Arial"/>
          <w:b/>
        </w:rPr>
        <w:t xml:space="preserve">Ejecución presupuestal de </w:t>
      </w:r>
      <w:smartTag w:uri="urn:schemas-microsoft-com:office:smarttags" w:element="PersonName">
        <w:smartTagPr>
          <w:attr w:name="ProductID" w:val="la Junta Departamental"/>
        </w:smartTagPr>
        <w:r w:rsidRPr="009D27AB">
          <w:rPr>
            <w:rFonts w:cs="Arial"/>
            <w:b/>
          </w:rPr>
          <w:t>la Junta Departamental</w:t>
        </w:r>
      </w:smartTag>
    </w:p>
    <w:p w:rsidR="00353CBD" w:rsidRPr="008C2EC5" w:rsidRDefault="00353CBD" w:rsidP="008E4012">
      <w:pPr>
        <w:spacing w:line="360" w:lineRule="auto"/>
        <w:jc w:val="both"/>
        <w:rPr>
          <w:rFonts w:cs="Arial"/>
        </w:rPr>
      </w:pPr>
      <w:r w:rsidRPr="008C2EC5">
        <w:rPr>
          <w:rFonts w:cs="Arial"/>
        </w:rPr>
        <w:t xml:space="preserve">A efectos de determinar el resultado del ejercicio 2015, </w:t>
      </w:r>
      <w:smartTag w:uri="urn:schemas-microsoft-com:office:smarttags" w:element="PersonName">
        <w:smartTagPr>
          <w:attr w:name="ProductID" w:val="la Intendencia"/>
        </w:smartTagPr>
        <w:r w:rsidRPr="008C2EC5">
          <w:rPr>
            <w:rFonts w:cs="Arial"/>
          </w:rPr>
          <w:t>la Intendencia</w:t>
        </w:r>
      </w:smartTag>
      <w:r w:rsidRPr="008C2EC5">
        <w:rPr>
          <w:rFonts w:cs="Arial"/>
        </w:rPr>
        <w:t xml:space="preserve"> incluyó como ejecutado por </w:t>
      </w:r>
      <w:smartTag w:uri="urn:schemas-microsoft-com:office:smarttags" w:element="PersonName">
        <w:smartTagPr>
          <w:attr w:name="ProductID" w:val="la Junta Departamental"/>
        </w:smartTagPr>
        <w:r w:rsidRPr="008C2EC5">
          <w:rPr>
            <w:rFonts w:cs="Arial"/>
          </w:rPr>
          <w:t>la Junta Departamental</w:t>
        </w:r>
      </w:smartTag>
      <w:r w:rsidRPr="008C2EC5">
        <w:rPr>
          <w:rFonts w:cs="Arial"/>
        </w:rPr>
        <w:t xml:space="preserve"> un monto de $ 34.872.453. De acuerdo a </w:t>
      </w:r>
      <w:smartTag w:uri="urn:schemas-microsoft-com:office:smarttags" w:element="PersonName">
        <w:smartTagPr>
          <w:attr w:name="ProductID" w:val="la Rendici￳n"/>
        </w:smartTagPr>
        <w:r w:rsidRPr="008C2EC5">
          <w:rPr>
            <w:rFonts w:cs="Arial"/>
          </w:rPr>
          <w:t>la Rendición</w:t>
        </w:r>
      </w:smartTag>
      <w:r w:rsidRPr="008C2EC5">
        <w:rPr>
          <w:rFonts w:cs="Arial"/>
        </w:rPr>
        <w:t xml:space="preserve"> de Cuentas del ejercicio 2015 de ese Legislativo, lo ejecutado ascendió a $ 34.788.332</w:t>
      </w:r>
    </w:p>
    <w:p w:rsidR="00353CBD" w:rsidRPr="008C2EC5" w:rsidRDefault="00353CBD" w:rsidP="008E4012">
      <w:pPr>
        <w:spacing w:line="360" w:lineRule="auto"/>
        <w:jc w:val="both"/>
        <w:rPr>
          <w:rFonts w:cs="Arial"/>
        </w:rPr>
      </w:pPr>
      <w:r w:rsidRPr="008C2EC5">
        <w:rPr>
          <w:rFonts w:cs="Arial"/>
        </w:rPr>
        <w:t xml:space="preserve">Asimismo, para la determinación del resultado acumulado al 31 de diciembre de 2015, </w:t>
      </w:r>
      <w:smartTag w:uri="urn:schemas-microsoft-com:office:smarttags" w:element="PersonName">
        <w:smartTagPr>
          <w:attr w:name="ProductID" w:val="la Intendencia"/>
        </w:smartTagPr>
        <w:r w:rsidRPr="008C2EC5">
          <w:rPr>
            <w:rFonts w:cs="Arial"/>
          </w:rPr>
          <w:t>la Intendencia</w:t>
        </w:r>
      </w:smartTag>
      <w:r w:rsidRPr="008C2EC5">
        <w:rPr>
          <w:rFonts w:cs="Arial"/>
        </w:rPr>
        <w:t xml:space="preserve"> debió considerar la situación en materia de fondos con relación a </w:t>
      </w:r>
      <w:smartTag w:uri="urn:schemas-microsoft-com:office:smarttags" w:element="PersonName">
        <w:smartTagPr>
          <w:attr w:name="ProductID" w:val="la Junta Departamental"/>
        </w:smartTagPr>
        <w:r w:rsidRPr="008C2EC5">
          <w:rPr>
            <w:rFonts w:cs="Arial"/>
          </w:rPr>
          <w:t>la Junta Departamental</w:t>
        </w:r>
      </w:smartTag>
      <w:r w:rsidRPr="008C2EC5">
        <w:rPr>
          <w:rFonts w:cs="Arial"/>
        </w:rPr>
        <w:t xml:space="preserve">, de la cual resulta un importe a favor del Legislativo Departamental de $ 256.917, y no de $ 1.500.000 que fue lo incluido por </w:t>
      </w:r>
      <w:smartTag w:uri="urn:schemas-microsoft-com:office:smarttags" w:element="PersonName">
        <w:smartTagPr>
          <w:attr w:name="ProductID" w:val="la Intendencia."/>
        </w:smartTagPr>
        <w:r w:rsidRPr="008C2EC5">
          <w:rPr>
            <w:rFonts w:cs="Arial"/>
          </w:rPr>
          <w:t>la Intendencia.</w:t>
        </w:r>
      </w:smartTag>
      <w:r w:rsidRPr="008C2EC5">
        <w:rPr>
          <w:rFonts w:cs="Arial"/>
        </w:rPr>
        <w:t xml:space="preserve">         </w:t>
      </w:r>
    </w:p>
    <w:p w:rsidR="00353CBD" w:rsidRPr="009D27AB" w:rsidRDefault="00353CBD" w:rsidP="008E4012">
      <w:pPr>
        <w:pStyle w:val="Textoindependiente"/>
      </w:pPr>
      <w:r w:rsidRPr="008C2EC5">
        <w:t>Por lo expuesto, no se efectuaron las conciliaciones correspondientes a efectos de considerar los importes correctos.</w:t>
      </w:r>
      <w:r>
        <w:t xml:space="preserve"> </w:t>
      </w:r>
    </w:p>
    <w:p w:rsidR="00353CBD" w:rsidRPr="009D27AB" w:rsidRDefault="00353CBD" w:rsidP="008E4012">
      <w:pPr>
        <w:pStyle w:val="Textoindependiente"/>
      </w:pPr>
    </w:p>
    <w:p w:rsidR="00353CBD" w:rsidRPr="009D27AB" w:rsidRDefault="00353CBD" w:rsidP="008E4012">
      <w:pPr>
        <w:spacing w:line="360" w:lineRule="auto"/>
        <w:jc w:val="both"/>
        <w:rPr>
          <w:rFonts w:cs="Arial"/>
          <w:b/>
        </w:rPr>
      </w:pPr>
      <w:r>
        <w:rPr>
          <w:rFonts w:cs="Arial"/>
          <w:b/>
        </w:rPr>
        <w:t xml:space="preserve">2.2 </w:t>
      </w:r>
      <w:r w:rsidRPr="009D27AB">
        <w:rPr>
          <w:rFonts w:cs="Arial"/>
          <w:b/>
        </w:rPr>
        <w:t>Fondos extrapresupuestales (Convenio con MTOP por abonos de boletos)</w:t>
      </w:r>
    </w:p>
    <w:p w:rsidR="00353CBD" w:rsidRPr="009D27AB" w:rsidRDefault="00353CBD" w:rsidP="008E4012">
      <w:pPr>
        <w:pStyle w:val="Textoindependiente"/>
      </w:pPr>
      <w:r w:rsidRPr="008C2EC5">
        <w:t xml:space="preserve">Formando parte de los </w:t>
      </w:r>
      <w:proofErr w:type="spellStart"/>
      <w:r w:rsidRPr="008C2EC5">
        <w:t>extrapresupuestos</w:t>
      </w:r>
      <w:proofErr w:type="spellEnd"/>
      <w:r w:rsidRPr="008C2EC5">
        <w:t xml:space="preserve"> a cobrar en el Activo, se incluye un importe de $ 5.150.692, originado en que los egresos efectuados por la Intendencia en el marco del Convenio con el MTOP por abono de boletos, han superado los ingresos provenientes del referido Ministerio. El citado importe se compone de $ 3.799.414 originados en ejercicios anteriores, y $ 1.351.278 originados en el ejercicio actual.</w:t>
      </w:r>
      <w:r w:rsidRPr="009D27AB">
        <w:t xml:space="preserve"> </w:t>
      </w:r>
    </w:p>
    <w:p w:rsidR="00353CBD" w:rsidRPr="009D27AB" w:rsidRDefault="00353CBD" w:rsidP="008E4012">
      <w:pPr>
        <w:pStyle w:val="Textoindependiente"/>
      </w:pPr>
    </w:p>
    <w:p w:rsidR="00353CBD" w:rsidRPr="009D27AB" w:rsidRDefault="00353CBD" w:rsidP="008E4012">
      <w:pPr>
        <w:spacing w:line="360" w:lineRule="auto"/>
        <w:jc w:val="both"/>
        <w:rPr>
          <w:rFonts w:cs="Arial"/>
          <w:b/>
        </w:rPr>
      </w:pPr>
      <w:r>
        <w:rPr>
          <w:rFonts w:cs="Arial"/>
          <w:b/>
        </w:rPr>
        <w:t xml:space="preserve">2.3 </w:t>
      </w:r>
      <w:r w:rsidRPr="009D27AB">
        <w:rPr>
          <w:rFonts w:cs="Arial"/>
          <w:b/>
        </w:rPr>
        <w:t>Convenio con el BSE</w:t>
      </w:r>
    </w:p>
    <w:p w:rsidR="00353CBD" w:rsidRPr="008C2EC5" w:rsidRDefault="00353CBD" w:rsidP="008E4012">
      <w:pPr>
        <w:pStyle w:val="Textoindependiente"/>
      </w:pPr>
      <w:r w:rsidRPr="008C2EC5">
        <w:t xml:space="preserve">La Intendencia no ha abonado las cuotas exigidas en el </w:t>
      </w:r>
      <w:r>
        <w:t>E</w:t>
      </w:r>
      <w:r w:rsidRPr="008C2EC5">
        <w:t>jercicio 2015 establecidas en el convenio con el BSE, así como tampoco ha calculado los intereses moratorios de dicho atraso.</w:t>
      </w:r>
    </w:p>
    <w:p w:rsidR="00353CBD" w:rsidRPr="008C2EC5" w:rsidRDefault="00353CBD" w:rsidP="008E4012">
      <w:pPr>
        <w:spacing w:line="360" w:lineRule="auto"/>
        <w:jc w:val="both"/>
        <w:rPr>
          <w:rFonts w:cs="Arial"/>
        </w:rPr>
      </w:pPr>
      <w:r w:rsidRPr="008C2EC5">
        <w:rPr>
          <w:rFonts w:cs="Arial"/>
        </w:rPr>
        <w:t>El referido convenio fue firmado el 26/03/2012. En la cláusula tercera se establece que la Intendencia abonará 48 cuotas mensuales, iguales y consecutivas de UI 89.711 cada una, sin aplicar al saldo intereses de financiación. No obstante, la cláusula quinta establece que cada cuota exigible e impaga, devengará desde su vencimiento, y hasta el día de su pago efectivo, un interés moratorio del 11,924% (tasa efectiva anual).</w:t>
      </w:r>
    </w:p>
    <w:p w:rsidR="00353CBD" w:rsidRPr="008C2EC5" w:rsidRDefault="00353CBD" w:rsidP="008E4012">
      <w:pPr>
        <w:spacing w:line="360" w:lineRule="auto"/>
        <w:jc w:val="both"/>
        <w:rPr>
          <w:rFonts w:cs="Arial"/>
        </w:rPr>
      </w:pPr>
      <w:r w:rsidRPr="008C2EC5">
        <w:rPr>
          <w:rFonts w:cs="Arial"/>
        </w:rPr>
        <w:t>La Intendencia durante el año 2015 sólo pagó dos cuotas el 12/03/2015 por     $ 536.294 en total.</w:t>
      </w:r>
    </w:p>
    <w:p w:rsidR="00353CBD" w:rsidRPr="009D27AB" w:rsidRDefault="00353CBD" w:rsidP="008E4012">
      <w:pPr>
        <w:spacing w:line="360" w:lineRule="auto"/>
        <w:jc w:val="both"/>
        <w:rPr>
          <w:rFonts w:cs="Arial"/>
        </w:rPr>
      </w:pPr>
      <w:r w:rsidRPr="008C2EC5">
        <w:rPr>
          <w:rFonts w:cs="Arial"/>
        </w:rPr>
        <w:t xml:space="preserve">Asimismo, de acuerdo a la cláusula octava, la parte deudora caerá en mora, transcurridos tres días hábiles del siguiente a </w:t>
      </w:r>
      <w:r>
        <w:rPr>
          <w:rFonts w:cs="Arial"/>
        </w:rPr>
        <w:t xml:space="preserve">la </w:t>
      </w:r>
      <w:r w:rsidRPr="008C2EC5">
        <w:rPr>
          <w:rFonts w:cs="Arial"/>
        </w:rPr>
        <w:t>recepción de telegrama colacionado, el que, según información brindada por la Intendencia, no se ha recibido.</w:t>
      </w:r>
    </w:p>
    <w:p w:rsidR="00353CBD" w:rsidRPr="009D27AB" w:rsidRDefault="00353CBD" w:rsidP="008E4012">
      <w:pPr>
        <w:spacing w:line="360" w:lineRule="auto"/>
        <w:jc w:val="both"/>
        <w:rPr>
          <w:rFonts w:cs="Arial"/>
        </w:rPr>
      </w:pPr>
    </w:p>
    <w:p w:rsidR="00353CBD" w:rsidRPr="009D27AB" w:rsidRDefault="00353CBD" w:rsidP="008E4012">
      <w:pPr>
        <w:pStyle w:val="Ttulo2"/>
        <w:widowControl w:val="0"/>
        <w:spacing w:after="0"/>
        <w:jc w:val="both"/>
        <w:rPr>
          <w:rFonts w:cs="Arial"/>
        </w:rPr>
      </w:pPr>
      <w:bookmarkStart w:id="6" w:name="_Toc405566069"/>
      <w:r>
        <w:rPr>
          <w:rFonts w:cs="Arial"/>
        </w:rPr>
        <w:t xml:space="preserve">2.4 </w:t>
      </w:r>
      <w:r w:rsidRPr="009D27AB">
        <w:rPr>
          <w:rFonts w:cs="Arial"/>
        </w:rPr>
        <w:t>Juicios pendientes contra la Intendencia</w:t>
      </w:r>
      <w:bookmarkEnd w:id="6"/>
    </w:p>
    <w:p w:rsidR="00353CBD" w:rsidRPr="009D27AB" w:rsidRDefault="00353CBD" w:rsidP="008E4012">
      <w:pPr>
        <w:pStyle w:val="Textoindependiente"/>
      </w:pPr>
      <w:r w:rsidRPr="009D27AB">
        <w:t>Si bien no se incluyeron en el documento de Rendición de Cuentas 2015 las eventuales erogaciones que pudieran resultar de los juicios en trámite contra la Intendencia, se proporcionó por vía complementaria, información respecto a los montos reclamados que totalizan $ 42:082.287 y U$S 156.125 y el estado de los mismos. Las eventuales erogaciones resultantes pueden modificar el resultado acumulado al 31/12/2015 de la Intendencia.</w:t>
      </w:r>
    </w:p>
    <w:p w:rsidR="00353CBD" w:rsidRPr="009D27AB" w:rsidRDefault="00353CBD" w:rsidP="008E4012">
      <w:pPr>
        <w:pStyle w:val="Textoindependiente"/>
      </w:pPr>
    </w:p>
    <w:p w:rsidR="00353CBD" w:rsidRDefault="00353CBD" w:rsidP="000B6E35">
      <w:pPr>
        <w:pStyle w:val="Ttulo2"/>
        <w:suppressAutoHyphens/>
        <w:spacing w:after="0"/>
        <w:jc w:val="both"/>
        <w:rPr>
          <w:rFonts w:cs="Arial"/>
        </w:rPr>
      </w:pPr>
      <w:bookmarkStart w:id="7" w:name="_Toc405566070"/>
      <w:r>
        <w:rPr>
          <w:rFonts w:cs="Arial"/>
        </w:rPr>
        <w:t xml:space="preserve">3 - </w:t>
      </w:r>
      <w:r w:rsidRPr="009D27AB">
        <w:rPr>
          <w:rFonts w:cs="Arial"/>
        </w:rPr>
        <w:t>Incumplimiento de normas legales</w:t>
      </w:r>
      <w:bookmarkEnd w:id="7"/>
    </w:p>
    <w:p w:rsidR="00353CBD" w:rsidRPr="008C2EC5" w:rsidRDefault="00353CBD" w:rsidP="008E4012">
      <w:pPr>
        <w:pStyle w:val="Textoindependiente"/>
        <w:rPr>
          <w:lang w:val="es-ES"/>
        </w:rPr>
      </w:pPr>
    </w:p>
    <w:p w:rsidR="00353CBD" w:rsidRDefault="00353CBD" w:rsidP="008E4012">
      <w:pPr>
        <w:pStyle w:val="Textoindependiente"/>
      </w:pPr>
      <w:r w:rsidRPr="009D27AB">
        <w:t>En relación al incumplimiento de normas, corresponde realizar la</w:t>
      </w:r>
      <w:r>
        <w:t>s</w:t>
      </w:r>
      <w:r w:rsidRPr="009D27AB">
        <w:t xml:space="preserve"> siguiente</w:t>
      </w:r>
      <w:r>
        <w:t>s</w:t>
      </w:r>
      <w:r w:rsidRPr="009D27AB">
        <w:t xml:space="preserve"> precisi</w:t>
      </w:r>
      <w:r>
        <w:t>o</w:t>
      </w:r>
      <w:r w:rsidRPr="009D27AB">
        <w:t>n</w:t>
      </w:r>
      <w:r>
        <w:t>es</w:t>
      </w:r>
      <w:r w:rsidRPr="009D27AB">
        <w:t>:</w:t>
      </w:r>
    </w:p>
    <w:p w:rsidR="00353CBD" w:rsidRPr="009D27AB" w:rsidRDefault="00353CBD" w:rsidP="008E4012">
      <w:pPr>
        <w:pStyle w:val="Textoindependiente"/>
      </w:pPr>
    </w:p>
    <w:p w:rsidR="00353CBD" w:rsidRPr="009D27AB" w:rsidRDefault="00353CBD" w:rsidP="008E4012">
      <w:pPr>
        <w:pStyle w:val="Ttulo2"/>
        <w:spacing w:after="0"/>
        <w:jc w:val="both"/>
        <w:rPr>
          <w:rFonts w:cs="Arial"/>
        </w:rPr>
      </w:pPr>
      <w:bookmarkStart w:id="8" w:name="_Toc405566071"/>
      <w:r>
        <w:rPr>
          <w:rFonts w:cs="Arial"/>
          <w:bCs/>
          <w:iCs/>
        </w:rPr>
        <w:t xml:space="preserve">3.1 </w:t>
      </w:r>
      <w:r w:rsidRPr="009D27AB">
        <w:rPr>
          <w:rFonts w:cs="Arial"/>
          <w:bCs/>
          <w:iCs/>
        </w:rPr>
        <w:t xml:space="preserve">Artículos 225 y 227 de la Constitución de la República y Ordenanza </w:t>
      </w:r>
      <w:r>
        <w:rPr>
          <w:rFonts w:cs="Arial"/>
          <w:bCs/>
          <w:iCs/>
        </w:rPr>
        <w:t xml:space="preserve">                </w:t>
      </w:r>
      <w:r w:rsidRPr="009D27AB">
        <w:rPr>
          <w:rFonts w:cs="Arial"/>
          <w:bCs/>
          <w:iCs/>
        </w:rPr>
        <w:t>N° 71 del Tribunal de Cuentas</w:t>
      </w:r>
      <w:bookmarkEnd w:id="8"/>
    </w:p>
    <w:p w:rsidR="00353CBD" w:rsidRPr="009D27AB" w:rsidRDefault="00353CBD" w:rsidP="008E4012">
      <w:pPr>
        <w:pStyle w:val="Textoindependiente"/>
      </w:pPr>
      <w:r w:rsidRPr="009D27AB">
        <w:t>Este Tribunal con fecha 04/05/2011 emitió su Dictamen constitucional respecto al Proyecto de Presupuesto Quinquenal 2011-2015 formulando las observaciones contenidas en los párrafos 2.2) al 2.4); 3.2) al 3.7); 4.2) al 4.5); 4.7) al 4.10) y 4.14) del Dictamen. No obstante haberse aceptado, por Decreto de la Junta Departamental de fecha 05/05/2011, las observaciones efectuadas en los puntos 2.2) al 2.4), 3.2) al 3.7), sólo se levantaron las observaciones contenidas en los párrafos 2.2), 3.2) y 3.7) del Dictamen. Por otra parte, se rechazaron las observaciones establecidas en los puntos 4.2) al 4.5), 4.7) al 4.10) y 4.14), remitiendo los antecedentes a la Asamblea General. Al no haber recaído decisión de ésta dentro del plazo de cuarenta días, el Presupuesto quedó sancionado.</w:t>
      </w:r>
    </w:p>
    <w:p w:rsidR="00353CBD" w:rsidRPr="009D27AB" w:rsidRDefault="00353CBD" w:rsidP="008E4012">
      <w:pPr>
        <w:pStyle w:val="Textoindependiente"/>
      </w:pPr>
      <w:r w:rsidRPr="009D27AB">
        <w:t xml:space="preserve">Asimismo, en Sesión de fecha 23/10/2013 este Tribunal emitió su Dictamen constitucional respecto de la Modificación Presupuestal para el período </w:t>
      </w:r>
      <w:r>
        <w:t xml:space="preserve">                     </w:t>
      </w:r>
      <w:r w:rsidRPr="009D27AB">
        <w:t>2013-2015 de la Intendencia, formulando las observaciones contenidas en los párrafos 2.2), 3.2), 4.2) y 4.3) del Dictamen. Posteriormente en Sesión de fecha 28/10/2013 el Legislativo Departamental resolvió aceptar las observaciones formuladas en los párrafos 2.2) y 3.2), no aceptando las observaciones formuladas por este Tribunal en los párrafos 4.2) y 4.3) y remitiendo los antecedentes a la Asamblea General, siguiendo el trámite del Artículo 225 de la Constitución de la República.</w:t>
      </w:r>
    </w:p>
    <w:p w:rsidR="00353CBD" w:rsidRPr="009D27AB" w:rsidRDefault="00353CBD" w:rsidP="008E4012">
      <w:pPr>
        <w:pStyle w:val="Textoindependiente"/>
      </w:pPr>
      <w:r w:rsidRPr="009D27AB">
        <w:t>Si bien se aceptaron las observaciones formuladas en los párrafos 2.2) y 3.2) mencionados precedentemente, no se efectuaron los ajustes correspondientes.</w:t>
      </w:r>
    </w:p>
    <w:p w:rsidR="00353CBD" w:rsidRDefault="00353CBD" w:rsidP="008E4012">
      <w:pPr>
        <w:pStyle w:val="Textoindependiente"/>
      </w:pPr>
      <w:r w:rsidRPr="009D27AB">
        <w:t>Cuando las Juntas Departamentales, al sancionar definitivamente los Presupuestos o Modificaciones Presupuestales, aceptan las observaciones formuladas por este Tribunal, deben introducir efectivamente las correcciones establecidas, por lo que, en esta oportunidad, en algunos casos no se dio cumplimiento a lo dispuesto por los Artículos 225 y 227 de la Constitución de la República, a la Ordenanza N° 71 y a la Resolución de este Tribunal de fecha 01/07/98.</w:t>
      </w:r>
    </w:p>
    <w:p w:rsidR="00353CBD" w:rsidRPr="009D27AB" w:rsidRDefault="00353CBD" w:rsidP="008E4012">
      <w:pPr>
        <w:pStyle w:val="Textoindependiente"/>
      </w:pPr>
    </w:p>
    <w:p w:rsidR="00353CBD" w:rsidRPr="009D27AB" w:rsidRDefault="00353CBD" w:rsidP="008E4012">
      <w:pPr>
        <w:pStyle w:val="Ttulo2"/>
        <w:widowControl w:val="0"/>
        <w:spacing w:after="0"/>
        <w:jc w:val="both"/>
        <w:rPr>
          <w:rFonts w:cs="Arial"/>
        </w:rPr>
      </w:pPr>
      <w:r>
        <w:rPr>
          <w:rFonts w:cs="Arial"/>
        </w:rPr>
        <w:t xml:space="preserve">3.2 </w:t>
      </w:r>
      <w:r w:rsidRPr="009D27AB">
        <w:rPr>
          <w:rFonts w:cs="Arial"/>
        </w:rPr>
        <w:t>Resolución del Tribunal de Cuentas del 28/01/2004</w:t>
      </w:r>
    </w:p>
    <w:p w:rsidR="00353CBD" w:rsidRPr="008C2EC5" w:rsidRDefault="00353CBD" w:rsidP="008E4012">
      <w:pPr>
        <w:spacing w:line="360" w:lineRule="auto"/>
        <w:jc w:val="both"/>
        <w:rPr>
          <w:rFonts w:cs="Arial"/>
          <w:bCs/>
        </w:rPr>
      </w:pPr>
      <w:r w:rsidRPr="008C2EC5">
        <w:rPr>
          <w:rFonts w:cs="Arial"/>
          <w:bCs/>
        </w:rPr>
        <w:t>El documento de la Rendición de Cuentas presentado no se ajusta, en su totalidad, a lo dispuesto por dicha Resolución por los siguientes motivos:</w:t>
      </w:r>
    </w:p>
    <w:p w:rsidR="00353CBD" w:rsidRPr="008C2EC5" w:rsidRDefault="00353CBD" w:rsidP="00353CBD">
      <w:pPr>
        <w:numPr>
          <w:ilvl w:val="0"/>
          <w:numId w:val="2"/>
        </w:numPr>
        <w:spacing w:line="360" w:lineRule="auto"/>
        <w:ind w:left="0"/>
        <w:jc w:val="both"/>
        <w:rPr>
          <w:rFonts w:cs="Arial"/>
        </w:rPr>
      </w:pPr>
      <w:r w:rsidRPr="008C2EC5">
        <w:rPr>
          <w:rFonts w:cs="Arial"/>
        </w:rPr>
        <w:t>No se presenta el Estado Nº 1 “Del grado de cumplimiento de los objetivos y metas”, lo que también incumple lo dispuesto por el Artículo 128 del TOCAF.</w:t>
      </w:r>
    </w:p>
    <w:p w:rsidR="00353CBD" w:rsidRPr="008C2EC5" w:rsidRDefault="00353CBD" w:rsidP="00353CBD">
      <w:pPr>
        <w:numPr>
          <w:ilvl w:val="0"/>
          <w:numId w:val="2"/>
        </w:numPr>
        <w:spacing w:line="360" w:lineRule="auto"/>
        <w:ind w:left="0"/>
        <w:jc w:val="both"/>
        <w:rPr>
          <w:rFonts w:cs="Arial"/>
        </w:rPr>
      </w:pPr>
      <w:r w:rsidRPr="008C2EC5">
        <w:rPr>
          <w:rFonts w:cs="Arial"/>
        </w:rPr>
        <w:t>No se presenta el Estado Nº 3.3.5</w:t>
      </w:r>
      <w:r>
        <w:rPr>
          <w:rFonts w:cs="Arial"/>
        </w:rPr>
        <w:t xml:space="preserve"> “</w:t>
      </w:r>
      <w:r w:rsidRPr="008C2EC5">
        <w:rPr>
          <w:rFonts w:cs="Arial"/>
        </w:rPr>
        <w:t>Compromisos de inversión no ejecutados al cierre del Ejercicio</w:t>
      </w:r>
      <w:r>
        <w:rPr>
          <w:rFonts w:cs="Arial"/>
        </w:rPr>
        <w:t>”</w:t>
      </w:r>
      <w:r w:rsidRPr="008C2EC5">
        <w:rPr>
          <w:rFonts w:cs="Arial"/>
        </w:rPr>
        <w:t>.</w:t>
      </w:r>
    </w:p>
    <w:p w:rsidR="00353CBD" w:rsidRPr="008C2EC5" w:rsidRDefault="00353CBD" w:rsidP="00353CBD">
      <w:pPr>
        <w:numPr>
          <w:ilvl w:val="0"/>
          <w:numId w:val="2"/>
        </w:numPr>
        <w:spacing w:line="360" w:lineRule="auto"/>
        <w:ind w:left="0"/>
        <w:jc w:val="both"/>
        <w:rPr>
          <w:rFonts w:cs="Arial"/>
        </w:rPr>
      </w:pPr>
      <w:r>
        <w:rPr>
          <w:rFonts w:cs="Arial"/>
        </w:rPr>
        <w:t>No se presenta el Estado N° 5</w:t>
      </w:r>
      <w:r w:rsidRPr="008C2EC5">
        <w:rPr>
          <w:rFonts w:cs="Arial"/>
        </w:rPr>
        <w:t xml:space="preserve"> </w:t>
      </w:r>
      <w:r>
        <w:rPr>
          <w:rFonts w:cs="Arial"/>
        </w:rPr>
        <w:t>“</w:t>
      </w:r>
      <w:r w:rsidRPr="008C2EC5">
        <w:rPr>
          <w:rFonts w:cs="Arial"/>
        </w:rPr>
        <w:t>Recursos con destino específico</w:t>
      </w:r>
      <w:r>
        <w:rPr>
          <w:rFonts w:cs="Arial"/>
        </w:rPr>
        <w:t>”</w:t>
      </w:r>
      <w:r w:rsidRPr="008C2EC5">
        <w:rPr>
          <w:rFonts w:cs="Arial"/>
        </w:rPr>
        <w:t>.</w:t>
      </w:r>
    </w:p>
    <w:p w:rsidR="00353CBD" w:rsidRPr="008C2EC5" w:rsidRDefault="00353CBD" w:rsidP="00353CBD">
      <w:pPr>
        <w:numPr>
          <w:ilvl w:val="0"/>
          <w:numId w:val="2"/>
        </w:numPr>
        <w:spacing w:line="360" w:lineRule="auto"/>
        <w:ind w:left="0"/>
        <w:jc w:val="both"/>
        <w:rPr>
          <w:rFonts w:cs="Arial"/>
        </w:rPr>
      </w:pPr>
      <w:r w:rsidRPr="008C2EC5">
        <w:rPr>
          <w:rFonts w:cs="Arial"/>
        </w:rPr>
        <w:t>No se detalla, según lo establecido en el punto 3.6.4, el número de arqueos realizados en cada repartición durante el ejercicio, por  Contaduría y/o la Unidad de Auditoría Interna.</w:t>
      </w:r>
    </w:p>
    <w:p w:rsidR="00353CBD" w:rsidRPr="008C2EC5" w:rsidRDefault="00353CBD" w:rsidP="00353CBD">
      <w:pPr>
        <w:numPr>
          <w:ilvl w:val="0"/>
          <w:numId w:val="2"/>
        </w:numPr>
        <w:spacing w:line="360" w:lineRule="auto"/>
        <w:ind w:left="0"/>
        <w:jc w:val="both"/>
        <w:rPr>
          <w:rFonts w:cs="Arial"/>
          <w:b/>
        </w:rPr>
      </w:pPr>
      <w:r w:rsidRPr="008C2EC5">
        <w:rPr>
          <w:rFonts w:cs="Arial"/>
        </w:rPr>
        <w:t xml:space="preserve">No se deja expresa constancia de que el Estado Nº 3.6.2 </w:t>
      </w:r>
      <w:r>
        <w:rPr>
          <w:rFonts w:cs="Arial"/>
        </w:rPr>
        <w:t>“</w:t>
      </w:r>
      <w:r w:rsidRPr="008C2EC5">
        <w:rPr>
          <w:rFonts w:cs="Arial"/>
        </w:rPr>
        <w:t>Descomposición del Saldo de Caja y Bancos</w:t>
      </w:r>
      <w:r>
        <w:rPr>
          <w:rFonts w:cs="Arial"/>
        </w:rPr>
        <w:t>”</w:t>
      </w:r>
      <w:r w:rsidRPr="008C2EC5">
        <w:rPr>
          <w:rFonts w:cs="Arial"/>
        </w:rPr>
        <w:t>, comprende a la totalidad de las cuentas bancarias y Cajas de la Intendencia.</w:t>
      </w:r>
    </w:p>
    <w:p w:rsidR="00353CBD" w:rsidRPr="008C2EC5" w:rsidRDefault="00353CBD" w:rsidP="00353CBD">
      <w:pPr>
        <w:numPr>
          <w:ilvl w:val="0"/>
          <w:numId w:val="2"/>
        </w:numPr>
        <w:spacing w:line="360" w:lineRule="auto"/>
        <w:ind w:left="0"/>
        <w:jc w:val="both"/>
        <w:rPr>
          <w:rFonts w:cs="Arial"/>
        </w:rPr>
      </w:pPr>
      <w:r w:rsidRPr="008C2EC5">
        <w:rPr>
          <w:rFonts w:cs="Arial"/>
        </w:rPr>
        <w:t xml:space="preserve">No se presenta el Estado N°7 </w:t>
      </w:r>
      <w:r>
        <w:rPr>
          <w:rFonts w:cs="Arial"/>
        </w:rPr>
        <w:t>“</w:t>
      </w:r>
      <w:r w:rsidRPr="008C2EC5">
        <w:rPr>
          <w:rFonts w:cs="Arial"/>
        </w:rPr>
        <w:t>Fondos a rendir cuenta y bienes en custodia</w:t>
      </w:r>
      <w:r>
        <w:rPr>
          <w:rFonts w:cs="Arial"/>
        </w:rPr>
        <w:t>”</w:t>
      </w:r>
      <w:r w:rsidRPr="008C2EC5">
        <w:rPr>
          <w:rFonts w:cs="Arial"/>
        </w:rPr>
        <w:t>.</w:t>
      </w:r>
    </w:p>
    <w:p w:rsidR="00353CBD" w:rsidRPr="008C2EC5" w:rsidRDefault="00353CBD" w:rsidP="00353CBD">
      <w:pPr>
        <w:numPr>
          <w:ilvl w:val="0"/>
          <w:numId w:val="2"/>
        </w:numPr>
        <w:spacing w:line="360" w:lineRule="auto"/>
        <w:ind w:left="0"/>
        <w:jc w:val="both"/>
        <w:rPr>
          <w:rFonts w:cs="Arial"/>
        </w:rPr>
      </w:pPr>
      <w:r w:rsidRPr="008C2EC5">
        <w:rPr>
          <w:rFonts w:cs="Arial"/>
        </w:rPr>
        <w:t>No se detallan, tal como establece el punto 3.8.2, las obligaciones presupuestales impagas generadas en ejercicios anteriores, así como tampoco se adjuntan las certificaciones de los Organismos públicos con el detalle de las deudas y las conciliaciones respectivas.</w:t>
      </w:r>
    </w:p>
    <w:p w:rsidR="00353CBD" w:rsidRPr="008C2EC5" w:rsidRDefault="00353CBD" w:rsidP="00353CBD">
      <w:pPr>
        <w:numPr>
          <w:ilvl w:val="0"/>
          <w:numId w:val="2"/>
        </w:numPr>
        <w:spacing w:line="360" w:lineRule="auto"/>
        <w:ind w:left="0"/>
        <w:jc w:val="both"/>
        <w:rPr>
          <w:rFonts w:cs="Arial"/>
        </w:rPr>
      </w:pPr>
      <w:r>
        <w:rPr>
          <w:rFonts w:cs="Arial"/>
        </w:rPr>
        <w:t>En el Estado Nº 13</w:t>
      </w:r>
      <w:r w:rsidRPr="008C2EC5">
        <w:rPr>
          <w:rFonts w:cs="Arial"/>
        </w:rPr>
        <w:t xml:space="preserve"> </w:t>
      </w:r>
      <w:r>
        <w:rPr>
          <w:rFonts w:cs="Arial"/>
        </w:rPr>
        <w:t>“</w:t>
      </w:r>
      <w:r w:rsidRPr="008C2EC5">
        <w:rPr>
          <w:rFonts w:cs="Arial"/>
        </w:rPr>
        <w:t>Fondos Extrapresupuestales</w:t>
      </w:r>
      <w:r>
        <w:rPr>
          <w:rFonts w:cs="Arial"/>
        </w:rPr>
        <w:t>”</w:t>
      </w:r>
      <w:r w:rsidRPr="008C2EC5">
        <w:rPr>
          <w:rFonts w:cs="Arial"/>
        </w:rPr>
        <w:t>, se incluyen conceptos que no cumplen con la definición correspondiente a este estado.</w:t>
      </w:r>
    </w:p>
    <w:p w:rsidR="00353CBD" w:rsidRPr="008C2EC5" w:rsidRDefault="00353CBD" w:rsidP="00353CBD">
      <w:pPr>
        <w:numPr>
          <w:ilvl w:val="0"/>
          <w:numId w:val="2"/>
        </w:numPr>
        <w:spacing w:line="360" w:lineRule="auto"/>
        <w:ind w:left="0"/>
        <w:jc w:val="both"/>
        <w:rPr>
          <w:rFonts w:cs="Arial"/>
        </w:rPr>
      </w:pPr>
      <w:r w:rsidRPr="008C2EC5">
        <w:rPr>
          <w:rFonts w:cs="Arial"/>
        </w:rPr>
        <w:t xml:space="preserve">No incluye el Estado N° 15 </w:t>
      </w:r>
      <w:r>
        <w:rPr>
          <w:rFonts w:cs="Arial"/>
        </w:rPr>
        <w:t>“</w:t>
      </w:r>
      <w:r w:rsidRPr="008C2EC5">
        <w:rPr>
          <w:rFonts w:cs="Arial"/>
        </w:rPr>
        <w:t>Existencias de Activos</w:t>
      </w:r>
      <w:r>
        <w:rPr>
          <w:rFonts w:cs="Arial"/>
        </w:rPr>
        <w:t>”</w:t>
      </w:r>
      <w:r w:rsidRPr="008C2EC5">
        <w:rPr>
          <w:rFonts w:cs="Arial"/>
        </w:rPr>
        <w:t>.</w:t>
      </w:r>
    </w:p>
    <w:p w:rsidR="00353CBD" w:rsidRPr="008C2EC5" w:rsidRDefault="00353CBD" w:rsidP="00353CBD">
      <w:pPr>
        <w:numPr>
          <w:ilvl w:val="0"/>
          <w:numId w:val="2"/>
        </w:numPr>
        <w:spacing w:line="360" w:lineRule="auto"/>
        <w:ind w:left="0"/>
        <w:jc w:val="both"/>
        <w:rPr>
          <w:rFonts w:cs="Arial"/>
        </w:rPr>
      </w:pPr>
      <w:r>
        <w:rPr>
          <w:rFonts w:cs="Arial"/>
        </w:rPr>
        <w:t>Respecto a “O</w:t>
      </w:r>
      <w:r w:rsidRPr="008C2EC5">
        <w:rPr>
          <w:rFonts w:cs="Arial"/>
        </w:rPr>
        <w:t>tras informaciones</w:t>
      </w:r>
      <w:r>
        <w:rPr>
          <w:rFonts w:cs="Arial"/>
        </w:rPr>
        <w:t>”</w:t>
      </w:r>
      <w:r w:rsidRPr="008C2EC5">
        <w:rPr>
          <w:rFonts w:cs="Arial"/>
        </w:rPr>
        <w:t>:</w:t>
      </w:r>
    </w:p>
    <w:p w:rsidR="00353CBD" w:rsidRPr="008C2EC5" w:rsidRDefault="00353CBD" w:rsidP="00353CBD">
      <w:pPr>
        <w:numPr>
          <w:ilvl w:val="1"/>
          <w:numId w:val="2"/>
        </w:numPr>
        <w:spacing w:line="360" w:lineRule="auto"/>
        <w:ind w:left="0"/>
        <w:jc w:val="both"/>
        <w:rPr>
          <w:rFonts w:cs="Arial"/>
        </w:rPr>
      </w:pPr>
      <w:r w:rsidRPr="008C2EC5">
        <w:rPr>
          <w:rFonts w:cs="Arial"/>
        </w:rPr>
        <w:t>No se indica si se utiliza el método de partida doble en la contabilidad presupuestal.</w:t>
      </w:r>
    </w:p>
    <w:p w:rsidR="00353CBD" w:rsidRPr="008C2EC5" w:rsidRDefault="00353CBD" w:rsidP="00353CBD">
      <w:pPr>
        <w:numPr>
          <w:ilvl w:val="1"/>
          <w:numId w:val="2"/>
        </w:numPr>
        <w:spacing w:line="360" w:lineRule="auto"/>
        <w:ind w:left="0"/>
        <w:jc w:val="both"/>
        <w:rPr>
          <w:rFonts w:cs="Arial"/>
        </w:rPr>
      </w:pPr>
      <w:r w:rsidRPr="008C2EC5">
        <w:rPr>
          <w:rFonts w:cs="Arial"/>
        </w:rPr>
        <w:t xml:space="preserve">No se deja constancia </w:t>
      </w:r>
      <w:r>
        <w:rPr>
          <w:rFonts w:cs="Arial"/>
        </w:rPr>
        <w:t xml:space="preserve">de </w:t>
      </w:r>
      <w:r w:rsidRPr="008C2EC5">
        <w:rPr>
          <w:rFonts w:cs="Arial"/>
        </w:rPr>
        <w:t>que se cumplan con las Leyes de Accidentes de trabajo (</w:t>
      </w:r>
      <w:r>
        <w:rPr>
          <w:rFonts w:cs="Arial"/>
        </w:rPr>
        <w:t>A</w:t>
      </w:r>
      <w:r w:rsidRPr="008C2EC5">
        <w:rPr>
          <w:rFonts w:cs="Arial"/>
        </w:rPr>
        <w:t xml:space="preserve">rtículo 5 de la Ley N° 16.074 y artículo 3° de la Ley N°16.134), pero se pudo verificar que se dio cumplimiento. </w:t>
      </w:r>
    </w:p>
    <w:p w:rsidR="00353CBD" w:rsidRPr="008C2EC5" w:rsidRDefault="00353CBD" w:rsidP="00353CBD">
      <w:pPr>
        <w:numPr>
          <w:ilvl w:val="1"/>
          <w:numId w:val="2"/>
        </w:numPr>
        <w:spacing w:line="360" w:lineRule="auto"/>
        <w:ind w:left="0"/>
        <w:jc w:val="both"/>
        <w:rPr>
          <w:rFonts w:cs="Arial"/>
        </w:rPr>
      </w:pPr>
      <w:r w:rsidRPr="008C2EC5">
        <w:rPr>
          <w:rFonts w:cs="Arial"/>
        </w:rPr>
        <w:t>No se incluye informe del Departamento Jurídico de la Intendencia de Artigas sobre los juicios iniciados contra la Comuna, estado de los mismos y la estimación de los respectivos importes a pagar, pero a pedido del Tribunal de Cuentas, la Intendencia brinda esta información.</w:t>
      </w:r>
    </w:p>
    <w:p w:rsidR="00353CBD" w:rsidRPr="008C2EC5" w:rsidRDefault="00353CBD" w:rsidP="00353CBD">
      <w:pPr>
        <w:numPr>
          <w:ilvl w:val="1"/>
          <w:numId w:val="2"/>
        </w:numPr>
        <w:spacing w:line="360" w:lineRule="auto"/>
        <w:ind w:left="0"/>
        <w:jc w:val="both"/>
        <w:rPr>
          <w:rFonts w:cs="Arial"/>
        </w:rPr>
      </w:pPr>
      <w:r w:rsidRPr="008C2EC5">
        <w:rPr>
          <w:rFonts w:cs="Arial"/>
        </w:rPr>
        <w:t>No se incluye el detalle de los contratos de arrendamiento de servicios vigentes durante el Ejercicio, ni la indicación de los nombres, importes y funciones correspondientes.</w:t>
      </w:r>
      <w:r>
        <w:rPr>
          <w:rFonts w:cs="Arial"/>
        </w:rPr>
        <w:t xml:space="preserve"> </w:t>
      </w:r>
    </w:p>
    <w:p w:rsidR="00353CBD" w:rsidRDefault="00353CBD" w:rsidP="008E4012">
      <w:pPr>
        <w:pStyle w:val="Ttulo2"/>
        <w:widowControl w:val="0"/>
        <w:suppressAutoHyphens/>
        <w:spacing w:after="0"/>
        <w:jc w:val="both"/>
        <w:rPr>
          <w:rFonts w:cs="Arial"/>
          <w:b w:val="0"/>
          <w:kern w:val="0"/>
          <w:lang w:val="es-ES_tradnl"/>
        </w:rPr>
      </w:pPr>
      <w:bookmarkStart w:id="9" w:name="_Toc405566072"/>
    </w:p>
    <w:p w:rsidR="00353CBD" w:rsidRPr="009D27AB" w:rsidRDefault="00353CBD" w:rsidP="008E4012">
      <w:pPr>
        <w:pStyle w:val="Ttulo2"/>
        <w:widowControl w:val="0"/>
        <w:suppressAutoHyphens/>
        <w:spacing w:after="0"/>
        <w:jc w:val="both"/>
        <w:rPr>
          <w:rFonts w:cs="Arial"/>
        </w:rPr>
      </w:pPr>
      <w:r>
        <w:rPr>
          <w:rFonts w:cs="Arial"/>
        </w:rPr>
        <w:t xml:space="preserve">4- </w:t>
      </w:r>
      <w:r w:rsidRPr="009D27AB">
        <w:rPr>
          <w:rFonts w:cs="Arial"/>
        </w:rPr>
        <w:t>Debilidades de Control Interno</w:t>
      </w:r>
      <w:bookmarkEnd w:id="9"/>
    </w:p>
    <w:p w:rsidR="00353CBD" w:rsidRPr="009D27AB" w:rsidRDefault="00353CBD" w:rsidP="008E4012">
      <w:pPr>
        <w:pStyle w:val="Textoindependiente"/>
      </w:pPr>
    </w:p>
    <w:p w:rsidR="00353CBD" w:rsidRDefault="00353CBD" w:rsidP="008E4012">
      <w:pPr>
        <w:pStyle w:val="Ttulo2"/>
        <w:numPr>
          <w:ilvl w:val="1"/>
          <w:numId w:val="0"/>
        </w:numPr>
        <w:tabs>
          <w:tab w:val="num" w:pos="0"/>
        </w:tabs>
        <w:spacing w:after="0"/>
        <w:ind w:hanging="576"/>
        <w:jc w:val="both"/>
        <w:rPr>
          <w:rFonts w:cs="Arial"/>
        </w:rPr>
      </w:pPr>
      <w:r>
        <w:rPr>
          <w:rFonts w:cs="Arial"/>
        </w:rPr>
        <w:tab/>
        <w:t xml:space="preserve">4.1 </w:t>
      </w:r>
      <w:r w:rsidRPr="009D27AB">
        <w:rPr>
          <w:rFonts w:cs="Arial"/>
        </w:rPr>
        <w:t>Respecto a recursos y manejo de fondos</w:t>
      </w:r>
    </w:p>
    <w:p w:rsidR="00353CBD" w:rsidRDefault="00353CBD" w:rsidP="008E4012">
      <w:pPr>
        <w:pStyle w:val="Textoindependiente"/>
        <w:rPr>
          <w:lang w:val="es-ES"/>
        </w:rPr>
      </w:pPr>
    </w:p>
    <w:p w:rsidR="00353CBD" w:rsidRPr="008C2EC5" w:rsidRDefault="00353CBD" w:rsidP="008E4012">
      <w:pPr>
        <w:pStyle w:val="Ttulo2"/>
        <w:numPr>
          <w:ilvl w:val="1"/>
          <w:numId w:val="0"/>
        </w:numPr>
        <w:tabs>
          <w:tab w:val="num" w:pos="0"/>
        </w:tabs>
        <w:spacing w:after="0"/>
        <w:ind w:hanging="576"/>
        <w:jc w:val="both"/>
        <w:rPr>
          <w:rFonts w:cs="Arial"/>
        </w:rPr>
      </w:pPr>
      <w:r>
        <w:rPr>
          <w:rFonts w:cs="Arial"/>
        </w:rPr>
        <w:tab/>
        <w:t xml:space="preserve">4.1.1 </w:t>
      </w:r>
      <w:r w:rsidRPr="008C2EC5">
        <w:rPr>
          <w:rFonts w:cs="Arial"/>
        </w:rPr>
        <w:t>Actas de Arqueo</w:t>
      </w:r>
    </w:p>
    <w:p w:rsidR="00353CBD" w:rsidRPr="008C2EC5" w:rsidRDefault="00353CBD" w:rsidP="008E4012">
      <w:pPr>
        <w:pStyle w:val="Textoindependiente"/>
      </w:pPr>
      <w:r w:rsidRPr="008C2EC5">
        <w:t>En algunos casos, en las actas de arqueo no se detallan los comprobantes pendientes de descargo ni su antigüedad.</w:t>
      </w:r>
      <w:r>
        <w:t xml:space="preserve"> </w:t>
      </w:r>
    </w:p>
    <w:p w:rsidR="00353CBD" w:rsidRPr="008C2EC5" w:rsidRDefault="00353CBD" w:rsidP="008E4012">
      <w:pPr>
        <w:pStyle w:val="Textoindependiente"/>
      </w:pPr>
    </w:p>
    <w:p w:rsidR="00353CBD" w:rsidRPr="008C2EC5" w:rsidRDefault="00353CBD" w:rsidP="008E4012">
      <w:pPr>
        <w:pStyle w:val="Ttulo2"/>
        <w:numPr>
          <w:ilvl w:val="1"/>
          <w:numId w:val="0"/>
        </w:numPr>
        <w:tabs>
          <w:tab w:val="num" w:pos="0"/>
        </w:tabs>
        <w:spacing w:after="0"/>
        <w:ind w:hanging="576"/>
        <w:jc w:val="both"/>
        <w:rPr>
          <w:rFonts w:cs="Arial"/>
        </w:rPr>
      </w:pPr>
      <w:r>
        <w:rPr>
          <w:rFonts w:cs="Arial"/>
        </w:rPr>
        <w:tab/>
        <w:t xml:space="preserve">4.1.2 </w:t>
      </w:r>
      <w:r w:rsidRPr="008C2EC5">
        <w:rPr>
          <w:rFonts w:cs="Arial"/>
        </w:rPr>
        <w:t>Cheques diferidos y Tarjeta de Crédito</w:t>
      </w:r>
    </w:p>
    <w:p w:rsidR="00353CBD" w:rsidRPr="008C2EC5" w:rsidRDefault="00353CBD" w:rsidP="008E4012">
      <w:pPr>
        <w:pStyle w:val="Textoindependiente"/>
      </w:pPr>
      <w:r w:rsidRPr="008C2EC5">
        <w:t>La Intendencia (Tesorería) acepta como forma de pago efectivo, cheques diferidos, cheques comunes y la tarjeta Cabal. Contaduría no cuenta con un registro contable específico de los cheques diferidos y cupones Cabal. No obstante, corresponde señalar que Tesorería comunica diariamente a Contaduría la relación de cheques diferidos, comunes y cupones Cabal.</w:t>
      </w:r>
    </w:p>
    <w:p w:rsidR="00353CBD" w:rsidRPr="008C2EC5" w:rsidRDefault="00353CBD" w:rsidP="008E4012">
      <w:pPr>
        <w:pStyle w:val="Textoindependiente"/>
      </w:pPr>
    </w:p>
    <w:p w:rsidR="00353CBD" w:rsidRPr="008C2EC5" w:rsidRDefault="00353CBD" w:rsidP="008E4012">
      <w:pPr>
        <w:pStyle w:val="Ttulo2"/>
        <w:numPr>
          <w:ilvl w:val="1"/>
          <w:numId w:val="0"/>
        </w:numPr>
        <w:tabs>
          <w:tab w:val="num" w:pos="0"/>
        </w:tabs>
        <w:spacing w:after="0"/>
        <w:ind w:hanging="576"/>
        <w:jc w:val="both"/>
        <w:rPr>
          <w:rFonts w:cs="Arial"/>
        </w:rPr>
      </w:pPr>
      <w:r>
        <w:rPr>
          <w:rFonts w:cs="Arial"/>
        </w:rPr>
        <w:tab/>
        <w:t xml:space="preserve">4.1.3 </w:t>
      </w:r>
      <w:r w:rsidRPr="008C2EC5">
        <w:rPr>
          <w:rFonts w:cs="Arial"/>
        </w:rPr>
        <w:t>Cheques recibidos</w:t>
      </w:r>
    </w:p>
    <w:p w:rsidR="00353CBD" w:rsidRPr="009D27AB" w:rsidRDefault="00353CBD" w:rsidP="008E4012">
      <w:pPr>
        <w:pStyle w:val="Textoindependiente"/>
      </w:pPr>
      <w:r w:rsidRPr="008C2EC5">
        <w:t>Al igual que en ejercicios anteriores no se tiene como política endosar o cruzar los cheques al momento de ser recibi</w:t>
      </w:r>
      <w:r w:rsidRPr="008C2EC5">
        <w:softHyphen/>
        <w:t>dos.</w:t>
      </w:r>
    </w:p>
    <w:p w:rsidR="00353CBD" w:rsidRPr="009D27AB" w:rsidRDefault="00353CBD" w:rsidP="008E4012">
      <w:pPr>
        <w:pStyle w:val="Textoindependiente"/>
      </w:pPr>
    </w:p>
    <w:p w:rsidR="00353CBD" w:rsidRPr="009D27AB" w:rsidRDefault="00353CBD" w:rsidP="008E4012">
      <w:pPr>
        <w:spacing w:line="360" w:lineRule="auto"/>
        <w:jc w:val="both"/>
        <w:rPr>
          <w:rFonts w:cs="Arial"/>
          <w:b/>
        </w:rPr>
      </w:pPr>
      <w:r>
        <w:rPr>
          <w:rFonts w:cs="Arial"/>
          <w:b/>
        </w:rPr>
        <w:t xml:space="preserve">4.1.4 </w:t>
      </w:r>
      <w:r w:rsidRPr="009D27AB">
        <w:rPr>
          <w:rFonts w:cs="Arial"/>
          <w:b/>
        </w:rPr>
        <w:t>Convenios de contribuyentes</w:t>
      </w:r>
    </w:p>
    <w:p w:rsidR="00353CBD" w:rsidRPr="008C2EC5" w:rsidRDefault="00353CBD" w:rsidP="008E4012">
      <w:pPr>
        <w:pStyle w:val="Textoindependiente"/>
      </w:pPr>
      <w:r w:rsidRPr="008C2EC5">
        <w:t xml:space="preserve">Si bien las responsabilidades y procedimientos para aprobar convenios a contribuyentes están establecidos, los mismos no son objeto de un seguimiento por personal de otro sector independiente. </w:t>
      </w:r>
    </w:p>
    <w:p w:rsidR="00353CBD" w:rsidRPr="008C2EC5" w:rsidRDefault="00353CBD" w:rsidP="008E4012">
      <w:pPr>
        <w:pStyle w:val="Textoindependiente"/>
      </w:pPr>
      <w:r w:rsidRPr="008C2EC5">
        <w:t xml:space="preserve"> </w:t>
      </w:r>
    </w:p>
    <w:p w:rsidR="00353CBD" w:rsidRPr="008C2EC5" w:rsidRDefault="00353CBD" w:rsidP="008E4012">
      <w:pPr>
        <w:spacing w:line="360" w:lineRule="auto"/>
        <w:jc w:val="both"/>
        <w:rPr>
          <w:rFonts w:cs="Arial"/>
          <w:b/>
        </w:rPr>
      </w:pPr>
      <w:r>
        <w:rPr>
          <w:rFonts w:cs="Arial"/>
          <w:b/>
        </w:rPr>
        <w:t xml:space="preserve">4.1.5 </w:t>
      </w:r>
      <w:r w:rsidRPr="008C2EC5">
        <w:rPr>
          <w:rFonts w:cs="Arial"/>
          <w:b/>
        </w:rPr>
        <w:t>Anulación de recibos</w:t>
      </w:r>
    </w:p>
    <w:p w:rsidR="00353CBD" w:rsidRPr="009D27AB" w:rsidRDefault="00353CBD" w:rsidP="008E4012">
      <w:pPr>
        <w:spacing w:line="360" w:lineRule="auto"/>
        <w:jc w:val="both"/>
        <w:rPr>
          <w:rFonts w:cs="Arial"/>
          <w:b/>
        </w:rPr>
      </w:pPr>
      <w:r w:rsidRPr="008C2EC5">
        <w:rPr>
          <w:rFonts w:cs="Arial"/>
        </w:rPr>
        <w:t>La anulación o devolución de recibos es realizada y controlada por la misma persona, no siendo objeto de seguimiento por otro sector independiente. Además no se deja constancia de dicho control.</w:t>
      </w:r>
      <w:r>
        <w:rPr>
          <w:rFonts w:cs="Arial"/>
        </w:rPr>
        <w:t xml:space="preserve"> </w:t>
      </w:r>
    </w:p>
    <w:p w:rsidR="00353CBD" w:rsidRDefault="00353CBD" w:rsidP="008E4012">
      <w:pPr>
        <w:pStyle w:val="Textoindependiente2"/>
        <w:widowControl w:val="0"/>
        <w:suppressAutoHyphens/>
        <w:jc w:val="both"/>
        <w:rPr>
          <w:rStyle w:val="Ttulo2Car"/>
          <w:rFonts w:cs="Arial"/>
        </w:rPr>
      </w:pPr>
    </w:p>
    <w:p w:rsidR="00353CBD" w:rsidRPr="009D27AB" w:rsidRDefault="00353CBD" w:rsidP="008E4012">
      <w:pPr>
        <w:pStyle w:val="Textoindependiente2"/>
        <w:widowControl w:val="0"/>
        <w:suppressAutoHyphens/>
        <w:jc w:val="both"/>
        <w:rPr>
          <w:rStyle w:val="Ttulo2Car"/>
          <w:rFonts w:cs="Arial"/>
        </w:rPr>
      </w:pPr>
      <w:r>
        <w:rPr>
          <w:rStyle w:val="Ttulo2Car"/>
          <w:rFonts w:cs="Arial"/>
        </w:rPr>
        <w:t xml:space="preserve">4.1.6 </w:t>
      </w:r>
      <w:r w:rsidRPr="009D27AB">
        <w:rPr>
          <w:rStyle w:val="Ttulo2Car"/>
          <w:rFonts w:cs="Arial"/>
        </w:rPr>
        <w:t>Aforos de catastro</w:t>
      </w:r>
    </w:p>
    <w:p w:rsidR="00353CBD" w:rsidRPr="008C2EC5" w:rsidRDefault="00353CBD" w:rsidP="008E4012">
      <w:pPr>
        <w:pStyle w:val="Textoindependiente2"/>
        <w:widowControl w:val="0"/>
        <w:suppressAutoHyphens/>
        <w:jc w:val="both"/>
        <w:rPr>
          <w:rFonts w:ascii="Arial" w:hAnsi="Arial" w:cs="Arial"/>
          <w:lang w:val="es-MX"/>
        </w:rPr>
      </w:pPr>
      <w:r w:rsidRPr="008C2EC5">
        <w:rPr>
          <w:rStyle w:val="Ttulo2Car"/>
          <w:rFonts w:cs="Arial"/>
          <w:b w:val="0"/>
        </w:rPr>
        <w:t>No se controla que los valores de aforos sobre los que se determina la</w:t>
      </w:r>
      <w:r w:rsidRPr="008C2EC5">
        <w:rPr>
          <w:rFonts w:ascii="Arial" w:hAnsi="Arial" w:cs="Arial"/>
          <w:b/>
          <w:lang w:val="es-MX"/>
        </w:rPr>
        <w:t xml:space="preserve"> </w:t>
      </w:r>
      <w:r w:rsidRPr="008C2EC5">
        <w:rPr>
          <w:rFonts w:ascii="Arial" w:hAnsi="Arial" w:cs="Arial"/>
          <w:lang w:val="es-MX"/>
        </w:rPr>
        <w:t xml:space="preserve">contribución inmobiliaria urbana y rural coincidan con los de Catastro y, asimismo, no se controla en forma periódica la base de cálculo de los tributos. </w:t>
      </w:r>
    </w:p>
    <w:p w:rsidR="00353CBD" w:rsidRPr="009D27AB" w:rsidRDefault="00353CBD" w:rsidP="008E4012">
      <w:pPr>
        <w:pStyle w:val="Textoindependiente2"/>
        <w:widowControl w:val="0"/>
        <w:suppressAutoHyphens/>
        <w:jc w:val="both"/>
        <w:rPr>
          <w:rFonts w:ascii="Arial" w:hAnsi="Arial" w:cs="Arial"/>
          <w:highlight w:val="cyan"/>
          <w:lang w:val="es-MX"/>
        </w:rPr>
      </w:pPr>
    </w:p>
    <w:p w:rsidR="00353CBD" w:rsidRPr="0037397B" w:rsidRDefault="00353CBD" w:rsidP="008E4012">
      <w:pPr>
        <w:pStyle w:val="Textoindependiente2"/>
        <w:widowControl w:val="0"/>
        <w:suppressAutoHyphens/>
        <w:jc w:val="both"/>
        <w:rPr>
          <w:rStyle w:val="Ttulo2Car"/>
          <w:rFonts w:cs="Arial"/>
        </w:rPr>
      </w:pPr>
      <w:r w:rsidRPr="0037397B">
        <w:rPr>
          <w:rStyle w:val="Ttulo2Car"/>
          <w:rFonts w:cs="Arial"/>
        </w:rPr>
        <w:t xml:space="preserve">4.1.7 </w:t>
      </w:r>
      <w:r w:rsidRPr="0037397B">
        <w:rPr>
          <w:rFonts w:ascii="Arial" w:hAnsi="Arial" w:cs="Arial"/>
          <w:b/>
          <w:lang w:val="es-MX"/>
        </w:rPr>
        <w:t>Ley Nº 12.700 -</w:t>
      </w:r>
      <w:r w:rsidRPr="0037397B">
        <w:rPr>
          <w:rFonts w:ascii="Arial" w:hAnsi="Arial" w:cs="Arial"/>
          <w:lang w:val="es-MX"/>
        </w:rPr>
        <w:t xml:space="preserve"> </w:t>
      </w:r>
      <w:r w:rsidRPr="0037397B">
        <w:rPr>
          <w:rStyle w:val="Ttulo2Car"/>
          <w:rFonts w:cs="Arial"/>
        </w:rPr>
        <w:t>Ley de semovientes</w:t>
      </w:r>
    </w:p>
    <w:p w:rsidR="00353CBD" w:rsidRPr="009D27AB" w:rsidRDefault="00353CBD" w:rsidP="008E4012">
      <w:pPr>
        <w:spacing w:line="360" w:lineRule="auto"/>
        <w:jc w:val="both"/>
        <w:rPr>
          <w:rFonts w:cs="Arial"/>
          <w:lang w:val="es-MX"/>
        </w:rPr>
      </w:pPr>
      <w:r w:rsidRPr="00C91792">
        <w:rPr>
          <w:rFonts w:cs="Arial"/>
          <w:lang w:val="es-MX"/>
        </w:rPr>
        <w:t>En algunos casos, la Intendencia no mantiene el respaldo documentario de las liquidaciones de ventas que originan la liquidación del tributo correspondiente a la</w:t>
      </w:r>
      <w:r>
        <w:rPr>
          <w:rFonts w:cs="Arial"/>
          <w:lang w:val="es-MX"/>
        </w:rPr>
        <w:t xml:space="preserve"> citada norma.</w:t>
      </w:r>
    </w:p>
    <w:p w:rsidR="00353CBD" w:rsidRPr="00843BFD" w:rsidRDefault="00353CBD" w:rsidP="008E4012">
      <w:pPr>
        <w:pStyle w:val="Textoindependiente"/>
        <w:rPr>
          <w:lang w:val="es-MX"/>
        </w:rPr>
      </w:pPr>
    </w:p>
    <w:p w:rsidR="00353CBD" w:rsidRDefault="00353CBD" w:rsidP="008E4012">
      <w:pPr>
        <w:pStyle w:val="Ttulo2"/>
        <w:suppressAutoHyphens/>
        <w:spacing w:after="0"/>
        <w:jc w:val="both"/>
        <w:rPr>
          <w:rFonts w:cs="Arial"/>
        </w:rPr>
      </w:pPr>
      <w:r>
        <w:rPr>
          <w:rFonts w:cs="Arial"/>
        </w:rPr>
        <w:t xml:space="preserve">4.2 </w:t>
      </w:r>
      <w:r w:rsidRPr="009D27AB">
        <w:rPr>
          <w:rFonts w:cs="Arial"/>
        </w:rPr>
        <w:t>Respecto a retribuciones personales</w:t>
      </w:r>
    </w:p>
    <w:p w:rsidR="00353CBD" w:rsidRDefault="00353CBD" w:rsidP="008E4012">
      <w:pPr>
        <w:pStyle w:val="Textoindependiente"/>
        <w:rPr>
          <w:lang w:val="es-ES"/>
        </w:rPr>
      </w:pPr>
    </w:p>
    <w:p w:rsidR="00353CBD" w:rsidRPr="009D27AB" w:rsidRDefault="00353CBD" w:rsidP="008E4012">
      <w:pPr>
        <w:spacing w:line="360" w:lineRule="auto"/>
        <w:jc w:val="both"/>
        <w:rPr>
          <w:rFonts w:cs="Arial"/>
          <w:b/>
        </w:rPr>
      </w:pPr>
      <w:r>
        <w:rPr>
          <w:rFonts w:cs="Arial"/>
          <w:b/>
        </w:rPr>
        <w:t xml:space="preserve">4.2.1 </w:t>
      </w:r>
      <w:r w:rsidRPr="009D27AB">
        <w:rPr>
          <w:rFonts w:cs="Arial"/>
          <w:b/>
        </w:rPr>
        <w:t>Compendio normativo</w:t>
      </w:r>
    </w:p>
    <w:p w:rsidR="00353CBD" w:rsidRPr="009D27AB" w:rsidRDefault="00353CBD" w:rsidP="008E4012">
      <w:pPr>
        <w:spacing w:line="360" w:lineRule="auto"/>
        <w:jc w:val="both"/>
        <w:rPr>
          <w:rFonts w:cs="Arial"/>
        </w:rPr>
      </w:pPr>
      <w:r w:rsidRPr="008C2EC5">
        <w:rPr>
          <w:rFonts w:cs="Arial"/>
        </w:rPr>
        <w:t>No existe un compendio que contenga la normativa vigente sobre viáticos, horas extras, etc. Algunas normas tienen su origen en disposiciones presupues</w:t>
      </w:r>
      <w:r w:rsidRPr="008C2EC5">
        <w:rPr>
          <w:rFonts w:cs="Arial"/>
        </w:rPr>
        <w:softHyphen/>
        <w:t>tales de años anteriores por lo que existen dudas respecto a cuáles son las normas aplicables.</w:t>
      </w:r>
      <w:r>
        <w:rPr>
          <w:rFonts w:cs="Arial"/>
        </w:rPr>
        <w:t xml:space="preserve"> </w:t>
      </w:r>
    </w:p>
    <w:p w:rsidR="00353CBD" w:rsidRPr="009D27AB" w:rsidRDefault="00353CBD" w:rsidP="008E4012">
      <w:pPr>
        <w:spacing w:line="360" w:lineRule="auto"/>
        <w:jc w:val="both"/>
        <w:rPr>
          <w:rFonts w:cs="Arial"/>
          <w:b/>
        </w:rPr>
      </w:pPr>
    </w:p>
    <w:p w:rsidR="00353CBD" w:rsidRPr="009D27AB" w:rsidRDefault="00353CBD" w:rsidP="008E4012">
      <w:pPr>
        <w:spacing w:line="360" w:lineRule="auto"/>
        <w:jc w:val="both"/>
        <w:rPr>
          <w:rFonts w:cs="Arial"/>
          <w:b/>
        </w:rPr>
      </w:pPr>
      <w:r>
        <w:rPr>
          <w:rFonts w:cs="Arial"/>
          <w:b/>
        </w:rPr>
        <w:t xml:space="preserve">4.2.2 </w:t>
      </w:r>
      <w:r w:rsidRPr="009D27AB">
        <w:rPr>
          <w:rFonts w:cs="Arial"/>
          <w:b/>
        </w:rPr>
        <w:t>Fondos Indisponibles</w:t>
      </w:r>
    </w:p>
    <w:p w:rsidR="00353CBD" w:rsidRPr="009D27AB" w:rsidRDefault="00353CBD" w:rsidP="008E4012">
      <w:pPr>
        <w:spacing w:line="360" w:lineRule="auto"/>
        <w:jc w:val="both"/>
        <w:rPr>
          <w:rFonts w:cs="Arial"/>
        </w:rPr>
      </w:pPr>
      <w:r w:rsidRPr="008C2EC5">
        <w:rPr>
          <w:rFonts w:cs="Arial"/>
        </w:rPr>
        <w:t>Se ajustaron Indisponibles sin confirmar saldos con los organismos involucrados. Asimismo, algunos como ser BPS, Indisponibles- Abasto Impuestos, no se analizaron y presentan diferencias entre el saldo de Indisponibles a pagar y los pagos realizados en enero.</w:t>
      </w:r>
      <w:r w:rsidRPr="009D27AB">
        <w:rPr>
          <w:rFonts w:cs="Arial"/>
        </w:rPr>
        <w:t xml:space="preserve"> </w:t>
      </w:r>
    </w:p>
    <w:p w:rsidR="00353CBD" w:rsidRPr="009D27AB" w:rsidRDefault="00353CBD" w:rsidP="008E4012">
      <w:pPr>
        <w:spacing w:line="360" w:lineRule="auto"/>
        <w:jc w:val="both"/>
        <w:rPr>
          <w:rFonts w:cs="Arial"/>
          <w:b/>
        </w:rPr>
      </w:pPr>
    </w:p>
    <w:p w:rsidR="00353CBD" w:rsidRPr="009D27AB" w:rsidRDefault="00353CBD" w:rsidP="008E4012">
      <w:pPr>
        <w:spacing w:line="360" w:lineRule="auto"/>
        <w:jc w:val="both"/>
        <w:rPr>
          <w:rFonts w:cs="Arial"/>
        </w:rPr>
      </w:pPr>
      <w:r>
        <w:rPr>
          <w:rFonts w:cs="Arial"/>
          <w:b/>
          <w:bCs/>
        </w:rPr>
        <w:t xml:space="preserve">4.2.3 </w:t>
      </w:r>
      <w:r w:rsidRPr="009D27AB">
        <w:rPr>
          <w:rFonts w:cs="Arial"/>
          <w:b/>
          <w:bCs/>
        </w:rPr>
        <w:t>Cobertura médica y odontológica</w:t>
      </w:r>
    </w:p>
    <w:p w:rsidR="00353CBD" w:rsidRPr="009D27AB" w:rsidRDefault="00353CBD" w:rsidP="008E4012">
      <w:pPr>
        <w:spacing w:line="360" w:lineRule="auto"/>
        <w:jc w:val="both"/>
        <w:rPr>
          <w:rFonts w:cs="Arial"/>
        </w:rPr>
      </w:pPr>
      <w:r w:rsidRPr="008C2EC5">
        <w:rPr>
          <w:rFonts w:cs="Arial"/>
        </w:rPr>
        <w:t>No es práctica habitual ni se encuentra automatizado, verificar si el pago de la cobertura médica y odontológica supera el veinte por ciento de la retribución que el funcionario percibe. En caso afirmativo, constituye materia gravada por la seguridad social.</w:t>
      </w:r>
      <w:r w:rsidRPr="009D27AB">
        <w:rPr>
          <w:rFonts w:cs="Arial"/>
        </w:rPr>
        <w:t xml:space="preserve"> </w:t>
      </w:r>
    </w:p>
    <w:p w:rsidR="00353CBD" w:rsidRPr="009D27AB" w:rsidRDefault="00353CBD" w:rsidP="008E4012">
      <w:pPr>
        <w:spacing w:line="360" w:lineRule="auto"/>
        <w:jc w:val="both"/>
        <w:rPr>
          <w:rFonts w:cs="Arial"/>
          <w:b/>
        </w:rPr>
      </w:pPr>
    </w:p>
    <w:p w:rsidR="00353CBD" w:rsidRPr="00F8370C" w:rsidRDefault="00353CBD" w:rsidP="008E4012">
      <w:pPr>
        <w:spacing w:line="360" w:lineRule="auto"/>
        <w:jc w:val="both"/>
        <w:rPr>
          <w:rFonts w:cs="Arial"/>
          <w:b/>
        </w:rPr>
      </w:pPr>
      <w:r w:rsidRPr="00F8370C">
        <w:rPr>
          <w:rFonts w:cs="Arial"/>
          <w:b/>
        </w:rPr>
        <w:t>4.2.4 Artículo 32 de la Ley 11923</w:t>
      </w:r>
    </w:p>
    <w:p w:rsidR="00353CBD" w:rsidRPr="009D27AB" w:rsidRDefault="00353CBD" w:rsidP="008E4012">
      <w:pPr>
        <w:spacing w:line="360" w:lineRule="auto"/>
        <w:jc w:val="both"/>
        <w:rPr>
          <w:rFonts w:cs="Arial"/>
        </w:rPr>
      </w:pPr>
      <w:r w:rsidRPr="00F8370C">
        <w:rPr>
          <w:rFonts w:cs="Arial"/>
        </w:rPr>
        <w:t>No se solicita a los prestadores de servicios de la Intendencia, la declaración jurada donde se verifique que no percibe más de una remuneración con cargo a fondos públicos.</w:t>
      </w:r>
      <w:r w:rsidRPr="008C2EC5">
        <w:rPr>
          <w:rFonts w:cs="Arial"/>
        </w:rPr>
        <w:t xml:space="preserve"> </w:t>
      </w:r>
    </w:p>
    <w:p w:rsidR="00353CBD" w:rsidRPr="009D27AB" w:rsidRDefault="00353CBD" w:rsidP="008E4012">
      <w:pPr>
        <w:spacing w:line="360" w:lineRule="auto"/>
        <w:jc w:val="both"/>
        <w:rPr>
          <w:rFonts w:cs="Arial"/>
        </w:rPr>
      </w:pPr>
    </w:p>
    <w:p w:rsidR="00353CBD" w:rsidRPr="00C91792" w:rsidRDefault="00353CBD" w:rsidP="008E4012">
      <w:pPr>
        <w:spacing w:line="360" w:lineRule="auto"/>
        <w:jc w:val="both"/>
        <w:rPr>
          <w:rFonts w:cs="Arial"/>
          <w:b/>
        </w:rPr>
      </w:pPr>
      <w:r w:rsidRPr="00C91792">
        <w:rPr>
          <w:rFonts w:cs="Arial"/>
          <w:b/>
        </w:rPr>
        <w:t>4.2.5 Comunicaciones de las altas de funcionarios</w:t>
      </w:r>
    </w:p>
    <w:p w:rsidR="00353CBD" w:rsidRPr="009D27AB" w:rsidRDefault="00353CBD" w:rsidP="008E4012">
      <w:pPr>
        <w:spacing w:line="360" w:lineRule="auto"/>
        <w:jc w:val="both"/>
        <w:rPr>
          <w:rFonts w:cs="Arial"/>
        </w:rPr>
      </w:pPr>
      <w:r w:rsidRPr="00C91792">
        <w:rPr>
          <w:rFonts w:cs="Arial"/>
        </w:rPr>
        <w:t xml:space="preserve">No se cuenta con un procedimiento que asegure, que las altas sean comunicadas a liquidaciones y al centro de cómputos el momento oportuno, de forma de poder cumplir con los plazos establecidos para BPS. </w:t>
      </w:r>
    </w:p>
    <w:p w:rsidR="00353CBD" w:rsidRDefault="00353CBD" w:rsidP="008E4012">
      <w:pPr>
        <w:pStyle w:val="Ttulo2"/>
        <w:numPr>
          <w:ilvl w:val="1"/>
          <w:numId w:val="0"/>
        </w:numPr>
        <w:tabs>
          <w:tab w:val="num" w:pos="0"/>
        </w:tabs>
        <w:spacing w:after="0"/>
        <w:ind w:hanging="576"/>
        <w:jc w:val="both"/>
        <w:rPr>
          <w:rFonts w:cs="Arial"/>
        </w:rPr>
      </w:pPr>
      <w:r>
        <w:rPr>
          <w:rFonts w:cs="Arial"/>
        </w:rPr>
        <w:tab/>
      </w:r>
    </w:p>
    <w:p w:rsidR="00353CBD" w:rsidRDefault="00353CBD" w:rsidP="005A43A5">
      <w:pPr>
        <w:pStyle w:val="Ttulo2"/>
        <w:numPr>
          <w:ilvl w:val="1"/>
          <w:numId w:val="0"/>
        </w:numPr>
        <w:tabs>
          <w:tab w:val="num" w:pos="0"/>
        </w:tabs>
        <w:spacing w:after="0"/>
        <w:jc w:val="both"/>
        <w:rPr>
          <w:rFonts w:cs="Arial"/>
        </w:rPr>
      </w:pPr>
      <w:r>
        <w:rPr>
          <w:rFonts w:cs="Arial"/>
        </w:rPr>
        <w:t xml:space="preserve">4.3 </w:t>
      </w:r>
      <w:r w:rsidRPr="009D27AB">
        <w:rPr>
          <w:rFonts w:cs="Arial"/>
        </w:rPr>
        <w:t>Respecto al sistema de compras</w:t>
      </w:r>
    </w:p>
    <w:p w:rsidR="00353CBD" w:rsidRPr="008C2EC5" w:rsidRDefault="00353CBD" w:rsidP="008E4012">
      <w:pPr>
        <w:pStyle w:val="Textoindependiente"/>
        <w:rPr>
          <w:lang w:val="es-ES"/>
        </w:rPr>
      </w:pPr>
    </w:p>
    <w:p w:rsidR="00353CBD" w:rsidRPr="009D27AB" w:rsidRDefault="00353CBD" w:rsidP="008E4012">
      <w:pPr>
        <w:spacing w:line="360" w:lineRule="auto"/>
        <w:jc w:val="both"/>
        <w:rPr>
          <w:rFonts w:cs="Arial"/>
          <w:b/>
        </w:rPr>
      </w:pPr>
      <w:r>
        <w:rPr>
          <w:rFonts w:cs="Arial"/>
          <w:b/>
        </w:rPr>
        <w:t xml:space="preserve">4.3.1 </w:t>
      </w:r>
      <w:r w:rsidRPr="009D27AB">
        <w:rPr>
          <w:rFonts w:cs="Arial"/>
          <w:b/>
        </w:rPr>
        <w:t>Informe de recepción</w:t>
      </w:r>
    </w:p>
    <w:p w:rsidR="00353CBD" w:rsidRPr="008C2EC5" w:rsidRDefault="00353CBD" w:rsidP="008E4012">
      <w:pPr>
        <w:pStyle w:val="Textoindependiente"/>
      </w:pPr>
      <w:r w:rsidRPr="008C2EC5">
        <w:t xml:space="preserve">No se pudo verificar que el funcionario que recibe la mercadería y firma la factura, realiza el control de que la adquisición corresponda a la orden de compra, debido a que no existe un informe de recepción. </w:t>
      </w:r>
    </w:p>
    <w:p w:rsidR="00353CBD" w:rsidRPr="008C2EC5" w:rsidRDefault="00353CBD" w:rsidP="008E4012">
      <w:pPr>
        <w:pStyle w:val="Textoindependiente"/>
      </w:pPr>
    </w:p>
    <w:p w:rsidR="00353CBD" w:rsidRPr="008C2EC5" w:rsidRDefault="00353CBD" w:rsidP="008E4012">
      <w:pPr>
        <w:spacing w:line="360" w:lineRule="auto"/>
        <w:jc w:val="both"/>
        <w:rPr>
          <w:rFonts w:cs="Arial"/>
          <w:b/>
        </w:rPr>
      </w:pPr>
      <w:r w:rsidRPr="008C2EC5">
        <w:rPr>
          <w:rFonts w:cs="Arial"/>
          <w:b/>
        </w:rPr>
        <w:t>4.3.2 Adquisiciones en el Departamento de Abasto</w:t>
      </w:r>
    </w:p>
    <w:p w:rsidR="00353CBD" w:rsidRPr="008C2EC5" w:rsidRDefault="00353CBD" w:rsidP="008E4012">
      <w:pPr>
        <w:pStyle w:val="Textoindependiente"/>
      </w:pPr>
      <w:r w:rsidRPr="008C2EC5">
        <w:t xml:space="preserve">Si bien en la Intendencia existe una unidad responsable en el área de Adquisiciones, se constató que el Departamento de Abasto realiza directamente sus compras. </w:t>
      </w:r>
    </w:p>
    <w:p w:rsidR="00353CBD" w:rsidRPr="008C2EC5" w:rsidRDefault="00353CBD" w:rsidP="008E4012">
      <w:pPr>
        <w:pStyle w:val="Textoindependiente"/>
      </w:pPr>
    </w:p>
    <w:p w:rsidR="00353CBD" w:rsidRPr="008C2EC5" w:rsidRDefault="00353CBD" w:rsidP="008E4012">
      <w:pPr>
        <w:spacing w:line="360" w:lineRule="auto"/>
        <w:jc w:val="both"/>
        <w:rPr>
          <w:rFonts w:cs="Arial"/>
          <w:b/>
        </w:rPr>
      </w:pPr>
      <w:r w:rsidRPr="008C2EC5">
        <w:rPr>
          <w:rFonts w:cs="Arial"/>
          <w:b/>
        </w:rPr>
        <w:t>4.3.3 Control de suministros</w:t>
      </w:r>
    </w:p>
    <w:p w:rsidR="00353CBD" w:rsidRPr="008C2EC5" w:rsidRDefault="00353CBD" w:rsidP="008E4012">
      <w:pPr>
        <w:pStyle w:val="Textoindependiente"/>
      </w:pPr>
      <w:r w:rsidRPr="008C2EC5">
        <w:t>Una vez dispuesta la adquisición de suministros, se entrega una vía de la orden de compra respectiva a la dependencia solicitante, la que se hace cargo del retiro de los bienes sin la participación de Adquisiciones. Además, si bien las solicitudes de suministro y retiro de los mismos, generalmente están firmadas por el Director o Jefe de Sección, no está pre-establecido quienes son los autorizados a firmar. No se  realiza un control de correlatividad numérica de los remitos.</w:t>
      </w:r>
    </w:p>
    <w:p w:rsidR="00353CBD" w:rsidRPr="009D27AB" w:rsidRDefault="00353CBD" w:rsidP="008E4012">
      <w:pPr>
        <w:pStyle w:val="Textoindependiente"/>
        <w:rPr>
          <w:highlight w:val="green"/>
        </w:rPr>
      </w:pPr>
    </w:p>
    <w:p w:rsidR="00353CBD" w:rsidRPr="008C2EC5" w:rsidRDefault="00353CBD" w:rsidP="008E4012">
      <w:pPr>
        <w:spacing w:line="360" w:lineRule="auto"/>
        <w:jc w:val="both"/>
        <w:rPr>
          <w:rFonts w:cs="Arial"/>
          <w:b/>
        </w:rPr>
      </w:pPr>
      <w:r w:rsidRPr="008C2EC5">
        <w:rPr>
          <w:rFonts w:cs="Arial"/>
          <w:b/>
        </w:rPr>
        <w:t>4.3.4 Seguimiento de órdenes de compra</w:t>
      </w:r>
    </w:p>
    <w:p w:rsidR="00353CBD" w:rsidRPr="008C2EC5" w:rsidRDefault="00353CBD" w:rsidP="008E4012">
      <w:pPr>
        <w:pStyle w:val="Textoindependiente"/>
      </w:pPr>
      <w:r w:rsidRPr="008C2EC5">
        <w:t xml:space="preserve">No se efectúa un seguimiento de las órdenes de compra por las que no se han recibido facturas. El sistema, en principio, no permite emitir las órdenes de pago correspondientes a órdenes de compra con una antigüedad mayor a 60 días de su emisión. No obstante, pueden encontrarse algunas con antigüedad diversa sin la factura correspondiente.  </w:t>
      </w:r>
    </w:p>
    <w:p w:rsidR="00353CBD" w:rsidRPr="008C2EC5" w:rsidRDefault="00353CBD" w:rsidP="008E4012">
      <w:pPr>
        <w:pStyle w:val="Textoindependiente"/>
      </w:pPr>
    </w:p>
    <w:p w:rsidR="00353CBD" w:rsidRPr="008C2EC5" w:rsidRDefault="00353CBD" w:rsidP="008E4012">
      <w:pPr>
        <w:spacing w:line="360" w:lineRule="auto"/>
        <w:jc w:val="both"/>
        <w:rPr>
          <w:rFonts w:cs="Arial"/>
          <w:b/>
        </w:rPr>
      </w:pPr>
      <w:r>
        <w:rPr>
          <w:rFonts w:cs="Arial"/>
          <w:b/>
        </w:rPr>
        <w:t xml:space="preserve">4.3.5 </w:t>
      </w:r>
      <w:r w:rsidRPr="008C2EC5">
        <w:rPr>
          <w:rFonts w:cs="Arial"/>
          <w:b/>
        </w:rPr>
        <w:t>Registros contables de proveedores</w:t>
      </w:r>
    </w:p>
    <w:p w:rsidR="00353CBD" w:rsidRPr="008C2EC5" w:rsidRDefault="00353CBD" w:rsidP="008E4012">
      <w:pPr>
        <w:pStyle w:val="Textoindependiente"/>
      </w:pPr>
      <w:r w:rsidRPr="008C2EC5">
        <w:t xml:space="preserve">No se concilian los auxiliares de documentos de proveedores con el mayor general correspondiente. No se tiene por práctica realizar circularización a los proveedores. </w:t>
      </w:r>
    </w:p>
    <w:p w:rsidR="00353CBD" w:rsidRPr="008C2EC5" w:rsidRDefault="00353CBD" w:rsidP="008E4012">
      <w:pPr>
        <w:pStyle w:val="Textoindependiente"/>
      </w:pPr>
    </w:p>
    <w:p w:rsidR="00353CBD" w:rsidRPr="008C2EC5" w:rsidRDefault="00353CBD" w:rsidP="008E4012">
      <w:pPr>
        <w:spacing w:line="360" w:lineRule="auto"/>
        <w:jc w:val="both"/>
        <w:rPr>
          <w:rFonts w:cs="Arial"/>
          <w:b/>
        </w:rPr>
      </w:pPr>
      <w:r>
        <w:rPr>
          <w:rFonts w:cs="Arial"/>
          <w:b/>
        </w:rPr>
        <w:t xml:space="preserve">4.3.6 </w:t>
      </w:r>
      <w:r w:rsidRPr="008C2EC5">
        <w:rPr>
          <w:rFonts w:cs="Arial"/>
          <w:b/>
        </w:rPr>
        <w:t>Obligaciones presupuestales impagas</w:t>
      </w:r>
    </w:p>
    <w:p w:rsidR="00353CBD" w:rsidRPr="008C2EC5" w:rsidRDefault="00353CBD" w:rsidP="008E4012">
      <w:pPr>
        <w:pStyle w:val="Textoindependiente"/>
      </w:pPr>
      <w:r w:rsidRPr="008C2EC5">
        <w:t xml:space="preserve">La Intendencia no cuenta con un sistema que le asegure el acceso restringido a los documentos de las obligaciones presupuestales impagas, así como tampoco realiza inventarios periódicos de las mismas. </w:t>
      </w:r>
    </w:p>
    <w:p w:rsidR="00353CBD" w:rsidRPr="008C2EC5" w:rsidRDefault="00353CBD" w:rsidP="008E4012">
      <w:pPr>
        <w:pStyle w:val="Textoindependiente"/>
      </w:pPr>
    </w:p>
    <w:p w:rsidR="00353CBD" w:rsidRPr="008C2EC5" w:rsidRDefault="00353CBD" w:rsidP="008E4012">
      <w:pPr>
        <w:spacing w:line="360" w:lineRule="auto"/>
        <w:jc w:val="both"/>
        <w:rPr>
          <w:rFonts w:cs="Arial"/>
          <w:b/>
        </w:rPr>
      </w:pPr>
      <w:r>
        <w:rPr>
          <w:rFonts w:cs="Arial"/>
          <w:b/>
        </w:rPr>
        <w:t xml:space="preserve">4.3.7 </w:t>
      </w:r>
      <w:r w:rsidRPr="008C2EC5">
        <w:rPr>
          <w:rFonts w:cs="Arial"/>
          <w:b/>
        </w:rPr>
        <w:t>Registro de Garantías</w:t>
      </w:r>
    </w:p>
    <w:p w:rsidR="00353CBD" w:rsidRPr="008C2EC5" w:rsidRDefault="00353CBD" w:rsidP="008E4012">
      <w:pPr>
        <w:pStyle w:val="Textoindependiente"/>
      </w:pPr>
      <w:r w:rsidRPr="008C2EC5">
        <w:t xml:space="preserve">No existe un registro actualizado de garantías, sea por mantenimiento de ofertas o fiel cumplimiento del contrato, donde se asienten las altas, importe, fecha de vencimiento y devoluciones u observaciones que pudieran corresponder, como forma de contralor de las mismas. Se constató la existencia de garantías, sea por mantenimiento de oferta o cumplimiento de contrato, en poder de la Intendencia, referidas a procedimientos que ya se ejecutaron y que, a la fecha, no han sido devueltas. </w:t>
      </w:r>
    </w:p>
    <w:p w:rsidR="00353CBD" w:rsidRPr="008C2EC5" w:rsidRDefault="00353CBD" w:rsidP="008E4012">
      <w:pPr>
        <w:pStyle w:val="Textoindependiente"/>
      </w:pPr>
    </w:p>
    <w:p w:rsidR="00353CBD" w:rsidRPr="008C2EC5" w:rsidRDefault="00353CBD" w:rsidP="008E4012">
      <w:pPr>
        <w:spacing w:line="360" w:lineRule="auto"/>
        <w:jc w:val="both"/>
        <w:rPr>
          <w:rFonts w:cs="Arial"/>
          <w:b/>
        </w:rPr>
      </w:pPr>
      <w:r>
        <w:rPr>
          <w:rFonts w:cs="Arial"/>
          <w:b/>
        </w:rPr>
        <w:t xml:space="preserve">4.3.8 </w:t>
      </w:r>
      <w:r w:rsidRPr="008C2EC5">
        <w:rPr>
          <w:rFonts w:cs="Arial"/>
          <w:b/>
        </w:rPr>
        <w:t>Avance de Obra</w:t>
      </w:r>
    </w:p>
    <w:p w:rsidR="00353CBD" w:rsidRDefault="00353CBD" w:rsidP="008E4012">
      <w:pPr>
        <w:pStyle w:val="Textoindependiente"/>
      </w:pPr>
      <w:r w:rsidRPr="008C2EC5">
        <w:t xml:space="preserve">No se utilizan registros adecuados como forma de realizar un seguimiento de las obras y su grado de avance, constituyendo una limitante para la futura implementación de la Contabilidad Patrimonial. </w:t>
      </w:r>
    </w:p>
    <w:p w:rsidR="00353CBD" w:rsidRPr="009D27AB" w:rsidRDefault="00353CBD" w:rsidP="008E4012">
      <w:pPr>
        <w:pStyle w:val="Textoindependiente"/>
      </w:pPr>
    </w:p>
    <w:p w:rsidR="00353CBD" w:rsidRPr="00C91792" w:rsidRDefault="00353CBD" w:rsidP="008E4012">
      <w:pPr>
        <w:spacing w:line="360" w:lineRule="auto"/>
        <w:jc w:val="both"/>
        <w:rPr>
          <w:rFonts w:cs="Arial"/>
          <w:b/>
        </w:rPr>
      </w:pPr>
      <w:r w:rsidRPr="00C91792">
        <w:rPr>
          <w:rFonts w:cs="Arial"/>
          <w:b/>
        </w:rPr>
        <w:t>4.3.9 Acceso a bienes en stock</w:t>
      </w:r>
    </w:p>
    <w:p w:rsidR="00353CBD" w:rsidRPr="00C91792" w:rsidRDefault="00353CBD" w:rsidP="008E4012">
      <w:pPr>
        <w:pStyle w:val="Textoindependiente"/>
      </w:pPr>
      <w:r w:rsidRPr="00C91792">
        <w:t xml:space="preserve">No existe un acceso restringido a los bienes en stock, determinado por escrito. </w:t>
      </w:r>
    </w:p>
    <w:p w:rsidR="00353CBD" w:rsidRPr="009D27AB" w:rsidRDefault="00353CBD" w:rsidP="008E4012">
      <w:pPr>
        <w:pStyle w:val="Textoindependiente"/>
      </w:pPr>
    </w:p>
    <w:p w:rsidR="00353CBD" w:rsidRPr="009D27AB" w:rsidRDefault="00353CBD" w:rsidP="008E4012">
      <w:pPr>
        <w:pStyle w:val="Ttulo2"/>
        <w:widowControl w:val="0"/>
        <w:suppressAutoHyphens/>
        <w:spacing w:after="0"/>
        <w:jc w:val="both"/>
        <w:rPr>
          <w:rFonts w:cs="Arial"/>
        </w:rPr>
      </w:pPr>
      <w:bookmarkStart w:id="10" w:name="_Toc405566073"/>
      <w:r>
        <w:rPr>
          <w:rFonts w:cs="Arial"/>
        </w:rPr>
        <w:t xml:space="preserve">4.4 </w:t>
      </w:r>
      <w:r w:rsidRPr="009D27AB">
        <w:rPr>
          <w:rFonts w:cs="Arial"/>
        </w:rPr>
        <w:t>Otras debilidades de Control Interno</w:t>
      </w:r>
      <w:bookmarkEnd w:id="10"/>
    </w:p>
    <w:p w:rsidR="00353CBD" w:rsidRDefault="00353CBD" w:rsidP="008E4012">
      <w:pPr>
        <w:spacing w:line="360" w:lineRule="auto"/>
        <w:jc w:val="both"/>
        <w:rPr>
          <w:rFonts w:cs="Arial"/>
          <w:b/>
        </w:rPr>
      </w:pPr>
    </w:p>
    <w:p w:rsidR="00353CBD" w:rsidRPr="009D27AB" w:rsidRDefault="00353CBD" w:rsidP="008E4012">
      <w:pPr>
        <w:spacing w:line="360" w:lineRule="auto"/>
        <w:jc w:val="both"/>
        <w:rPr>
          <w:rFonts w:cs="Arial"/>
          <w:b/>
        </w:rPr>
      </w:pPr>
      <w:r>
        <w:rPr>
          <w:rFonts w:cs="Arial"/>
          <w:b/>
        </w:rPr>
        <w:t xml:space="preserve">4.4.1 </w:t>
      </w:r>
      <w:r w:rsidRPr="009D27AB">
        <w:rPr>
          <w:rFonts w:cs="Arial"/>
          <w:b/>
        </w:rPr>
        <w:t>Municipios</w:t>
      </w:r>
    </w:p>
    <w:p w:rsidR="00353CBD" w:rsidRPr="009D27AB" w:rsidRDefault="00353CBD" w:rsidP="008E4012">
      <w:pPr>
        <w:pStyle w:val="Textoindependiente"/>
      </w:pPr>
      <w:r w:rsidRPr="008C2EC5">
        <w:t xml:space="preserve">Los procedimientos administrativos en los Municipios, en algunas áreas, no están basados en una adecuada separación de funciones, en la medida que, en ciertos casos, un área cumple funciones de tesorería, contabilidad y adquisiciones. Asimismo, en muchas oportunidades, los arqueos no son realizados por personal independiente a la oficina correspondiente. </w:t>
      </w:r>
    </w:p>
    <w:p w:rsidR="00353CBD" w:rsidRPr="009D27AB" w:rsidRDefault="00353CBD" w:rsidP="008E4012">
      <w:pPr>
        <w:pStyle w:val="Textoindependiente"/>
      </w:pPr>
    </w:p>
    <w:p w:rsidR="00353CBD" w:rsidRPr="009D27AB" w:rsidRDefault="00353CBD" w:rsidP="008E4012">
      <w:pPr>
        <w:pStyle w:val="Ttulo2"/>
        <w:widowControl w:val="0"/>
        <w:suppressAutoHyphens/>
        <w:spacing w:after="0"/>
        <w:jc w:val="both"/>
        <w:rPr>
          <w:rFonts w:cs="Arial"/>
        </w:rPr>
      </w:pPr>
      <w:r>
        <w:rPr>
          <w:rFonts w:cs="Arial"/>
        </w:rPr>
        <w:t xml:space="preserve">4.4.2 </w:t>
      </w:r>
      <w:r w:rsidRPr="009D27AB">
        <w:rPr>
          <w:rFonts w:cs="Arial"/>
        </w:rPr>
        <w:t>Manuales de Procedimientos</w:t>
      </w:r>
    </w:p>
    <w:p w:rsidR="00353CBD" w:rsidRPr="009D27AB" w:rsidRDefault="00353CBD" w:rsidP="008E4012">
      <w:pPr>
        <w:pStyle w:val="Textoindependiente"/>
      </w:pPr>
      <w:r w:rsidRPr="008C2EC5">
        <w:t xml:space="preserve">No se pudo constatar la existencia de Manuales de Procedimientos. </w:t>
      </w:r>
    </w:p>
    <w:p w:rsidR="00353CBD" w:rsidRPr="009D27AB" w:rsidRDefault="00353CBD" w:rsidP="008E4012">
      <w:pPr>
        <w:spacing w:line="360" w:lineRule="auto"/>
        <w:jc w:val="both"/>
        <w:rPr>
          <w:rFonts w:cs="Arial"/>
          <w:b/>
        </w:rPr>
      </w:pPr>
    </w:p>
    <w:p w:rsidR="00353CBD" w:rsidRPr="009D27AB" w:rsidRDefault="00353CBD" w:rsidP="008E4012">
      <w:pPr>
        <w:spacing w:line="360" w:lineRule="auto"/>
        <w:jc w:val="both"/>
        <w:rPr>
          <w:rFonts w:cs="Arial"/>
          <w:b/>
        </w:rPr>
      </w:pPr>
      <w:r>
        <w:rPr>
          <w:rFonts w:cs="Arial"/>
          <w:b/>
        </w:rPr>
        <w:t xml:space="preserve">4.4.3 </w:t>
      </w:r>
      <w:r w:rsidRPr="009D27AB">
        <w:rPr>
          <w:rFonts w:cs="Arial"/>
          <w:b/>
        </w:rPr>
        <w:t>Conciliación de convenios por deudas financieras</w:t>
      </w:r>
    </w:p>
    <w:p w:rsidR="00353CBD" w:rsidRPr="009D27AB" w:rsidRDefault="00353CBD" w:rsidP="008E4012">
      <w:pPr>
        <w:spacing w:line="360" w:lineRule="auto"/>
        <w:jc w:val="both"/>
        <w:rPr>
          <w:rFonts w:cs="Arial"/>
        </w:rPr>
      </w:pPr>
      <w:r w:rsidRPr="008C2EC5">
        <w:rPr>
          <w:rFonts w:cs="Arial"/>
        </w:rPr>
        <w:t>En algunos casos la Intendencia no realiza las conciliaciones con los organismos con los cuales mantiene convenios de pago.</w:t>
      </w:r>
      <w:r w:rsidRPr="009D27AB">
        <w:rPr>
          <w:rFonts w:cs="Arial"/>
        </w:rPr>
        <w:t xml:space="preserve"> </w:t>
      </w:r>
    </w:p>
    <w:p w:rsidR="00353CBD" w:rsidRPr="009D27AB" w:rsidRDefault="00353CBD" w:rsidP="008E4012">
      <w:pPr>
        <w:pStyle w:val="Ttulo2"/>
        <w:widowControl w:val="0"/>
        <w:suppressAutoHyphens/>
        <w:spacing w:after="0"/>
        <w:jc w:val="both"/>
        <w:rPr>
          <w:rFonts w:cs="Arial"/>
        </w:rPr>
      </w:pPr>
      <w:bookmarkStart w:id="11" w:name="_Toc405566074"/>
    </w:p>
    <w:p w:rsidR="00353CBD" w:rsidRPr="009D27AB" w:rsidRDefault="00353CBD" w:rsidP="00210440">
      <w:pPr>
        <w:pStyle w:val="Ttulo2"/>
        <w:widowControl w:val="0"/>
        <w:suppressAutoHyphens/>
        <w:spacing w:after="0"/>
        <w:jc w:val="both"/>
        <w:rPr>
          <w:rFonts w:cs="Arial"/>
        </w:rPr>
      </w:pPr>
      <w:r>
        <w:rPr>
          <w:rFonts w:cs="Arial"/>
        </w:rPr>
        <w:t xml:space="preserve">5 - </w:t>
      </w:r>
      <w:r w:rsidRPr="009D27AB">
        <w:rPr>
          <w:rFonts w:cs="Arial"/>
        </w:rPr>
        <w:t>Recomendaciones</w:t>
      </w:r>
    </w:p>
    <w:bookmarkEnd w:id="11"/>
    <w:p w:rsidR="00353CBD" w:rsidRPr="009D27AB" w:rsidRDefault="00353CBD" w:rsidP="008E4012">
      <w:pPr>
        <w:pStyle w:val="Ttulo2"/>
        <w:widowControl w:val="0"/>
        <w:suppressAutoHyphens/>
        <w:spacing w:after="0"/>
        <w:jc w:val="both"/>
        <w:rPr>
          <w:rFonts w:cs="Arial"/>
        </w:rPr>
      </w:pPr>
    </w:p>
    <w:p w:rsidR="00353CBD" w:rsidRPr="009D27AB" w:rsidRDefault="00353CBD" w:rsidP="008E4012">
      <w:pPr>
        <w:pStyle w:val="Ttulo2"/>
        <w:widowControl w:val="0"/>
        <w:suppressAutoHyphens/>
        <w:spacing w:after="0"/>
        <w:jc w:val="both"/>
        <w:rPr>
          <w:rFonts w:cs="Arial"/>
        </w:rPr>
      </w:pPr>
      <w:r>
        <w:rPr>
          <w:rFonts w:cs="Arial"/>
        </w:rPr>
        <w:t xml:space="preserve">5.1 </w:t>
      </w:r>
      <w:r w:rsidRPr="009D27AB">
        <w:rPr>
          <w:rFonts w:cs="Arial"/>
        </w:rPr>
        <w:t xml:space="preserve">Recomendaciones de </w:t>
      </w:r>
      <w:r>
        <w:rPr>
          <w:rFonts w:cs="Arial"/>
        </w:rPr>
        <w:t>e</w:t>
      </w:r>
      <w:r w:rsidRPr="009D27AB">
        <w:rPr>
          <w:rFonts w:cs="Arial"/>
        </w:rPr>
        <w:t>jercicios anteriores cumplidas</w:t>
      </w:r>
    </w:p>
    <w:p w:rsidR="00353CBD" w:rsidRPr="009D27AB" w:rsidRDefault="00353CBD" w:rsidP="008E4012">
      <w:pPr>
        <w:widowControl w:val="0"/>
        <w:spacing w:line="360" w:lineRule="auto"/>
        <w:jc w:val="both"/>
        <w:outlineLvl w:val="1"/>
        <w:rPr>
          <w:rFonts w:cs="Arial"/>
          <w:b/>
          <w:bCs/>
          <w:kern w:val="18"/>
        </w:rPr>
      </w:pPr>
    </w:p>
    <w:p w:rsidR="00353CBD" w:rsidRPr="009D27AB" w:rsidRDefault="00353CBD" w:rsidP="008E4012">
      <w:pPr>
        <w:widowControl w:val="0"/>
        <w:spacing w:line="360" w:lineRule="auto"/>
        <w:jc w:val="both"/>
        <w:outlineLvl w:val="1"/>
        <w:rPr>
          <w:rFonts w:cs="Arial"/>
          <w:b/>
          <w:bCs/>
          <w:kern w:val="18"/>
        </w:rPr>
      </w:pPr>
      <w:r>
        <w:rPr>
          <w:rFonts w:cs="Arial"/>
          <w:b/>
          <w:bCs/>
          <w:kern w:val="18"/>
        </w:rPr>
        <w:t>5.1.1 Anticipos a rendir</w:t>
      </w:r>
    </w:p>
    <w:p w:rsidR="00353CBD" w:rsidRPr="008C2EC5" w:rsidRDefault="00353CBD" w:rsidP="008E4012">
      <w:pPr>
        <w:tabs>
          <w:tab w:val="left" w:pos="480"/>
          <w:tab w:val="left" w:pos="600"/>
        </w:tabs>
        <w:spacing w:line="360" w:lineRule="auto"/>
        <w:jc w:val="both"/>
        <w:rPr>
          <w:rFonts w:cs="Arial"/>
          <w:bCs/>
        </w:rPr>
      </w:pPr>
      <w:r w:rsidRPr="008C2EC5">
        <w:rPr>
          <w:rFonts w:cs="Arial"/>
          <w:bCs/>
        </w:rPr>
        <w:t xml:space="preserve">No se constataron anticipos de fondos que hayan sido rendidos, en un plazo posterior a los sesenta días, contados a partir del último día del mes en que se entregaron los mismos. </w:t>
      </w:r>
    </w:p>
    <w:p w:rsidR="00353CBD" w:rsidRPr="008C2EC5" w:rsidRDefault="00353CBD" w:rsidP="008E4012">
      <w:pPr>
        <w:pStyle w:val="Ttulo2"/>
        <w:widowControl w:val="0"/>
        <w:spacing w:after="0"/>
        <w:jc w:val="both"/>
        <w:rPr>
          <w:rFonts w:cs="Arial"/>
          <w:bCs/>
          <w:lang w:val="es-ES_tradnl"/>
        </w:rPr>
      </w:pPr>
    </w:p>
    <w:p w:rsidR="00353CBD" w:rsidRPr="008C2EC5" w:rsidRDefault="00353CBD" w:rsidP="008E4012">
      <w:pPr>
        <w:pStyle w:val="Ttulo2"/>
        <w:widowControl w:val="0"/>
        <w:spacing w:after="0"/>
        <w:jc w:val="both"/>
        <w:rPr>
          <w:rFonts w:cs="Arial"/>
        </w:rPr>
      </w:pPr>
      <w:r w:rsidRPr="008C2EC5">
        <w:rPr>
          <w:rFonts w:cs="Arial"/>
        </w:rPr>
        <w:t>5.1.2 Colaboraciones</w:t>
      </w:r>
    </w:p>
    <w:p w:rsidR="00353CBD" w:rsidRPr="008C2EC5" w:rsidRDefault="00353CBD" w:rsidP="008E4012">
      <w:pPr>
        <w:pStyle w:val="Textoindependiente"/>
      </w:pPr>
      <w:r w:rsidRPr="008C2EC5">
        <w:t xml:space="preserve">En el objeto del gasto “Transferencias corrientes a otras instituciones sin fines de lucro”, no se imputaron colaboraciones a empresas, por lo que se verificó el mencionado extremo. </w:t>
      </w:r>
    </w:p>
    <w:p w:rsidR="00353CBD" w:rsidRPr="008C2EC5" w:rsidRDefault="00353CBD" w:rsidP="008E4012">
      <w:pPr>
        <w:pStyle w:val="Textoindependiente"/>
      </w:pPr>
    </w:p>
    <w:p w:rsidR="00353CBD" w:rsidRPr="008C2EC5" w:rsidRDefault="00353CBD" w:rsidP="008E4012">
      <w:pPr>
        <w:spacing w:line="360" w:lineRule="auto"/>
        <w:rPr>
          <w:rFonts w:cs="Arial"/>
          <w:b/>
        </w:rPr>
      </w:pPr>
      <w:r w:rsidRPr="008C2EC5">
        <w:rPr>
          <w:b/>
        </w:rPr>
        <w:t>5.1.3 Convenios firmados con contribuyentes</w:t>
      </w:r>
    </w:p>
    <w:p w:rsidR="00353CBD" w:rsidRPr="009D27AB" w:rsidRDefault="00353CBD" w:rsidP="008E4012">
      <w:pPr>
        <w:pStyle w:val="Textoindependiente"/>
      </w:pPr>
      <w:r w:rsidRPr="008C2EC5">
        <w:t xml:space="preserve">En los convenios firmados con los contribuyentes, dando cumplimiento a lo dispuesto en recomendaciones del ejercicio anterior, consta la firma del funcionario que lo otorga. </w:t>
      </w:r>
    </w:p>
    <w:p w:rsidR="00353CBD" w:rsidRPr="009D27AB" w:rsidRDefault="00353CBD" w:rsidP="008E4012">
      <w:pPr>
        <w:pStyle w:val="Textoindependiente"/>
        <w:rPr>
          <w:highlight w:val="green"/>
        </w:rPr>
      </w:pPr>
    </w:p>
    <w:p w:rsidR="00353CBD" w:rsidRDefault="00353CBD" w:rsidP="008E4012">
      <w:pPr>
        <w:pStyle w:val="Ttulo2"/>
        <w:widowControl w:val="0"/>
        <w:suppressAutoHyphens/>
        <w:spacing w:after="0"/>
        <w:jc w:val="both"/>
        <w:rPr>
          <w:rFonts w:cs="Arial"/>
        </w:rPr>
      </w:pPr>
      <w:r>
        <w:rPr>
          <w:rFonts w:cs="Arial"/>
        </w:rPr>
        <w:t xml:space="preserve">5.2 </w:t>
      </w:r>
      <w:r w:rsidRPr="009D27AB">
        <w:rPr>
          <w:rFonts w:cs="Arial"/>
        </w:rPr>
        <w:t xml:space="preserve">Recomendaciones de </w:t>
      </w:r>
      <w:r>
        <w:rPr>
          <w:rFonts w:cs="Arial"/>
        </w:rPr>
        <w:t>e</w:t>
      </w:r>
      <w:r w:rsidRPr="009D27AB">
        <w:rPr>
          <w:rFonts w:cs="Arial"/>
        </w:rPr>
        <w:t>jercicios anteriores no cumplidas</w:t>
      </w:r>
      <w:bookmarkStart w:id="12" w:name="_Toc405566079"/>
    </w:p>
    <w:p w:rsidR="00353CBD" w:rsidRPr="00A35770" w:rsidRDefault="00353CBD" w:rsidP="008E4012">
      <w:pPr>
        <w:pStyle w:val="Textoindependiente"/>
        <w:rPr>
          <w:lang w:val="es-ES"/>
        </w:rPr>
      </w:pPr>
    </w:p>
    <w:p w:rsidR="00353CBD" w:rsidRPr="009D27AB" w:rsidRDefault="00353CBD" w:rsidP="008E4012">
      <w:pPr>
        <w:pStyle w:val="Textoindependiente"/>
        <w:rPr>
          <w:b/>
          <w:lang w:val="es-ES"/>
        </w:rPr>
      </w:pPr>
      <w:r>
        <w:rPr>
          <w:b/>
          <w:lang w:val="es-ES"/>
        </w:rPr>
        <w:t xml:space="preserve">5.2.1 </w:t>
      </w:r>
      <w:r w:rsidRPr="009D27AB">
        <w:rPr>
          <w:b/>
          <w:lang w:val="es-ES"/>
        </w:rPr>
        <w:t>Partidas salariales</w:t>
      </w:r>
    </w:p>
    <w:p w:rsidR="00353CBD" w:rsidRPr="009D27AB" w:rsidRDefault="00353CBD" w:rsidP="008E4012">
      <w:pPr>
        <w:spacing w:line="360" w:lineRule="auto"/>
        <w:jc w:val="both"/>
        <w:rPr>
          <w:rFonts w:cs="Arial"/>
        </w:rPr>
      </w:pPr>
      <w:r w:rsidRPr="00A35770">
        <w:rPr>
          <w:rFonts w:cs="Arial"/>
        </w:rPr>
        <w:t>A efectos de dar cumplimiento a lo dispuesto en el Artículo 86 de la Constitución de la República, el total pagado por concepto de compensaciones, horas extras y diferencias de sueldo que perciban los funcionarios, debe estar previsto en normas presupuestales.</w:t>
      </w:r>
    </w:p>
    <w:p w:rsidR="00353CBD" w:rsidRDefault="00353CBD" w:rsidP="008E4012">
      <w:pPr>
        <w:spacing w:line="360" w:lineRule="auto"/>
        <w:jc w:val="both"/>
        <w:rPr>
          <w:rFonts w:cs="Arial"/>
        </w:rPr>
      </w:pPr>
    </w:p>
    <w:p w:rsidR="00353CBD" w:rsidRPr="009D27AB" w:rsidRDefault="00353CBD" w:rsidP="008E4012">
      <w:pPr>
        <w:pStyle w:val="Ttulo2"/>
        <w:spacing w:after="0"/>
        <w:jc w:val="both"/>
        <w:rPr>
          <w:rFonts w:cs="Arial"/>
        </w:rPr>
      </w:pPr>
      <w:bookmarkStart w:id="13" w:name="_Toc405566100"/>
      <w:r>
        <w:rPr>
          <w:rFonts w:cs="Arial"/>
        </w:rPr>
        <w:t xml:space="preserve">5.2.2 </w:t>
      </w:r>
      <w:r w:rsidRPr="009D27AB">
        <w:rPr>
          <w:rFonts w:cs="Arial"/>
        </w:rPr>
        <w:t>Artículos 225 y 227 de la Constitución de la República y Ordenanza 71 del Tribunal de Cuentas</w:t>
      </w:r>
      <w:bookmarkEnd w:id="13"/>
    </w:p>
    <w:p w:rsidR="00353CBD" w:rsidRPr="009D27AB" w:rsidRDefault="00353CBD" w:rsidP="008E4012">
      <w:pPr>
        <w:spacing w:line="360" w:lineRule="auto"/>
        <w:jc w:val="both"/>
        <w:rPr>
          <w:rFonts w:cs="Arial"/>
        </w:rPr>
      </w:pPr>
      <w:r w:rsidRPr="00A35770">
        <w:rPr>
          <w:rFonts w:cs="Arial"/>
        </w:rPr>
        <w:t>La Junta Departamental, al sancionar definitivamente los Presupuestos o Modificaciones Presupuestales, cuando acepte las observaciones formuladas, deberá introducir efectivamente las correcciones correspondientes.</w:t>
      </w:r>
      <w:r w:rsidRPr="009D27AB">
        <w:rPr>
          <w:rFonts w:cs="Arial"/>
        </w:rPr>
        <w:t xml:space="preserve"> </w:t>
      </w:r>
    </w:p>
    <w:p w:rsidR="00353CBD" w:rsidRPr="009D27AB" w:rsidRDefault="00353CBD" w:rsidP="008E4012">
      <w:pPr>
        <w:spacing w:line="360" w:lineRule="auto"/>
        <w:jc w:val="both"/>
        <w:rPr>
          <w:rFonts w:cs="Arial"/>
        </w:rPr>
      </w:pPr>
    </w:p>
    <w:p w:rsidR="00353CBD" w:rsidRPr="009D27AB" w:rsidRDefault="00353CBD" w:rsidP="008E4012">
      <w:pPr>
        <w:pStyle w:val="Ttulo2"/>
        <w:spacing w:after="0"/>
        <w:jc w:val="both"/>
        <w:rPr>
          <w:rFonts w:cs="Arial"/>
        </w:rPr>
      </w:pPr>
      <w:bookmarkStart w:id="14" w:name="_Toc405566101"/>
      <w:r>
        <w:rPr>
          <w:rFonts w:cs="Arial"/>
        </w:rPr>
        <w:t xml:space="preserve">5.2.3 </w:t>
      </w:r>
      <w:r w:rsidRPr="009D27AB">
        <w:rPr>
          <w:rFonts w:cs="Arial"/>
        </w:rPr>
        <w:t>Artículo 297 de la Constitución de la República</w:t>
      </w:r>
    </w:p>
    <w:bookmarkEnd w:id="14"/>
    <w:p w:rsidR="00353CBD" w:rsidRPr="00A35770" w:rsidRDefault="00353CBD" w:rsidP="008E4012">
      <w:pPr>
        <w:pStyle w:val="Ttulo2"/>
        <w:spacing w:after="0"/>
        <w:jc w:val="both"/>
        <w:rPr>
          <w:rFonts w:cs="Arial"/>
          <w:b w:val="0"/>
          <w:kern w:val="1"/>
          <w:lang w:val="es-ES_tradnl"/>
        </w:rPr>
      </w:pPr>
      <w:r w:rsidRPr="00A35770">
        <w:rPr>
          <w:rFonts w:cs="Arial"/>
          <w:b w:val="0"/>
          <w:kern w:val="1"/>
          <w:lang w:val="es-ES_tradnl"/>
        </w:rPr>
        <w:t xml:space="preserve">No se deberán otorgar bonificaciones y descuentos en lo que refiere a Impuestos sobre la propiedad inmueble rural ya que los mismos son creados por ley nacional. </w:t>
      </w:r>
    </w:p>
    <w:p w:rsidR="00353CBD" w:rsidRPr="00A35770" w:rsidRDefault="00353CBD" w:rsidP="008E4012">
      <w:pPr>
        <w:spacing w:line="360" w:lineRule="auto"/>
        <w:jc w:val="both"/>
        <w:rPr>
          <w:rFonts w:cs="Arial"/>
          <w:lang w:val="es-ES_tradnl"/>
        </w:rPr>
      </w:pPr>
    </w:p>
    <w:p w:rsidR="00353CBD" w:rsidRPr="00A35770" w:rsidRDefault="00353CBD" w:rsidP="008E4012">
      <w:pPr>
        <w:pStyle w:val="Ttulo2"/>
        <w:spacing w:after="0"/>
        <w:jc w:val="both"/>
        <w:rPr>
          <w:rFonts w:cs="Arial"/>
        </w:rPr>
      </w:pPr>
      <w:bookmarkStart w:id="15" w:name="_Toc405566102"/>
      <w:r>
        <w:rPr>
          <w:rFonts w:cs="Arial"/>
        </w:rPr>
        <w:t xml:space="preserve">5.2.4 </w:t>
      </w:r>
      <w:r w:rsidRPr="00A35770">
        <w:rPr>
          <w:rFonts w:cs="Arial"/>
        </w:rPr>
        <w:t>Artículo 239 de la Modificación Presupuestal 2013-2015</w:t>
      </w:r>
      <w:bookmarkEnd w:id="15"/>
    </w:p>
    <w:p w:rsidR="00353CBD" w:rsidRPr="009D27AB" w:rsidRDefault="00353CBD" w:rsidP="008E4012">
      <w:pPr>
        <w:tabs>
          <w:tab w:val="left" w:pos="3064"/>
        </w:tabs>
        <w:spacing w:line="360" w:lineRule="auto"/>
        <w:jc w:val="both"/>
        <w:rPr>
          <w:rFonts w:cs="Arial"/>
        </w:rPr>
      </w:pPr>
      <w:r w:rsidRPr="00A35770">
        <w:rPr>
          <w:rFonts w:cs="Arial"/>
          <w:kern w:val="1"/>
        </w:rPr>
        <w:t xml:space="preserve">Se deberá dar cumplimiento a que el atraso de tres cuotas consecutivas en el pago de los convenios celebrados entre la Comuna y los contribuyentes, </w:t>
      </w:r>
      <w:r w:rsidRPr="00A35770">
        <w:rPr>
          <w:rFonts w:cs="Arial"/>
        </w:rPr>
        <w:t>determina que los mismos perderán, automáticamente, el derecho al referido beneficio.</w:t>
      </w:r>
      <w:r w:rsidRPr="009D27AB">
        <w:rPr>
          <w:rFonts w:cs="Arial"/>
        </w:rPr>
        <w:t xml:space="preserve"> </w:t>
      </w:r>
    </w:p>
    <w:p w:rsidR="00353CBD" w:rsidRPr="008C2EC5" w:rsidRDefault="00353CBD" w:rsidP="008E4012">
      <w:pPr>
        <w:pStyle w:val="Textoindependiente"/>
        <w:rPr>
          <w:lang w:val="es-ES"/>
        </w:rPr>
      </w:pPr>
    </w:p>
    <w:p w:rsidR="00353CBD" w:rsidRPr="009D27AB" w:rsidRDefault="00353CBD" w:rsidP="008E4012">
      <w:pPr>
        <w:pStyle w:val="Ttulo2"/>
        <w:widowControl w:val="0"/>
        <w:spacing w:after="0"/>
        <w:jc w:val="both"/>
        <w:rPr>
          <w:rFonts w:cs="Arial"/>
        </w:rPr>
      </w:pPr>
      <w:bookmarkStart w:id="16" w:name="_Toc405566083"/>
      <w:r>
        <w:rPr>
          <w:rFonts w:cs="Arial"/>
        </w:rPr>
        <w:t xml:space="preserve">5.2.5 </w:t>
      </w:r>
      <w:r w:rsidRPr="009D27AB">
        <w:rPr>
          <w:rFonts w:cs="Arial"/>
        </w:rPr>
        <w:t>Artículos 4, 5 y 11 del TOCAF</w:t>
      </w:r>
      <w:bookmarkEnd w:id="16"/>
    </w:p>
    <w:p w:rsidR="00353CBD" w:rsidRPr="008C2EC5" w:rsidRDefault="00353CBD" w:rsidP="008E4012">
      <w:pPr>
        <w:pStyle w:val="Textoindependiente"/>
      </w:pPr>
      <w:r w:rsidRPr="008C2EC5">
        <w:t xml:space="preserve">El importe total de los fondos que se recauden deberá ser depositado íntegramente en las cuentas bancarias disponibles en el BROU. </w:t>
      </w:r>
    </w:p>
    <w:p w:rsidR="00353CBD" w:rsidRPr="008C2EC5" w:rsidRDefault="00353CBD" w:rsidP="008E4012">
      <w:pPr>
        <w:pStyle w:val="Textoindependiente"/>
      </w:pPr>
    </w:p>
    <w:p w:rsidR="00353CBD" w:rsidRPr="008C2EC5" w:rsidRDefault="00353CBD" w:rsidP="008E4012">
      <w:pPr>
        <w:pStyle w:val="Ttulo2"/>
        <w:widowControl w:val="0"/>
        <w:spacing w:after="0"/>
        <w:jc w:val="both"/>
        <w:rPr>
          <w:rFonts w:cs="Arial"/>
        </w:rPr>
      </w:pPr>
      <w:bookmarkStart w:id="17" w:name="_Toc405566084"/>
      <w:r>
        <w:rPr>
          <w:rFonts w:cs="Arial"/>
        </w:rPr>
        <w:t>5.2.6 Artículo 14</w:t>
      </w:r>
      <w:r w:rsidRPr="008C2EC5">
        <w:rPr>
          <w:rFonts w:cs="Arial"/>
        </w:rPr>
        <w:t xml:space="preserve"> del TOCAF</w:t>
      </w:r>
      <w:bookmarkEnd w:id="17"/>
    </w:p>
    <w:p w:rsidR="00353CBD" w:rsidRDefault="00353CBD" w:rsidP="008E4012">
      <w:pPr>
        <w:pStyle w:val="Textoindependiente"/>
      </w:pPr>
      <w:r w:rsidRPr="008C2EC5">
        <w:t xml:space="preserve">Los intereses y diferencias de cotización devengados por préstamos recibidos durante cada ejercicio, deberán contabilizarse en los correspondientes objetos </w:t>
      </w:r>
      <w:r w:rsidRPr="00A35770">
        <w:t xml:space="preserve">presupuestales. </w:t>
      </w:r>
    </w:p>
    <w:p w:rsidR="00353CBD" w:rsidRDefault="00353CBD" w:rsidP="008E4012">
      <w:pPr>
        <w:pStyle w:val="Textoindependiente"/>
      </w:pPr>
    </w:p>
    <w:p w:rsidR="00353CBD" w:rsidRPr="009D27AB" w:rsidRDefault="00353CBD" w:rsidP="008E4012">
      <w:pPr>
        <w:pStyle w:val="Ttulo2"/>
        <w:widowControl w:val="0"/>
        <w:spacing w:after="0"/>
        <w:jc w:val="both"/>
        <w:rPr>
          <w:rFonts w:cs="Arial"/>
          <w:bCs/>
        </w:rPr>
      </w:pPr>
      <w:r>
        <w:rPr>
          <w:rFonts w:cs="Arial"/>
          <w:bCs/>
        </w:rPr>
        <w:t xml:space="preserve">5.2.7 </w:t>
      </w:r>
      <w:r w:rsidRPr="009D27AB">
        <w:rPr>
          <w:rFonts w:cs="Arial"/>
          <w:bCs/>
        </w:rPr>
        <w:t>Artículo 20 del TOCAF</w:t>
      </w:r>
    </w:p>
    <w:p w:rsidR="00353CBD" w:rsidRPr="008773BC" w:rsidRDefault="00353CBD" w:rsidP="008E4012">
      <w:pPr>
        <w:pStyle w:val="Textoindependiente"/>
        <w:rPr>
          <w:b/>
        </w:rPr>
      </w:pPr>
      <w:r w:rsidRPr="008773BC">
        <w:rPr>
          <w:bCs/>
        </w:rPr>
        <w:t>La Intendencia deberá registrar las compras y reconocerlas como deudas, en oportunidad de la recepción del bien o el servicio cuya documentación de formalización de la transacción es la factura. No obstante, de acuerdo al último inciso de esta norma, podrán afectar sus créditos por los compromisos contraídos, pero comunicándolo previamente al Tribunal de Cuentas.</w:t>
      </w:r>
    </w:p>
    <w:p w:rsidR="00353CBD" w:rsidRDefault="00353CBD" w:rsidP="008E4012">
      <w:pPr>
        <w:pStyle w:val="Textoindependiente"/>
      </w:pPr>
    </w:p>
    <w:p w:rsidR="00353CBD" w:rsidRPr="009D27AB" w:rsidRDefault="00353CBD" w:rsidP="008E4012">
      <w:pPr>
        <w:pStyle w:val="Ttulo2"/>
        <w:widowControl w:val="0"/>
        <w:spacing w:after="0"/>
        <w:jc w:val="both"/>
        <w:rPr>
          <w:rFonts w:cs="Arial"/>
        </w:rPr>
      </w:pPr>
      <w:r>
        <w:rPr>
          <w:rFonts w:cs="Arial"/>
        </w:rPr>
        <w:t xml:space="preserve">5.2.8 </w:t>
      </w:r>
      <w:r w:rsidRPr="009D27AB">
        <w:rPr>
          <w:rFonts w:cs="Arial"/>
        </w:rPr>
        <w:t>Artículo 33 del TOCAF</w:t>
      </w:r>
    </w:p>
    <w:p w:rsidR="00353CBD" w:rsidRDefault="00353CBD" w:rsidP="008E4012">
      <w:pPr>
        <w:spacing w:line="360" w:lineRule="auto"/>
        <w:jc w:val="both"/>
        <w:rPr>
          <w:rFonts w:cs="Arial"/>
        </w:rPr>
      </w:pPr>
      <w:r w:rsidRPr="00A35770">
        <w:rPr>
          <w:rFonts w:cs="Arial"/>
        </w:rPr>
        <w:t xml:space="preserve">La Intendencia deberá adoptar las medidas necesarias para contratar los suministros o servicios, de forma de facilitar la presentación del mayor número posible de oferentes, teniendo en cuenta el procedimiento de contratación que corresponda de acuerdo con lo establecido en el Artículo 33 del TOCAF. Sin perjuicio de lo dispuesto precedentemente, los Ordenadores, bajo su responsabilidad, podrán fraccionar las compras dejando expresa constancia de su fundamento y de su conveniencia para el servicio, tal como lo dispone </w:t>
      </w:r>
      <w:r>
        <w:rPr>
          <w:rFonts w:cs="Arial"/>
        </w:rPr>
        <w:t>el Artículo 43 del TOCAF.</w:t>
      </w:r>
    </w:p>
    <w:p w:rsidR="00353CBD" w:rsidRDefault="00353CBD" w:rsidP="008E4012">
      <w:pPr>
        <w:spacing w:line="360" w:lineRule="auto"/>
        <w:jc w:val="both"/>
        <w:rPr>
          <w:rFonts w:cs="Arial"/>
        </w:rPr>
      </w:pPr>
    </w:p>
    <w:p w:rsidR="00353CBD" w:rsidRPr="009D27AB" w:rsidRDefault="00353CBD" w:rsidP="008E4012">
      <w:pPr>
        <w:pStyle w:val="Ttulo2"/>
        <w:widowControl w:val="0"/>
        <w:spacing w:after="0"/>
        <w:jc w:val="both"/>
        <w:rPr>
          <w:rFonts w:cs="Arial"/>
        </w:rPr>
      </w:pPr>
      <w:r>
        <w:rPr>
          <w:rFonts w:cs="Arial"/>
        </w:rPr>
        <w:t xml:space="preserve">5.2.9 </w:t>
      </w:r>
      <w:r w:rsidRPr="009D27AB">
        <w:rPr>
          <w:rFonts w:cs="Arial"/>
        </w:rPr>
        <w:t>Artículo 40 del TOCAF</w:t>
      </w:r>
    </w:p>
    <w:p w:rsidR="00353CBD" w:rsidRPr="009D27AB" w:rsidRDefault="00353CBD" w:rsidP="008E4012">
      <w:pPr>
        <w:spacing w:line="360" w:lineRule="auto"/>
        <w:jc w:val="both"/>
        <w:rPr>
          <w:rFonts w:cs="Arial"/>
        </w:rPr>
      </w:pPr>
      <w:r w:rsidRPr="009D27AB">
        <w:rPr>
          <w:rFonts w:cs="Arial"/>
        </w:rPr>
        <w:t xml:space="preserve">En caso de arrendamientos, se deberá solicitar informe técnico previo respecto al monto a pagar. </w:t>
      </w:r>
    </w:p>
    <w:p w:rsidR="00353CBD" w:rsidRPr="008773BC" w:rsidRDefault="00353CBD" w:rsidP="008E4012">
      <w:pPr>
        <w:pStyle w:val="Textoindependiente"/>
        <w:rPr>
          <w:lang w:val="es-ES"/>
        </w:rPr>
      </w:pPr>
    </w:p>
    <w:p w:rsidR="00353CBD" w:rsidRPr="009D27AB" w:rsidRDefault="00353CBD" w:rsidP="008E4012">
      <w:pPr>
        <w:pStyle w:val="Ttulo2"/>
        <w:widowControl w:val="0"/>
        <w:spacing w:after="0"/>
        <w:jc w:val="both"/>
        <w:rPr>
          <w:rFonts w:cs="Arial"/>
        </w:rPr>
      </w:pPr>
      <w:r>
        <w:rPr>
          <w:rFonts w:cs="Arial"/>
        </w:rPr>
        <w:t xml:space="preserve">5.2.10 </w:t>
      </w:r>
      <w:r w:rsidRPr="009D27AB">
        <w:rPr>
          <w:rFonts w:cs="Arial"/>
        </w:rPr>
        <w:t>Registro de cheques diferidos a cobrar y cobranzas con tarjetas de crédito</w:t>
      </w:r>
      <w:bookmarkEnd w:id="12"/>
    </w:p>
    <w:p w:rsidR="00353CBD" w:rsidRPr="008C2EC5" w:rsidRDefault="00353CBD" w:rsidP="008E4012">
      <w:pPr>
        <w:pStyle w:val="Textoindependiente"/>
      </w:pPr>
      <w:r w:rsidRPr="008C2EC5">
        <w:t xml:space="preserve">Deberá implementarse la contabilización del ingreso de los cheques diferidos a cobrar y de los cupones de pagos con tarjetas de crédito en rubros específicos, generándose así las cuentas que permitan el control por parte de la Contaduría de los saldos de dichos documentos en poder de Tesorería. </w:t>
      </w:r>
    </w:p>
    <w:p w:rsidR="00353CBD" w:rsidRPr="008C2EC5" w:rsidRDefault="00353CBD" w:rsidP="008E4012">
      <w:pPr>
        <w:pStyle w:val="Ttulo2"/>
        <w:widowControl w:val="0"/>
        <w:spacing w:after="0"/>
        <w:jc w:val="both"/>
        <w:rPr>
          <w:rFonts w:cs="Arial"/>
          <w:b w:val="0"/>
          <w:kern w:val="0"/>
          <w:lang w:val="es-ES_tradnl"/>
        </w:rPr>
      </w:pPr>
      <w:bookmarkStart w:id="18" w:name="_Toc405566080"/>
    </w:p>
    <w:p w:rsidR="00353CBD" w:rsidRPr="008C2EC5" w:rsidRDefault="00353CBD" w:rsidP="008E4012">
      <w:pPr>
        <w:pStyle w:val="Ttulo2"/>
        <w:widowControl w:val="0"/>
        <w:spacing w:after="0"/>
        <w:jc w:val="both"/>
        <w:rPr>
          <w:rFonts w:cs="Arial"/>
          <w:lang w:val="es-MX"/>
        </w:rPr>
      </w:pPr>
      <w:r>
        <w:rPr>
          <w:rFonts w:cs="Arial"/>
        </w:rPr>
        <w:t xml:space="preserve">5.2.11 </w:t>
      </w:r>
      <w:r w:rsidRPr="008C2EC5">
        <w:rPr>
          <w:rFonts w:cs="Arial"/>
        </w:rPr>
        <w:t>Cheques recibidos</w:t>
      </w:r>
      <w:bookmarkEnd w:id="18"/>
    </w:p>
    <w:p w:rsidR="00353CBD" w:rsidRPr="008C2EC5" w:rsidRDefault="00353CBD" w:rsidP="008E4012">
      <w:pPr>
        <w:pStyle w:val="Textoindependiente"/>
      </w:pPr>
      <w:r w:rsidRPr="008C2EC5">
        <w:t xml:space="preserve">A efectos de evitar el cobro irregular de los cheques, es conveniente adoptar como política su endoso y cruzamiento. </w:t>
      </w:r>
    </w:p>
    <w:p w:rsidR="00353CBD" w:rsidRPr="008C2EC5" w:rsidRDefault="00353CBD" w:rsidP="008E4012">
      <w:pPr>
        <w:pStyle w:val="Textoindependiente"/>
      </w:pPr>
    </w:p>
    <w:p w:rsidR="00353CBD" w:rsidRPr="008C2EC5" w:rsidRDefault="00353CBD" w:rsidP="008E4012">
      <w:pPr>
        <w:pStyle w:val="Ttulo2"/>
        <w:widowControl w:val="0"/>
        <w:spacing w:after="0"/>
        <w:jc w:val="both"/>
        <w:rPr>
          <w:rFonts w:cs="Arial"/>
        </w:rPr>
      </w:pPr>
      <w:bookmarkStart w:id="19" w:name="_Toc405566081"/>
      <w:r>
        <w:rPr>
          <w:rFonts w:cs="Arial"/>
        </w:rPr>
        <w:t xml:space="preserve">5.2.12 </w:t>
      </w:r>
      <w:r w:rsidRPr="008C2EC5">
        <w:rPr>
          <w:rFonts w:cs="Arial"/>
        </w:rPr>
        <w:t>Convenio N° 30 de la O.I.T</w:t>
      </w:r>
      <w:bookmarkEnd w:id="19"/>
    </w:p>
    <w:p w:rsidR="00353CBD" w:rsidRPr="008C2EC5" w:rsidRDefault="00353CBD" w:rsidP="008E4012">
      <w:pPr>
        <w:pStyle w:val="Textoindependiente"/>
      </w:pPr>
      <w:r w:rsidRPr="008C2EC5">
        <w:t xml:space="preserve">El otorgamiento de horas extras a los funcionarios de la Intendencia debe realizarse de forma que el trabajador no realice más de 48 horas semanales, incluyendo las horas simples y extras. </w:t>
      </w:r>
    </w:p>
    <w:p w:rsidR="00353CBD" w:rsidRPr="008C2EC5" w:rsidRDefault="00353CBD" w:rsidP="008E4012">
      <w:pPr>
        <w:pStyle w:val="Ttulo2"/>
        <w:widowControl w:val="0"/>
        <w:spacing w:after="0"/>
        <w:jc w:val="both"/>
        <w:rPr>
          <w:rFonts w:cs="Arial"/>
          <w:lang w:val="es-MX"/>
        </w:rPr>
      </w:pPr>
    </w:p>
    <w:p w:rsidR="00353CBD" w:rsidRPr="008C2EC5" w:rsidRDefault="00353CBD" w:rsidP="008E4012">
      <w:pPr>
        <w:pStyle w:val="Ttulo2"/>
        <w:widowControl w:val="0"/>
        <w:spacing w:after="0"/>
        <w:jc w:val="both"/>
        <w:rPr>
          <w:rFonts w:cs="Arial"/>
          <w:lang w:val="es-MX"/>
        </w:rPr>
      </w:pPr>
      <w:bookmarkStart w:id="20" w:name="_Toc405566082"/>
      <w:r>
        <w:rPr>
          <w:rFonts w:cs="Arial"/>
          <w:lang w:val="es-ES_tradnl"/>
        </w:rPr>
        <w:t xml:space="preserve">5.2.13 </w:t>
      </w:r>
      <w:r w:rsidRPr="008C2EC5">
        <w:rPr>
          <w:rFonts w:cs="Arial"/>
          <w:lang w:val="es-ES_tradnl"/>
        </w:rPr>
        <w:t>Artículos 84 y 97 del TOCAF</w:t>
      </w:r>
      <w:bookmarkEnd w:id="20"/>
    </w:p>
    <w:p w:rsidR="00353CBD" w:rsidRDefault="00353CBD" w:rsidP="008E4012">
      <w:pPr>
        <w:pStyle w:val="Textoindependiente"/>
      </w:pPr>
      <w:r w:rsidRPr="008C2EC5">
        <w:t>La Intendencia deberá mantener un registro permanente de los bienes que integran su patrimonio.</w:t>
      </w:r>
      <w:r w:rsidRPr="009D27AB">
        <w:t xml:space="preserve"> </w:t>
      </w:r>
    </w:p>
    <w:p w:rsidR="00353CBD" w:rsidRPr="00A35770" w:rsidRDefault="00353CBD" w:rsidP="008E4012">
      <w:pPr>
        <w:pStyle w:val="Ttulo2"/>
        <w:widowControl w:val="0"/>
        <w:spacing w:after="0"/>
        <w:jc w:val="both"/>
        <w:rPr>
          <w:rFonts w:cs="Arial"/>
        </w:rPr>
      </w:pPr>
      <w:bookmarkStart w:id="21" w:name="_Toc405566087"/>
    </w:p>
    <w:p w:rsidR="00353CBD" w:rsidRPr="00A35770" w:rsidRDefault="00353CBD" w:rsidP="008E4012">
      <w:pPr>
        <w:spacing w:line="360" w:lineRule="auto"/>
        <w:jc w:val="both"/>
        <w:rPr>
          <w:rFonts w:cs="Arial"/>
          <w:b/>
        </w:rPr>
      </w:pPr>
      <w:r>
        <w:rPr>
          <w:rFonts w:cs="Arial"/>
          <w:b/>
        </w:rPr>
        <w:t xml:space="preserve">5.2.14 </w:t>
      </w:r>
      <w:r w:rsidRPr="00A35770">
        <w:rPr>
          <w:rFonts w:cs="Arial"/>
          <w:b/>
        </w:rPr>
        <w:t>Artículo 94 del TOCAF y Ordenanza N° 81 de este Tribunal</w:t>
      </w:r>
    </w:p>
    <w:p w:rsidR="00353CBD" w:rsidRDefault="00353CBD" w:rsidP="008E4012">
      <w:pPr>
        <w:pStyle w:val="Textoindependiente"/>
      </w:pPr>
      <w:r w:rsidRPr="00A35770">
        <w:t>La Intendencia deberá implementar el sistema de contabilidad patrimonial a efectos de exponer su situación. Esto implicará conciliar los saldos contables y extracontables que actualmente mantiene.</w:t>
      </w:r>
    </w:p>
    <w:p w:rsidR="00353CBD" w:rsidRPr="00A35770" w:rsidRDefault="00353CBD" w:rsidP="008E4012">
      <w:pPr>
        <w:pStyle w:val="Textoindependiente"/>
      </w:pPr>
    </w:p>
    <w:p w:rsidR="00353CBD" w:rsidRPr="009D27AB" w:rsidRDefault="00353CBD" w:rsidP="008E4012">
      <w:pPr>
        <w:pStyle w:val="Ttulo2"/>
        <w:widowControl w:val="0"/>
        <w:spacing w:after="0"/>
        <w:jc w:val="both"/>
        <w:rPr>
          <w:rFonts w:cs="Arial"/>
        </w:rPr>
      </w:pPr>
      <w:r>
        <w:rPr>
          <w:rFonts w:cs="Arial"/>
        </w:rPr>
        <w:t xml:space="preserve">5.2.15 </w:t>
      </w:r>
      <w:r w:rsidRPr="009D27AB">
        <w:rPr>
          <w:rFonts w:cs="Arial"/>
        </w:rPr>
        <w:t>Seguros de caución de fidelidad</w:t>
      </w:r>
    </w:p>
    <w:p w:rsidR="00353CBD" w:rsidRPr="009D27AB" w:rsidRDefault="00353CBD" w:rsidP="008E4012">
      <w:pPr>
        <w:pStyle w:val="Textoindependiente"/>
      </w:pPr>
      <w:r w:rsidRPr="00A35770">
        <w:t>Se deberán contratar fianzas o pólizas de seguros para aquellos funcionarios que manejan o custodian fondos</w:t>
      </w:r>
      <w:r>
        <w:t xml:space="preserve"> o valores</w:t>
      </w:r>
      <w:r w:rsidRPr="00A35770">
        <w:t>.</w:t>
      </w:r>
    </w:p>
    <w:p w:rsidR="00353CBD" w:rsidRDefault="00353CBD" w:rsidP="008E4012">
      <w:pPr>
        <w:pStyle w:val="Textoindependiente"/>
      </w:pPr>
    </w:p>
    <w:p w:rsidR="00353CBD" w:rsidRPr="009D27AB" w:rsidRDefault="00353CBD" w:rsidP="008E4012">
      <w:pPr>
        <w:pStyle w:val="Ttulo2"/>
        <w:widowControl w:val="0"/>
        <w:spacing w:after="0"/>
        <w:jc w:val="both"/>
        <w:rPr>
          <w:rFonts w:cs="Arial"/>
        </w:rPr>
      </w:pPr>
      <w:r>
        <w:rPr>
          <w:rFonts w:cs="Arial"/>
        </w:rPr>
        <w:t xml:space="preserve">5.2.16 </w:t>
      </w:r>
      <w:r w:rsidRPr="009D27AB">
        <w:rPr>
          <w:rFonts w:cs="Arial"/>
        </w:rPr>
        <w:t>Artículo 119 del TOCAF</w:t>
      </w:r>
    </w:p>
    <w:p w:rsidR="00353CBD" w:rsidRDefault="00353CBD" w:rsidP="008E4012">
      <w:pPr>
        <w:spacing w:line="360" w:lineRule="auto"/>
        <w:jc w:val="both"/>
        <w:rPr>
          <w:rFonts w:cs="Arial"/>
        </w:rPr>
      </w:pPr>
      <w:r w:rsidRPr="009D27AB">
        <w:rPr>
          <w:rFonts w:cs="Arial"/>
        </w:rPr>
        <w:t xml:space="preserve">La Intendencia deberá realizar arqueos sorpresivos en forma periódica de acuerdo con lo establecido por esta norma. </w:t>
      </w:r>
    </w:p>
    <w:p w:rsidR="00353CBD" w:rsidRDefault="00353CBD" w:rsidP="008E4012">
      <w:pPr>
        <w:spacing w:line="360" w:lineRule="auto"/>
        <w:jc w:val="both"/>
        <w:rPr>
          <w:rFonts w:cs="Arial"/>
        </w:rPr>
      </w:pPr>
    </w:p>
    <w:p w:rsidR="00353CBD" w:rsidRPr="009D27AB" w:rsidRDefault="00353CBD" w:rsidP="008E4012">
      <w:pPr>
        <w:pStyle w:val="Ttulo2"/>
        <w:spacing w:after="0"/>
        <w:jc w:val="both"/>
        <w:rPr>
          <w:rFonts w:cs="Arial"/>
        </w:rPr>
      </w:pPr>
      <w:r>
        <w:rPr>
          <w:rFonts w:cs="Arial"/>
        </w:rPr>
        <w:t xml:space="preserve">5.2.17 </w:t>
      </w:r>
      <w:r w:rsidRPr="00A35770">
        <w:rPr>
          <w:rFonts w:cs="Arial"/>
          <w:kern w:val="1"/>
          <w:lang w:eastAsia="ar-SA"/>
        </w:rPr>
        <w:t xml:space="preserve">Artículo 128 del </w:t>
      </w:r>
      <w:r w:rsidRPr="00BC7158">
        <w:rPr>
          <w:rFonts w:cs="Arial"/>
          <w:kern w:val="1"/>
          <w:lang w:eastAsia="ar-SA"/>
        </w:rPr>
        <w:t>TOCAF e Instructivo aprobado por el Tribunal de Cuentas por Resolución del 28/01/20</w:t>
      </w:r>
      <w:r>
        <w:rPr>
          <w:rFonts w:cs="Arial"/>
          <w:kern w:val="1"/>
          <w:lang w:eastAsia="ar-SA"/>
        </w:rPr>
        <w:t>0</w:t>
      </w:r>
      <w:r w:rsidRPr="00BC7158">
        <w:rPr>
          <w:rFonts w:cs="Arial"/>
          <w:kern w:val="1"/>
          <w:lang w:eastAsia="ar-SA"/>
        </w:rPr>
        <w:t>4</w:t>
      </w:r>
      <w:r>
        <w:rPr>
          <w:rFonts w:cs="Arial"/>
        </w:rPr>
        <w:t xml:space="preserve"> </w:t>
      </w:r>
      <w:r w:rsidRPr="009D27AB">
        <w:rPr>
          <w:rFonts w:cs="Arial"/>
        </w:rPr>
        <w:t>Grado de cumplimiento de objetivos y metas (obras ejecutadas)</w:t>
      </w:r>
    </w:p>
    <w:p w:rsidR="00353CBD" w:rsidRPr="009D27AB" w:rsidRDefault="00353CBD" w:rsidP="008E4012">
      <w:pPr>
        <w:suppressAutoHyphens/>
        <w:spacing w:line="360" w:lineRule="auto"/>
        <w:jc w:val="both"/>
        <w:rPr>
          <w:rFonts w:cs="Arial"/>
          <w:kern w:val="1"/>
          <w:lang w:eastAsia="ar-SA"/>
        </w:rPr>
      </w:pPr>
      <w:r w:rsidRPr="00A35770">
        <w:rPr>
          <w:rFonts w:cs="Arial"/>
          <w:kern w:val="1"/>
          <w:lang w:eastAsia="ar-SA"/>
        </w:rPr>
        <w:t>Se deberá incluir en el documento de Rendición de Cuentas el “Estado demostrativo del grado de cumplimiento de los objetivos y metas” en el cual se debe exponer el detalle de las obras ejecutadas, tanto previstas como no previstas, identifica</w:t>
      </w:r>
      <w:r>
        <w:rPr>
          <w:rFonts w:cs="Arial"/>
          <w:kern w:val="1"/>
          <w:lang w:eastAsia="ar-SA"/>
        </w:rPr>
        <w:t>n</w:t>
      </w:r>
      <w:r w:rsidRPr="00A35770">
        <w:rPr>
          <w:rFonts w:cs="Arial"/>
          <w:kern w:val="1"/>
          <w:lang w:eastAsia="ar-SA"/>
        </w:rPr>
        <w:t>do para cada obra, las unidades físicas proyectadas y ejecutadas, así como los costos presupuestados y resultantes.</w:t>
      </w:r>
    </w:p>
    <w:p w:rsidR="00353CBD" w:rsidRPr="009D27AB" w:rsidRDefault="00353CBD" w:rsidP="008E4012">
      <w:pPr>
        <w:spacing w:line="360" w:lineRule="auto"/>
        <w:jc w:val="both"/>
        <w:rPr>
          <w:rFonts w:cs="Arial"/>
        </w:rPr>
      </w:pPr>
    </w:p>
    <w:p w:rsidR="00353CBD" w:rsidRPr="009D27AB" w:rsidRDefault="00353CBD" w:rsidP="008E4012">
      <w:pPr>
        <w:pStyle w:val="Ttulo2"/>
        <w:widowControl w:val="0"/>
        <w:spacing w:after="0"/>
        <w:jc w:val="both"/>
        <w:rPr>
          <w:rFonts w:cs="Arial"/>
        </w:rPr>
      </w:pPr>
      <w:r>
        <w:rPr>
          <w:rFonts w:cs="Arial"/>
        </w:rPr>
        <w:t xml:space="preserve">5.2.18 </w:t>
      </w:r>
      <w:r w:rsidRPr="009D27AB">
        <w:rPr>
          <w:rFonts w:cs="Arial"/>
        </w:rPr>
        <w:t xml:space="preserve">Artículo 32 </w:t>
      </w:r>
      <w:r>
        <w:rPr>
          <w:rFonts w:cs="Arial"/>
        </w:rPr>
        <w:t xml:space="preserve">de la </w:t>
      </w:r>
      <w:r w:rsidRPr="009D27AB">
        <w:rPr>
          <w:rFonts w:cs="Arial"/>
        </w:rPr>
        <w:t>Ley</w:t>
      </w:r>
      <w:r>
        <w:rPr>
          <w:rFonts w:cs="Arial"/>
        </w:rPr>
        <w:t xml:space="preserve"> Nº</w:t>
      </w:r>
      <w:r w:rsidRPr="009D27AB">
        <w:rPr>
          <w:rFonts w:cs="Arial"/>
        </w:rPr>
        <w:t xml:space="preserve"> 11.923</w:t>
      </w:r>
    </w:p>
    <w:p w:rsidR="00353CBD" w:rsidRDefault="00353CBD" w:rsidP="008E4012">
      <w:pPr>
        <w:pStyle w:val="Textoindependiente"/>
      </w:pPr>
      <w:r w:rsidRPr="00A35770">
        <w:t>La Comuna deberá solicitar a los prestadores de servicios la declaración jurada donde se verifique la no percepción por los mismos de más de una remuneración con cargo a fondos públicos.</w:t>
      </w:r>
      <w:r w:rsidRPr="009D27AB">
        <w:t xml:space="preserve"> </w:t>
      </w:r>
    </w:p>
    <w:p w:rsidR="00353CBD" w:rsidRPr="009D27AB" w:rsidRDefault="00353CBD" w:rsidP="008E4012">
      <w:pPr>
        <w:pStyle w:val="Textoindependiente"/>
      </w:pPr>
    </w:p>
    <w:p w:rsidR="00353CBD" w:rsidRPr="009D27AB" w:rsidRDefault="00353CBD" w:rsidP="008E4012">
      <w:pPr>
        <w:pStyle w:val="Ttulo2"/>
        <w:widowControl w:val="0"/>
        <w:spacing w:after="0"/>
        <w:jc w:val="both"/>
        <w:rPr>
          <w:rFonts w:cs="Arial"/>
        </w:rPr>
      </w:pPr>
      <w:r>
        <w:rPr>
          <w:rFonts w:cs="Arial"/>
        </w:rPr>
        <w:t xml:space="preserve">5.2.19 </w:t>
      </w:r>
      <w:r w:rsidRPr="009D27AB">
        <w:rPr>
          <w:rFonts w:cs="Arial"/>
        </w:rPr>
        <w:t>Artículo 13, Numeral 18 de la Ley</w:t>
      </w:r>
      <w:r>
        <w:rPr>
          <w:rFonts w:cs="Arial"/>
        </w:rPr>
        <w:t xml:space="preserve"> Nº</w:t>
      </w:r>
      <w:r w:rsidRPr="009D27AB">
        <w:rPr>
          <w:rFonts w:cs="Arial"/>
        </w:rPr>
        <w:t xml:space="preserve"> 18.567</w:t>
      </w:r>
    </w:p>
    <w:p w:rsidR="00353CBD" w:rsidRPr="009D27AB" w:rsidRDefault="00353CBD" w:rsidP="008E4012">
      <w:pPr>
        <w:spacing w:line="360" w:lineRule="auto"/>
        <w:jc w:val="both"/>
        <w:rPr>
          <w:rFonts w:cs="Arial"/>
        </w:rPr>
      </w:pPr>
      <w:r>
        <w:rPr>
          <w:rFonts w:cs="Arial"/>
        </w:rPr>
        <w:t>T</w:t>
      </w:r>
      <w:r w:rsidRPr="009D27AB">
        <w:rPr>
          <w:rFonts w:cs="Arial"/>
        </w:rPr>
        <w:t>odos los Municipios deberán presentar ante el Gobierno Departamental la Rendición de Cuentas anual.</w:t>
      </w:r>
      <w:r>
        <w:rPr>
          <w:rFonts w:cs="Arial"/>
        </w:rPr>
        <w:t xml:space="preserve"> </w:t>
      </w:r>
    </w:p>
    <w:p w:rsidR="00353CBD" w:rsidRPr="009D27AB" w:rsidRDefault="00353CBD" w:rsidP="008E4012">
      <w:pPr>
        <w:spacing w:line="360" w:lineRule="auto"/>
        <w:jc w:val="both"/>
        <w:rPr>
          <w:rFonts w:cs="Arial"/>
        </w:rPr>
      </w:pPr>
    </w:p>
    <w:p w:rsidR="00353CBD" w:rsidRPr="009D27AB" w:rsidRDefault="00353CBD" w:rsidP="008E4012">
      <w:pPr>
        <w:pStyle w:val="Ttulo2"/>
        <w:widowControl w:val="0"/>
        <w:spacing w:after="0"/>
        <w:jc w:val="both"/>
        <w:rPr>
          <w:rFonts w:cs="Arial"/>
        </w:rPr>
      </w:pPr>
      <w:r>
        <w:rPr>
          <w:rFonts w:cs="Arial"/>
        </w:rPr>
        <w:t xml:space="preserve">5.2.20 </w:t>
      </w:r>
      <w:r w:rsidRPr="009D27AB">
        <w:rPr>
          <w:rFonts w:cs="Arial"/>
        </w:rPr>
        <w:t>Resolución del Tribunal de Cuentas de fecha 28/01/04</w:t>
      </w:r>
    </w:p>
    <w:p w:rsidR="00353CBD" w:rsidRPr="00A35770" w:rsidRDefault="00353CBD" w:rsidP="008E4012">
      <w:pPr>
        <w:spacing w:line="360" w:lineRule="auto"/>
        <w:jc w:val="both"/>
        <w:rPr>
          <w:rFonts w:cs="Arial"/>
        </w:rPr>
      </w:pPr>
      <w:r w:rsidRPr="00A35770">
        <w:rPr>
          <w:rFonts w:cs="Arial"/>
        </w:rPr>
        <w:t xml:space="preserve">La Intendencia deberá presentar la Rendición de Cuentas anual considerando todos los Estados e informaciones adicionales establecidas en esta Resolución. </w:t>
      </w:r>
    </w:p>
    <w:p w:rsidR="00353CBD" w:rsidRPr="008773BC" w:rsidRDefault="00353CBD" w:rsidP="008E4012">
      <w:pPr>
        <w:pStyle w:val="Textoindependiente"/>
        <w:rPr>
          <w:lang w:val="es-ES"/>
        </w:rPr>
      </w:pPr>
    </w:p>
    <w:p w:rsidR="00353CBD" w:rsidRPr="00A35770" w:rsidRDefault="00353CBD" w:rsidP="008E4012">
      <w:pPr>
        <w:pStyle w:val="Ttulo2"/>
        <w:widowControl w:val="0"/>
        <w:spacing w:after="0"/>
        <w:jc w:val="both"/>
        <w:rPr>
          <w:rFonts w:cs="Arial"/>
        </w:rPr>
      </w:pPr>
      <w:r>
        <w:rPr>
          <w:rFonts w:cs="Arial"/>
        </w:rPr>
        <w:t xml:space="preserve">5.2.21 </w:t>
      </w:r>
      <w:r w:rsidRPr="00A35770">
        <w:rPr>
          <w:rFonts w:cs="Arial"/>
        </w:rPr>
        <w:t>Convenios de contribuyentes</w:t>
      </w:r>
      <w:bookmarkEnd w:id="21"/>
    </w:p>
    <w:p w:rsidR="00353CBD" w:rsidRPr="009D27AB" w:rsidRDefault="00353CBD" w:rsidP="008E4012">
      <w:pPr>
        <w:pStyle w:val="Textoindependiente"/>
      </w:pPr>
      <w:r w:rsidRPr="00A35770">
        <w:t>Deberá practicarse un seguimiento permanente sobre los convenios firmados por la Intendencia y los contribuyentes en situación de mora, por parte de un sector independiente del que los realiza.</w:t>
      </w:r>
      <w:r w:rsidRPr="009D27AB">
        <w:t xml:space="preserve"> </w:t>
      </w:r>
    </w:p>
    <w:p w:rsidR="00353CBD" w:rsidRPr="009D27AB" w:rsidRDefault="00353CBD" w:rsidP="008E4012">
      <w:pPr>
        <w:spacing w:line="360" w:lineRule="auto"/>
        <w:jc w:val="both"/>
        <w:rPr>
          <w:rFonts w:cs="Arial"/>
        </w:rPr>
      </w:pPr>
    </w:p>
    <w:p w:rsidR="00353CBD" w:rsidRPr="009D27AB" w:rsidRDefault="00353CBD" w:rsidP="008E4012">
      <w:pPr>
        <w:pStyle w:val="Ttulo2"/>
        <w:widowControl w:val="0"/>
        <w:spacing w:after="0"/>
        <w:jc w:val="both"/>
        <w:rPr>
          <w:rFonts w:cs="Arial"/>
        </w:rPr>
      </w:pPr>
      <w:bookmarkStart w:id="22" w:name="_Toc405566115"/>
      <w:r>
        <w:rPr>
          <w:rFonts w:cs="Arial"/>
        </w:rPr>
        <w:t xml:space="preserve">5.2.22 </w:t>
      </w:r>
      <w:r w:rsidRPr="009D27AB">
        <w:rPr>
          <w:rFonts w:cs="Arial"/>
        </w:rPr>
        <w:t>Convenio con el BSE</w:t>
      </w:r>
      <w:bookmarkEnd w:id="22"/>
    </w:p>
    <w:p w:rsidR="00353CBD" w:rsidRPr="009D27AB" w:rsidRDefault="00353CBD" w:rsidP="008E4012">
      <w:pPr>
        <w:spacing w:line="360" w:lineRule="auto"/>
        <w:jc w:val="both"/>
        <w:rPr>
          <w:rFonts w:cs="Arial"/>
          <w:color w:val="548DD4"/>
        </w:rPr>
      </w:pPr>
      <w:r w:rsidRPr="00A35770">
        <w:rPr>
          <w:rFonts w:cs="Arial"/>
        </w:rPr>
        <w:t>La Comuna deberá abonar las cuotas devengadas de acuerdo a lo establecido en el referido convenio.</w:t>
      </w:r>
      <w:r w:rsidRPr="009D27AB">
        <w:rPr>
          <w:rFonts w:cs="Arial"/>
        </w:rPr>
        <w:t xml:space="preserve"> </w:t>
      </w:r>
    </w:p>
    <w:p w:rsidR="00353CBD" w:rsidRPr="009D27AB" w:rsidRDefault="00353CBD" w:rsidP="008E4012">
      <w:pPr>
        <w:pStyle w:val="Ttulo2"/>
        <w:widowControl w:val="0"/>
        <w:spacing w:after="0"/>
        <w:jc w:val="both"/>
        <w:rPr>
          <w:rFonts w:cs="Arial"/>
        </w:rPr>
      </w:pPr>
    </w:p>
    <w:p w:rsidR="00353CBD" w:rsidRPr="009D27AB" w:rsidRDefault="00353CBD" w:rsidP="008E4012">
      <w:pPr>
        <w:pStyle w:val="Ttulo2"/>
        <w:widowControl w:val="0"/>
        <w:spacing w:after="0"/>
        <w:jc w:val="both"/>
        <w:rPr>
          <w:rFonts w:cs="Arial"/>
        </w:rPr>
      </w:pPr>
      <w:bookmarkStart w:id="23" w:name="_Toc405566088"/>
      <w:r>
        <w:rPr>
          <w:rFonts w:cs="Arial"/>
        </w:rPr>
        <w:t>5.2.23</w:t>
      </w:r>
      <w:r w:rsidRPr="00497611">
        <w:rPr>
          <w:rFonts w:cs="Arial"/>
        </w:rPr>
        <w:t xml:space="preserve"> Artículo 167 de la Ley Nº 16.713</w:t>
      </w:r>
    </w:p>
    <w:bookmarkEnd w:id="23"/>
    <w:p w:rsidR="00353CBD" w:rsidRPr="009D27AB" w:rsidRDefault="00353CBD" w:rsidP="008E4012">
      <w:pPr>
        <w:pStyle w:val="Ttulo2"/>
        <w:widowControl w:val="0"/>
        <w:spacing w:after="0"/>
        <w:jc w:val="both"/>
        <w:rPr>
          <w:rFonts w:cs="Arial"/>
          <w:b w:val="0"/>
        </w:rPr>
      </w:pPr>
      <w:r w:rsidRPr="00A35770">
        <w:rPr>
          <w:rFonts w:cs="Arial"/>
          <w:b w:val="0"/>
        </w:rPr>
        <w:t xml:space="preserve">Se deberá instrumentar un mecanismo de control, a efectos de que cuando se verifique, que el pago de cobertura médica u odontológica prestada por el empleador, supere el veinte por ciento de la retribución del trabajador, sea considerado como materia gravada para la seguridad social, de acuerdo a lo dispuesto </w:t>
      </w:r>
      <w:r>
        <w:rPr>
          <w:rFonts w:cs="Arial"/>
          <w:b w:val="0"/>
        </w:rPr>
        <w:t>en la norma citada.</w:t>
      </w:r>
      <w:r w:rsidRPr="009D27AB">
        <w:rPr>
          <w:rFonts w:cs="Arial"/>
          <w:b w:val="0"/>
        </w:rPr>
        <w:t xml:space="preserve"> </w:t>
      </w:r>
    </w:p>
    <w:p w:rsidR="00353CBD" w:rsidRPr="00497611" w:rsidRDefault="00353CBD" w:rsidP="008E4012">
      <w:pPr>
        <w:pStyle w:val="Textoindependiente"/>
        <w:rPr>
          <w:lang w:val="es-ES"/>
        </w:rPr>
      </w:pPr>
      <w:bookmarkStart w:id="24" w:name="_Toc405566089"/>
    </w:p>
    <w:p w:rsidR="00353CBD" w:rsidRDefault="00353CBD" w:rsidP="008E4012">
      <w:pPr>
        <w:pStyle w:val="Ttulo2"/>
        <w:widowControl w:val="0"/>
        <w:spacing w:after="0"/>
        <w:jc w:val="both"/>
        <w:rPr>
          <w:rFonts w:cs="Arial"/>
        </w:rPr>
      </w:pPr>
    </w:p>
    <w:p w:rsidR="00353CBD" w:rsidRPr="009D27AB" w:rsidRDefault="00353CBD" w:rsidP="008E4012">
      <w:pPr>
        <w:pStyle w:val="Ttulo2"/>
        <w:widowControl w:val="0"/>
        <w:spacing w:after="0"/>
        <w:jc w:val="both"/>
        <w:rPr>
          <w:rFonts w:cs="Arial"/>
        </w:rPr>
      </w:pPr>
      <w:r>
        <w:rPr>
          <w:rFonts w:cs="Arial"/>
        </w:rPr>
        <w:t>5.2.24 Compendio de n</w:t>
      </w:r>
      <w:r w:rsidRPr="009D27AB">
        <w:rPr>
          <w:rFonts w:cs="Arial"/>
        </w:rPr>
        <w:t xml:space="preserve">ormas </w:t>
      </w:r>
      <w:bookmarkEnd w:id="24"/>
      <w:r>
        <w:rPr>
          <w:rFonts w:cs="Arial"/>
        </w:rPr>
        <w:t>aplicables</w:t>
      </w:r>
    </w:p>
    <w:p w:rsidR="00353CBD" w:rsidRPr="009D27AB" w:rsidRDefault="00353CBD" w:rsidP="008E4012">
      <w:pPr>
        <w:pStyle w:val="Textoindependiente"/>
      </w:pPr>
      <w:r w:rsidRPr="00A35770">
        <w:t>A efectos de tener certeza de la normativa vigente, la Intendencia deberá efectuar una recopilación de las normas en relación a viáticos, horas extras y otras compen</w:t>
      </w:r>
      <w:r w:rsidRPr="00A35770">
        <w:softHyphen/>
        <w:t>saciones.</w:t>
      </w:r>
      <w:r w:rsidRPr="009D27AB">
        <w:t xml:space="preserve"> </w:t>
      </w:r>
    </w:p>
    <w:p w:rsidR="00353CBD" w:rsidRPr="009D27AB" w:rsidRDefault="00353CBD" w:rsidP="008E4012">
      <w:pPr>
        <w:pStyle w:val="Ttulo2"/>
        <w:widowControl w:val="0"/>
        <w:spacing w:after="0"/>
        <w:jc w:val="both"/>
        <w:rPr>
          <w:rFonts w:cs="Arial"/>
        </w:rPr>
      </w:pPr>
      <w:bookmarkStart w:id="25" w:name="_Toc405566090"/>
    </w:p>
    <w:p w:rsidR="00353CBD" w:rsidRPr="009D27AB" w:rsidRDefault="00353CBD" w:rsidP="008E4012">
      <w:pPr>
        <w:pStyle w:val="Ttulo2"/>
        <w:widowControl w:val="0"/>
        <w:spacing w:after="0"/>
        <w:jc w:val="both"/>
        <w:rPr>
          <w:rFonts w:cs="Arial"/>
          <w:lang w:val="es-MX"/>
        </w:rPr>
      </w:pPr>
      <w:r>
        <w:rPr>
          <w:rFonts w:cs="Arial"/>
        </w:rPr>
        <w:t xml:space="preserve">5.2.25 </w:t>
      </w:r>
      <w:r w:rsidRPr="009D27AB">
        <w:rPr>
          <w:rFonts w:cs="Arial"/>
        </w:rPr>
        <w:t>Seguimiento de las órdenes de compra</w:t>
      </w:r>
      <w:bookmarkEnd w:id="25"/>
    </w:p>
    <w:p w:rsidR="00353CBD" w:rsidRPr="009D27AB" w:rsidRDefault="00353CBD" w:rsidP="008E4012">
      <w:pPr>
        <w:pStyle w:val="Textoindependiente"/>
      </w:pPr>
      <w:r w:rsidRPr="00A35770">
        <w:t>A efectos de un correcto manejo del capítulo “Proveedores”, deberá realizarse un seguimiento permanente de las órdenes de compra emitidas por las que no se han recibido facturas, formular informes de recepción de los bienes adquiridos y conciliar periódicamente los auxiliares de proveedores con el mayor general.</w:t>
      </w:r>
      <w:r w:rsidRPr="009D27AB">
        <w:t xml:space="preserve"> </w:t>
      </w:r>
    </w:p>
    <w:p w:rsidR="00353CBD" w:rsidRPr="009D27AB" w:rsidRDefault="00353CBD" w:rsidP="008E4012">
      <w:pPr>
        <w:pStyle w:val="Textoindependiente"/>
      </w:pPr>
    </w:p>
    <w:p w:rsidR="00353CBD" w:rsidRPr="009D27AB" w:rsidRDefault="00353CBD" w:rsidP="008E4012">
      <w:pPr>
        <w:pStyle w:val="Ttulo2"/>
        <w:widowControl w:val="0"/>
        <w:spacing w:after="0"/>
        <w:jc w:val="both"/>
        <w:rPr>
          <w:rFonts w:cs="Arial"/>
          <w:lang w:val="es-MX"/>
        </w:rPr>
      </w:pPr>
      <w:bookmarkStart w:id="26" w:name="_Toc405566091"/>
      <w:r>
        <w:rPr>
          <w:rFonts w:cs="Arial"/>
        </w:rPr>
        <w:t xml:space="preserve">5.2.26 </w:t>
      </w:r>
      <w:r w:rsidRPr="009D27AB">
        <w:rPr>
          <w:rFonts w:cs="Arial"/>
        </w:rPr>
        <w:t>Manuales de procedimientos</w:t>
      </w:r>
      <w:bookmarkEnd w:id="26"/>
    </w:p>
    <w:p w:rsidR="00353CBD" w:rsidRPr="009D27AB" w:rsidRDefault="00353CBD" w:rsidP="008E4012">
      <w:pPr>
        <w:pStyle w:val="Textoindependiente"/>
      </w:pPr>
      <w:r w:rsidRPr="00A35770">
        <w:t>A efectos de lograr un adecuado sistema de control interno, la Intendencia  deberá confeccionar manuales de procedimientos tendientes a definir tareas y responsabilidades de los funcionarios en todas las áreas. Tales manua</w:t>
      </w:r>
      <w:r w:rsidRPr="00A35770">
        <w:softHyphen/>
        <w:t>les deberán basarse en principios básicos de separación de funciones y en la racionalización de mecanismos de contralor por oposición de intereses.</w:t>
      </w:r>
      <w:r w:rsidRPr="009D27AB">
        <w:t xml:space="preserve"> </w:t>
      </w:r>
    </w:p>
    <w:p w:rsidR="00353CBD" w:rsidRPr="009D27AB" w:rsidRDefault="00353CBD" w:rsidP="008E4012">
      <w:pPr>
        <w:pStyle w:val="Textoindependiente"/>
      </w:pPr>
    </w:p>
    <w:p w:rsidR="00353CBD" w:rsidRPr="009D27AB" w:rsidRDefault="00353CBD" w:rsidP="008E4012">
      <w:pPr>
        <w:pStyle w:val="Ttulo2"/>
        <w:widowControl w:val="0"/>
        <w:spacing w:after="0"/>
        <w:jc w:val="both"/>
        <w:rPr>
          <w:rFonts w:cs="Arial"/>
        </w:rPr>
      </w:pPr>
      <w:bookmarkStart w:id="27" w:name="_Toc405566092"/>
      <w:r>
        <w:rPr>
          <w:rFonts w:cs="Arial"/>
        </w:rPr>
        <w:t xml:space="preserve">5.2.27 </w:t>
      </w:r>
      <w:r w:rsidRPr="009D27AB">
        <w:rPr>
          <w:rFonts w:cs="Arial"/>
        </w:rPr>
        <w:t>Distribución de suministros adquiridos</w:t>
      </w:r>
      <w:bookmarkEnd w:id="27"/>
    </w:p>
    <w:p w:rsidR="00353CBD" w:rsidRPr="009D27AB" w:rsidRDefault="00353CBD" w:rsidP="008E4012">
      <w:pPr>
        <w:pStyle w:val="Textoindependiente"/>
      </w:pPr>
      <w:r w:rsidRPr="00A35770">
        <w:t>Deberá asignarse la responsabilidad de realizar el retiro y distribución de los suministros, a personal independiente del sector que realizó el pedido correspondiente, obteniendo de esta forma una adecuada separación de funciones.</w:t>
      </w:r>
      <w:r w:rsidRPr="009D27AB">
        <w:t xml:space="preserve"> </w:t>
      </w:r>
    </w:p>
    <w:p w:rsidR="00353CBD" w:rsidRPr="009D27AB" w:rsidRDefault="00353CBD" w:rsidP="008E4012">
      <w:pPr>
        <w:pStyle w:val="Ttulo2"/>
        <w:widowControl w:val="0"/>
        <w:spacing w:after="0"/>
        <w:jc w:val="both"/>
        <w:rPr>
          <w:rFonts w:cs="Arial"/>
        </w:rPr>
      </w:pPr>
      <w:bookmarkStart w:id="28" w:name="_Toc405566095"/>
    </w:p>
    <w:p w:rsidR="00353CBD" w:rsidRPr="009D27AB" w:rsidRDefault="00353CBD" w:rsidP="008E4012">
      <w:pPr>
        <w:pStyle w:val="Ttulo2"/>
        <w:widowControl w:val="0"/>
        <w:spacing w:after="0"/>
        <w:jc w:val="both"/>
        <w:rPr>
          <w:rFonts w:cs="Arial"/>
        </w:rPr>
      </w:pPr>
      <w:r>
        <w:rPr>
          <w:rFonts w:cs="Arial"/>
        </w:rPr>
        <w:t xml:space="preserve">5.2.28 </w:t>
      </w:r>
      <w:r w:rsidRPr="008773BC">
        <w:rPr>
          <w:rFonts w:cs="Arial"/>
        </w:rPr>
        <w:t>Fondos Indisponibles</w:t>
      </w:r>
      <w:bookmarkEnd w:id="28"/>
    </w:p>
    <w:p w:rsidR="00353CBD" w:rsidRPr="009D27AB" w:rsidRDefault="00353CBD" w:rsidP="008E4012">
      <w:pPr>
        <w:pStyle w:val="Textoindependiente"/>
      </w:pPr>
      <w:r w:rsidRPr="008773BC">
        <w:t>Se deberán continuar analizando y realizando los</w:t>
      </w:r>
      <w:r w:rsidRPr="009D27AB">
        <w:t xml:space="preserve"> ajustes contables correspondientes de forma que los saldos de los “Fondos Indisponibles” sean los correctos</w:t>
      </w:r>
    </w:p>
    <w:p w:rsidR="00353CBD" w:rsidRDefault="00353CBD" w:rsidP="008E4012">
      <w:pPr>
        <w:pStyle w:val="Textoindependiente"/>
      </w:pPr>
    </w:p>
    <w:p w:rsidR="00353CBD" w:rsidRDefault="00353CBD" w:rsidP="008E4012">
      <w:pPr>
        <w:pStyle w:val="Ttulo2"/>
        <w:spacing w:after="0"/>
        <w:jc w:val="both"/>
        <w:rPr>
          <w:rFonts w:cs="Arial"/>
        </w:rPr>
      </w:pPr>
      <w:bookmarkStart w:id="29" w:name="_Toc405566098"/>
    </w:p>
    <w:p w:rsidR="00353CBD" w:rsidRPr="00A35770" w:rsidRDefault="00353CBD" w:rsidP="008E4012">
      <w:pPr>
        <w:pStyle w:val="Ttulo2"/>
        <w:spacing w:after="0"/>
        <w:jc w:val="both"/>
        <w:rPr>
          <w:rFonts w:cs="Arial"/>
        </w:rPr>
      </w:pPr>
      <w:r>
        <w:rPr>
          <w:rFonts w:cs="Arial"/>
        </w:rPr>
        <w:t xml:space="preserve">5.2.29 </w:t>
      </w:r>
      <w:r w:rsidRPr="00A35770">
        <w:rPr>
          <w:rFonts w:cs="Arial"/>
        </w:rPr>
        <w:t>Garantías</w:t>
      </w:r>
      <w:bookmarkEnd w:id="29"/>
    </w:p>
    <w:p w:rsidR="00353CBD" w:rsidRPr="009D27AB" w:rsidRDefault="00353CBD" w:rsidP="008E4012">
      <w:pPr>
        <w:pStyle w:val="Textoindependiente"/>
      </w:pPr>
      <w:r w:rsidRPr="00A35770">
        <w:t>Se deberá proceder a la devolución de aquellas garantías que, a la fecha, se encuentran vencidas. Además, deberá mantener</w:t>
      </w:r>
      <w:r>
        <w:t>se</w:t>
      </w:r>
      <w:r w:rsidRPr="00A35770">
        <w:t xml:space="preserve"> un registro actualizado de las garantías recibidas por concepto de mantenimiento de oferta y fiel cumplimiento de contrato.</w:t>
      </w:r>
    </w:p>
    <w:p w:rsidR="00353CBD" w:rsidRPr="009D27AB" w:rsidRDefault="00353CBD" w:rsidP="008E4012">
      <w:pPr>
        <w:pStyle w:val="Textoindependiente"/>
      </w:pPr>
    </w:p>
    <w:p w:rsidR="00353CBD" w:rsidRPr="009D27AB" w:rsidRDefault="00353CBD" w:rsidP="008E4012">
      <w:pPr>
        <w:pStyle w:val="Ttulo2"/>
        <w:spacing w:after="0"/>
        <w:jc w:val="both"/>
        <w:rPr>
          <w:rFonts w:cs="Arial"/>
        </w:rPr>
      </w:pPr>
      <w:bookmarkStart w:id="30" w:name="_Toc405566099"/>
      <w:r>
        <w:rPr>
          <w:rFonts w:cs="Arial"/>
        </w:rPr>
        <w:t xml:space="preserve">5.2.30 </w:t>
      </w:r>
      <w:r w:rsidRPr="009D27AB">
        <w:rPr>
          <w:rFonts w:cs="Arial"/>
        </w:rPr>
        <w:t>Movimiento de Fondos y Valores</w:t>
      </w:r>
      <w:bookmarkEnd w:id="30"/>
    </w:p>
    <w:p w:rsidR="00353CBD" w:rsidRPr="009D27AB" w:rsidRDefault="00353CBD" w:rsidP="008E4012">
      <w:pPr>
        <w:spacing w:line="360" w:lineRule="auto"/>
        <w:jc w:val="both"/>
        <w:rPr>
          <w:rFonts w:cs="Arial"/>
        </w:rPr>
      </w:pPr>
      <w:r w:rsidRPr="00A35770">
        <w:rPr>
          <w:rFonts w:cs="Arial"/>
        </w:rPr>
        <w:t>Se deberá ajustar el saldo de las Disponibilidades, no incluyendo en estas, los fondos retenidos por la Intendencia, por concepto de garantías por mantenimiento de oferta.</w:t>
      </w:r>
      <w:r w:rsidRPr="009D27AB">
        <w:rPr>
          <w:rFonts w:cs="Arial"/>
        </w:rPr>
        <w:t xml:space="preserve"> </w:t>
      </w:r>
    </w:p>
    <w:p w:rsidR="00353CBD" w:rsidRPr="009D27AB" w:rsidRDefault="00353CBD" w:rsidP="008E4012">
      <w:pPr>
        <w:tabs>
          <w:tab w:val="left" w:pos="3064"/>
        </w:tabs>
        <w:spacing w:line="360" w:lineRule="auto"/>
        <w:jc w:val="both"/>
        <w:rPr>
          <w:rFonts w:cs="Arial"/>
        </w:rPr>
      </w:pPr>
      <w:bookmarkStart w:id="31" w:name="_Toc405566109"/>
    </w:p>
    <w:p w:rsidR="00353CBD" w:rsidRPr="009D27AB" w:rsidRDefault="00353CBD" w:rsidP="008E4012">
      <w:pPr>
        <w:pStyle w:val="Ttulo2"/>
        <w:spacing w:after="0"/>
        <w:jc w:val="both"/>
        <w:rPr>
          <w:rFonts w:cs="Arial"/>
        </w:rPr>
      </w:pPr>
      <w:bookmarkStart w:id="32" w:name="_Toc405566106"/>
      <w:bookmarkEnd w:id="31"/>
      <w:r>
        <w:rPr>
          <w:rFonts w:cs="Arial"/>
        </w:rPr>
        <w:t xml:space="preserve">5.2.31 </w:t>
      </w:r>
      <w:r w:rsidRPr="009D27AB">
        <w:rPr>
          <w:rFonts w:cs="Arial"/>
        </w:rPr>
        <w:t>Adquisiciones en el Departamento de Abasto</w:t>
      </w:r>
      <w:bookmarkEnd w:id="32"/>
    </w:p>
    <w:p w:rsidR="00353CBD" w:rsidRPr="009D27AB" w:rsidRDefault="00353CBD" w:rsidP="008E4012">
      <w:pPr>
        <w:spacing w:line="360" w:lineRule="auto"/>
        <w:jc w:val="both"/>
        <w:rPr>
          <w:rFonts w:cs="Arial"/>
        </w:rPr>
      </w:pPr>
      <w:r>
        <w:rPr>
          <w:rFonts w:cs="Arial"/>
        </w:rPr>
        <w:t>L</w:t>
      </w:r>
      <w:r w:rsidRPr="00A35770">
        <w:rPr>
          <w:rFonts w:cs="Arial"/>
        </w:rPr>
        <w:t>as compras para todas las oficinas o áreas de la Comuna</w:t>
      </w:r>
      <w:r>
        <w:rPr>
          <w:rFonts w:cs="Arial"/>
        </w:rPr>
        <w:t xml:space="preserve"> d</w:t>
      </w:r>
      <w:r w:rsidRPr="00A35770">
        <w:rPr>
          <w:rFonts w:cs="Arial"/>
        </w:rPr>
        <w:t>eberá</w:t>
      </w:r>
      <w:r>
        <w:rPr>
          <w:rFonts w:cs="Arial"/>
        </w:rPr>
        <w:t>n realizarse a través</w:t>
      </w:r>
      <w:r w:rsidRPr="00A35770">
        <w:rPr>
          <w:rFonts w:cs="Arial"/>
        </w:rPr>
        <w:t xml:space="preserve"> </w:t>
      </w:r>
      <w:r>
        <w:rPr>
          <w:rFonts w:cs="Arial"/>
        </w:rPr>
        <w:t>d</w:t>
      </w:r>
      <w:r w:rsidRPr="00A35770">
        <w:rPr>
          <w:rFonts w:cs="Arial"/>
        </w:rPr>
        <w:t>el Departamento de Adquisiciones de la Intendencia.</w:t>
      </w:r>
      <w:r w:rsidRPr="009D27AB">
        <w:rPr>
          <w:rFonts w:cs="Arial"/>
        </w:rPr>
        <w:t xml:space="preserve"> </w:t>
      </w:r>
    </w:p>
    <w:p w:rsidR="00353CBD" w:rsidRPr="009D27AB" w:rsidRDefault="00353CBD" w:rsidP="008E4012">
      <w:pPr>
        <w:pStyle w:val="Ttulo2"/>
        <w:spacing w:after="0"/>
        <w:jc w:val="both"/>
        <w:rPr>
          <w:rFonts w:cs="Arial"/>
        </w:rPr>
      </w:pPr>
      <w:bookmarkStart w:id="33" w:name="_Toc405566107"/>
    </w:p>
    <w:p w:rsidR="00353CBD" w:rsidRPr="009D27AB" w:rsidRDefault="00353CBD" w:rsidP="008E4012">
      <w:pPr>
        <w:pStyle w:val="Ttulo2"/>
        <w:spacing w:after="0"/>
        <w:jc w:val="both"/>
        <w:rPr>
          <w:rFonts w:cs="Arial"/>
        </w:rPr>
      </w:pPr>
      <w:r>
        <w:rPr>
          <w:rFonts w:cs="Arial"/>
        </w:rPr>
        <w:t xml:space="preserve">5.2.32 </w:t>
      </w:r>
      <w:r w:rsidRPr="009D27AB">
        <w:rPr>
          <w:rFonts w:cs="Arial"/>
        </w:rPr>
        <w:t>Avance de Obra</w:t>
      </w:r>
      <w:bookmarkEnd w:id="33"/>
    </w:p>
    <w:p w:rsidR="00353CBD" w:rsidRPr="009D27AB" w:rsidRDefault="00353CBD" w:rsidP="008E4012">
      <w:pPr>
        <w:spacing w:line="360" w:lineRule="auto"/>
        <w:jc w:val="both"/>
        <w:rPr>
          <w:rFonts w:cs="Arial"/>
        </w:rPr>
      </w:pPr>
      <w:r w:rsidRPr="00A35770">
        <w:rPr>
          <w:rFonts w:cs="Arial"/>
        </w:rPr>
        <w:t>La Intendencia deberá implementar registros adecuados como forma de realizar un seguimiento de las obras que realice y su grado de avance.</w:t>
      </w:r>
      <w:r w:rsidRPr="009D27AB">
        <w:rPr>
          <w:rFonts w:cs="Arial"/>
        </w:rPr>
        <w:t xml:space="preserve"> </w:t>
      </w:r>
    </w:p>
    <w:p w:rsidR="00353CBD" w:rsidRDefault="00353CBD" w:rsidP="008E4012">
      <w:pPr>
        <w:pStyle w:val="Ttulo2"/>
        <w:widowControl w:val="0"/>
        <w:spacing w:after="0"/>
        <w:jc w:val="both"/>
        <w:rPr>
          <w:rFonts w:cs="Arial"/>
        </w:rPr>
      </w:pPr>
    </w:p>
    <w:p w:rsidR="00353CBD" w:rsidRPr="00A35770" w:rsidRDefault="00353CBD" w:rsidP="008E4012">
      <w:pPr>
        <w:pStyle w:val="Ttulo2"/>
        <w:widowControl w:val="0"/>
        <w:spacing w:after="0"/>
        <w:jc w:val="both"/>
        <w:rPr>
          <w:rFonts w:cs="Arial"/>
        </w:rPr>
      </w:pPr>
      <w:r>
        <w:rPr>
          <w:rFonts w:cs="Arial"/>
        </w:rPr>
        <w:t xml:space="preserve">5.2.33 </w:t>
      </w:r>
      <w:r w:rsidRPr="00A35770">
        <w:rPr>
          <w:rFonts w:cs="Arial"/>
        </w:rPr>
        <w:t>Recursos y manejo de fondos</w:t>
      </w:r>
    </w:p>
    <w:p w:rsidR="00353CBD" w:rsidRPr="009D27AB" w:rsidRDefault="00353CBD" w:rsidP="008E4012">
      <w:pPr>
        <w:pStyle w:val="Textoindependiente"/>
      </w:pPr>
      <w:r w:rsidRPr="00A35770">
        <w:t>Se deberá detallar en todas las Actas de Arqueo cuales son los comprobantes pendientes de descargo así como su antigüedad. Asimismo se deberán establecer mecanismos de contralor sobre el procedimiento de anulación de recibos realizado por el Departamento de Tributos.</w:t>
      </w:r>
      <w:r w:rsidRPr="009D27AB">
        <w:t xml:space="preserve"> </w:t>
      </w:r>
    </w:p>
    <w:p w:rsidR="00353CBD" w:rsidRPr="009D27AB" w:rsidRDefault="00353CBD" w:rsidP="008E4012">
      <w:pPr>
        <w:pStyle w:val="Ttulo2"/>
        <w:widowControl w:val="0"/>
        <w:spacing w:after="0"/>
        <w:jc w:val="both"/>
        <w:rPr>
          <w:rFonts w:cs="Arial"/>
        </w:rPr>
      </w:pPr>
    </w:p>
    <w:p w:rsidR="00353CBD" w:rsidRPr="00A35770" w:rsidRDefault="00353CBD" w:rsidP="008E4012">
      <w:pPr>
        <w:pStyle w:val="Ttulo2"/>
        <w:widowControl w:val="0"/>
        <w:spacing w:after="0"/>
        <w:jc w:val="both"/>
        <w:rPr>
          <w:rFonts w:cs="Arial"/>
        </w:rPr>
      </w:pPr>
      <w:r>
        <w:rPr>
          <w:rFonts w:cs="Arial"/>
        </w:rPr>
        <w:t xml:space="preserve">5.2.34 </w:t>
      </w:r>
      <w:r w:rsidRPr="00A35770">
        <w:rPr>
          <w:rFonts w:cs="Arial"/>
        </w:rPr>
        <w:t>Obligaciones Presupuestales Impagas</w:t>
      </w:r>
    </w:p>
    <w:p w:rsidR="00353CBD" w:rsidRPr="009D27AB" w:rsidRDefault="00353CBD" w:rsidP="008E4012">
      <w:pPr>
        <w:pStyle w:val="Textoindependiente"/>
      </w:pPr>
      <w:r w:rsidRPr="00A35770">
        <w:t>Se deberá contar con un sistema que asegure el acceso restringido a los documentos de las obligaciones presupuestales impagas y realizar inventarios periódicos de las mismas.</w:t>
      </w:r>
    </w:p>
    <w:p w:rsidR="00353CBD" w:rsidRPr="009D27AB" w:rsidRDefault="00353CBD" w:rsidP="008E4012">
      <w:pPr>
        <w:pStyle w:val="Textoindependiente"/>
      </w:pPr>
    </w:p>
    <w:p w:rsidR="00353CBD" w:rsidRDefault="00353CBD" w:rsidP="008E4012">
      <w:pPr>
        <w:pStyle w:val="Ttulo2"/>
        <w:widowControl w:val="0"/>
        <w:spacing w:after="0"/>
        <w:jc w:val="both"/>
        <w:rPr>
          <w:rFonts w:cs="Arial"/>
        </w:rPr>
      </w:pPr>
    </w:p>
    <w:p w:rsidR="00353CBD" w:rsidRPr="009D27AB" w:rsidRDefault="00353CBD" w:rsidP="008E4012">
      <w:pPr>
        <w:pStyle w:val="Ttulo2"/>
        <w:widowControl w:val="0"/>
        <w:spacing w:after="0"/>
        <w:jc w:val="both"/>
        <w:rPr>
          <w:rFonts w:cs="Arial"/>
        </w:rPr>
      </w:pPr>
      <w:r>
        <w:rPr>
          <w:rFonts w:cs="Arial"/>
        </w:rPr>
        <w:t xml:space="preserve">5.2.35 </w:t>
      </w:r>
      <w:r w:rsidRPr="009D27AB">
        <w:rPr>
          <w:rFonts w:cs="Arial"/>
        </w:rPr>
        <w:t>Conciliación de convenios por deudas financieras</w:t>
      </w:r>
    </w:p>
    <w:p w:rsidR="00353CBD" w:rsidRDefault="00353CBD" w:rsidP="008E4012">
      <w:pPr>
        <w:pStyle w:val="Textoindependiente"/>
      </w:pPr>
      <w:r w:rsidRPr="00A35770">
        <w:t>Se deberán realizar las conciliaciones de saldos correspondientes con todos los Organismos con los cuales mantiene convenios.</w:t>
      </w:r>
      <w:r w:rsidRPr="009D27AB">
        <w:t xml:space="preserve"> </w:t>
      </w:r>
    </w:p>
    <w:p w:rsidR="00353CBD" w:rsidRDefault="00353CBD" w:rsidP="008E4012">
      <w:pPr>
        <w:pStyle w:val="Textoindependiente"/>
      </w:pPr>
    </w:p>
    <w:p w:rsidR="00353CBD" w:rsidRPr="009D27AB" w:rsidRDefault="00353CBD" w:rsidP="008E4012">
      <w:pPr>
        <w:pStyle w:val="Ttulo2"/>
        <w:widowControl w:val="0"/>
        <w:suppressAutoHyphens/>
        <w:spacing w:after="0"/>
        <w:jc w:val="both"/>
        <w:rPr>
          <w:rFonts w:cs="Arial"/>
        </w:rPr>
      </w:pPr>
      <w:r>
        <w:rPr>
          <w:rFonts w:cs="Arial"/>
        </w:rPr>
        <w:t xml:space="preserve">5.3 </w:t>
      </w:r>
      <w:r w:rsidRPr="009D27AB">
        <w:rPr>
          <w:rFonts w:cs="Arial"/>
        </w:rPr>
        <w:t xml:space="preserve">Recomendaciones del </w:t>
      </w:r>
      <w:r>
        <w:rPr>
          <w:rFonts w:cs="Arial"/>
        </w:rPr>
        <w:t>e</w:t>
      </w:r>
      <w:r w:rsidRPr="009D27AB">
        <w:rPr>
          <w:rFonts w:cs="Arial"/>
        </w:rPr>
        <w:t>jercicio</w:t>
      </w:r>
    </w:p>
    <w:p w:rsidR="00353CBD" w:rsidRDefault="00353CBD" w:rsidP="008E4012">
      <w:pPr>
        <w:pStyle w:val="Textoindependiente"/>
      </w:pPr>
      <w:r w:rsidRPr="009D27AB">
        <w:t>Se re</w:t>
      </w:r>
      <w:r>
        <w:t>iteran las recomendaciones del e</w:t>
      </w:r>
      <w:r w:rsidRPr="009D27AB">
        <w:t>jercicio anterior no cumplidas y se agrega la siguiente:</w:t>
      </w:r>
    </w:p>
    <w:p w:rsidR="00353CBD" w:rsidRDefault="00353CBD" w:rsidP="008E4012">
      <w:pPr>
        <w:pStyle w:val="Textoindependiente"/>
      </w:pPr>
    </w:p>
    <w:p w:rsidR="00353CBD" w:rsidRPr="00816AD2" w:rsidRDefault="00353CBD" w:rsidP="008E4012">
      <w:pPr>
        <w:spacing w:line="360" w:lineRule="auto"/>
        <w:jc w:val="both"/>
        <w:rPr>
          <w:rFonts w:eastAsia="Calibri" w:cs="Arial"/>
          <w:b/>
          <w:lang w:val="es-UY" w:eastAsia="en-US"/>
        </w:rPr>
      </w:pPr>
      <w:r>
        <w:rPr>
          <w:rFonts w:eastAsia="Calibri" w:cs="Arial"/>
          <w:b/>
          <w:lang w:val="es-UY" w:eastAsia="en-US"/>
        </w:rPr>
        <w:t xml:space="preserve">5.3.1 </w:t>
      </w:r>
      <w:r w:rsidRPr="00816AD2">
        <w:rPr>
          <w:rFonts w:eastAsia="Calibri" w:cs="Arial"/>
          <w:b/>
          <w:lang w:val="es-UY" w:eastAsia="en-US"/>
        </w:rPr>
        <w:t>Artículo 211 literal b) de la Constitución de la República</w:t>
      </w:r>
    </w:p>
    <w:p w:rsidR="00353CBD" w:rsidRDefault="00353CBD" w:rsidP="008E4012">
      <w:pPr>
        <w:spacing w:line="360" w:lineRule="auto"/>
        <w:jc w:val="both"/>
        <w:rPr>
          <w:rFonts w:eastAsia="Calibri" w:cs="Arial"/>
          <w:lang w:val="es-UY" w:eastAsia="en-US"/>
        </w:rPr>
      </w:pPr>
      <w:r>
        <w:rPr>
          <w:rFonts w:eastAsia="Calibri" w:cs="Arial"/>
          <w:lang w:val="es-UY" w:eastAsia="en-US"/>
        </w:rPr>
        <w:t>Se deberán tomar las medidas pertinentes a efectos de que se verifique que la</w:t>
      </w:r>
      <w:r w:rsidRPr="00816AD2">
        <w:rPr>
          <w:rFonts w:eastAsia="Calibri" w:cs="Arial"/>
          <w:lang w:val="es-UY" w:eastAsia="en-US"/>
        </w:rPr>
        <w:t xml:space="preserve"> intervención del Tribunal de Cuentas </w:t>
      </w:r>
      <w:r>
        <w:rPr>
          <w:rFonts w:eastAsia="Calibri" w:cs="Arial"/>
          <w:lang w:val="es-UY" w:eastAsia="en-US"/>
        </w:rPr>
        <w:t xml:space="preserve">sea </w:t>
      </w:r>
      <w:r w:rsidRPr="00816AD2">
        <w:rPr>
          <w:rFonts w:eastAsia="Calibri" w:cs="Arial"/>
          <w:lang w:val="es-UY" w:eastAsia="en-US"/>
        </w:rPr>
        <w:t>previa al gasto en todas las licitaciones abreviadas.</w:t>
      </w:r>
    </w:p>
    <w:p w:rsidR="00353CBD" w:rsidRPr="00816AD2" w:rsidRDefault="00353CBD" w:rsidP="008E4012">
      <w:pPr>
        <w:spacing w:line="360" w:lineRule="auto"/>
        <w:jc w:val="both"/>
        <w:rPr>
          <w:rFonts w:eastAsia="Calibri" w:cs="Arial"/>
          <w:lang w:val="es-UY" w:eastAsia="en-US"/>
        </w:rPr>
      </w:pPr>
    </w:p>
    <w:p w:rsidR="00353CBD" w:rsidRPr="00816AD2" w:rsidRDefault="00353CBD" w:rsidP="008E4012">
      <w:pPr>
        <w:spacing w:line="360" w:lineRule="auto"/>
        <w:jc w:val="both"/>
        <w:rPr>
          <w:rFonts w:eastAsia="Calibri" w:cs="Arial"/>
          <w:b/>
          <w:lang w:val="es-UY" w:eastAsia="en-US"/>
        </w:rPr>
      </w:pPr>
      <w:r>
        <w:rPr>
          <w:rFonts w:eastAsia="Calibri" w:cs="Arial"/>
          <w:b/>
          <w:lang w:val="es-UY" w:eastAsia="en-US"/>
        </w:rPr>
        <w:t xml:space="preserve">5.3.2 </w:t>
      </w:r>
      <w:r w:rsidRPr="00816AD2">
        <w:rPr>
          <w:rFonts w:eastAsia="Calibri" w:cs="Arial"/>
          <w:b/>
          <w:lang w:val="es-UY" w:eastAsia="en-US"/>
        </w:rPr>
        <w:t>Garantías recibidas</w:t>
      </w:r>
      <w:r>
        <w:rPr>
          <w:rFonts w:eastAsia="Calibri" w:cs="Arial"/>
          <w:b/>
          <w:lang w:val="es-UY" w:eastAsia="en-US"/>
        </w:rPr>
        <w:t xml:space="preserve"> y </w:t>
      </w:r>
    </w:p>
    <w:p w:rsidR="00353CBD" w:rsidRDefault="00353CBD" w:rsidP="008E4012">
      <w:pPr>
        <w:spacing w:line="360" w:lineRule="auto"/>
        <w:jc w:val="both"/>
        <w:rPr>
          <w:rFonts w:eastAsia="Calibri" w:cs="Arial"/>
          <w:lang w:val="es-UY" w:eastAsia="en-US"/>
        </w:rPr>
      </w:pPr>
      <w:r w:rsidRPr="00816AD2">
        <w:rPr>
          <w:rFonts w:eastAsia="Calibri" w:cs="Arial"/>
          <w:lang w:val="es-UY" w:eastAsia="en-US"/>
        </w:rPr>
        <w:t xml:space="preserve">La Intendencia deberá instrumentar un mecanismo para que las </w:t>
      </w:r>
      <w:r>
        <w:rPr>
          <w:rFonts w:eastAsia="Calibri" w:cs="Arial"/>
          <w:lang w:val="es-UY" w:eastAsia="en-US"/>
        </w:rPr>
        <w:t>g</w:t>
      </w:r>
      <w:r w:rsidRPr="00816AD2">
        <w:rPr>
          <w:rFonts w:eastAsia="Calibri" w:cs="Arial"/>
          <w:lang w:val="es-UY" w:eastAsia="en-US"/>
        </w:rPr>
        <w:t>arantías recibidas no sean consideradas recursos de la Intendencia. Asimismo, tendrá que presentar todos los recursos en conformidad con la Ordenanza 84 del Tribunal de Cuentas.</w:t>
      </w:r>
    </w:p>
    <w:p w:rsidR="00353CBD" w:rsidRPr="00816AD2" w:rsidRDefault="00353CBD" w:rsidP="008E4012">
      <w:pPr>
        <w:spacing w:line="360" w:lineRule="auto"/>
        <w:jc w:val="both"/>
        <w:rPr>
          <w:rFonts w:eastAsia="Calibri" w:cs="Arial"/>
          <w:lang w:val="es-UY" w:eastAsia="en-US"/>
        </w:rPr>
      </w:pPr>
    </w:p>
    <w:p w:rsidR="00353CBD" w:rsidRPr="00816AD2" w:rsidRDefault="00353CBD" w:rsidP="008E4012">
      <w:pPr>
        <w:spacing w:line="360" w:lineRule="auto"/>
        <w:jc w:val="both"/>
        <w:rPr>
          <w:rFonts w:eastAsia="Calibri" w:cs="Arial"/>
          <w:b/>
          <w:lang w:val="es-UY" w:eastAsia="en-US"/>
        </w:rPr>
      </w:pPr>
      <w:r>
        <w:rPr>
          <w:rFonts w:eastAsia="Calibri" w:cs="Arial"/>
          <w:b/>
          <w:lang w:val="es-UY" w:eastAsia="en-US"/>
        </w:rPr>
        <w:t xml:space="preserve">5.3.3 </w:t>
      </w:r>
      <w:r w:rsidRPr="006A0F63">
        <w:rPr>
          <w:rFonts w:eastAsia="Calibri" w:cs="Arial"/>
          <w:b/>
          <w:lang w:val="es-UY" w:eastAsia="en-US"/>
        </w:rPr>
        <w:t>Artículo 48 del TOCAF</w:t>
      </w:r>
    </w:p>
    <w:p w:rsidR="00353CBD" w:rsidRDefault="00353CBD" w:rsidP="008E4012">
      <w:pPr>
        <w:spacing w:line="360" w:lineRule="auto"/>
        <w:jc w:val="both"/>
        <w:rPr>
          <w:rFonts w:eastAsia="Calibri" w:cs="Arial"/>
          <w:lang w:val="es-UY" w:eastAsia="en-US"/>
        </w:rPr>
      </w:pPr>
      <w:r w:rsidRPr="00816AD2">
        <w:rPr>
          <w:rFonts w:eastAsia="Calibri" w:cs="Arial"/>
          <w:lang w:val="es-UY" w:eastAsia="en-US"/>
        </w:rPr>
        <w:t>Los pliegos de condiciones deberán establecer los factores de ponderación para evaluar las ofertas presentadas, así como no podrán exigir a</w:t>
      </w:r>
      <w:r>
        <w:rPr>
          <w:rFonts w:eastAsia="Calibri" w:cs="Arial"/>
          <w:lang w:val="es-UY" w:eastAsia="en-US"/>
        </w:rPr>
        <w:t xml:space="preserve"> los oferentes requisitos que só</w:t>
      </w:r>
      <w:r w:rsidRPr="00816AD2">
        <w:rPr>
          <w:rFonts w:eastAsia="Calibri" w:cs="Arial"/>
          <w:lang w:val="es-UY" w:eastAsia="en-US"/>
        </w:rPr>
        <w:t>lo deben ser solicitados al adjudicatario.</w:t>
      </w:r>
    </w:p>
    <w:p w:rsidR="00353CBD" w:rsidRPr="00816AD2" w:rsidRDefault="00353CBD" w:rsidP="008E4012">
      <w:pPr>
        <w:spacing w:line="360" w:lineRule="auto"/>
        <w:jc w:val="both"/>
        <w:rPr>
          <w:rFonts w:eastAsia="Calibri" w:cs="Arial"/>
          <w:lang w:val="es-UY" w:eastAsia="en-US"/>
        </w:rPr>
      </w:pPr>
    </w:p>
    <w:p w:rsidR="00353CBD" w:rsidRPr="00816AD2" w:rsidRDefault="00353CBD" w:rsidP="008E4012">
      <w:pPr>
        <w:spacing w:line="360" w:lineRule="auto"/>
        <w:jc w:val="both"/>
        <w:rPr>
          <w:rFonts w:eastAsia="Calibri" w:cs="Arial"/>
          <w:b/>
          <w:lang w:val="es-UY" w:eastAsia="en-US"/>
        </w:rPr>
      </w:pPr>
      <w:r>
        <w:rPr>
          <w:rFonts w:eastAsia="Calibri" w:cs="Arial"/>
          <w:b/>
          <w:lang w:val="es-UY" w:eastAsia="en-US"/>
        </w:rPr>
        <w:t xml:space="preserve">5.3.4 </w:t>
      </w:r>
      <w:r w:rsidRPr="006A0F63">
        <w:rPr>
          <w:rFonts w:cs="Arial"/>
          <w:b/>
        </w:rPr>
        <w:t>Artículo 111 Numeral  6) del TOCAF</w:t>
      </w:r>
    </w:p>
    <w:p w:rsidR="00353CBD" w:rsidRDefault="00353CBD" w:rsidP="008E4012">
      <w:pPr>
        <w:spacing w:line="360" w:lineRule="auto"/>
        <w:jc w:val="both"/>
        <w:rPr>
          <w:rFonts w:cs="Arial"/>
        </w:rPr>
      </w:pPr>
      <w:r>
        <w:rPr>
          <w:rFonts w:cs="Arial"/>
        </w:rPr>
        <w:t>L</w:t>
      </w:r>
      <w:r>
        <w:rPr>
          <w:rFonts w:eastAsia="Calibri" w:cs="Arial"/>
          <w:lang w:val="es-UY" w:eastAsia="en-US"/>
        </w:rPr>
        <w:t>a Intendencia deberá implementar</w:t>
      </w:r>
      <w:r w:rsidRPr="00816AD2">
        <w:rPr>
          <w:rFonts w:eastAsia="Calibri" w:cs="Arial"/>
          <w:lang w:val="es-UY" w:eastAsia="en-US"/>
        </w:rPr>
        <w:t xml:space="preserve"> </w:t>
      </w:r>
      <w:r>
        <w:rPr>
          <w:rFonts w:eastAsia="Calibri" w:cs="Arial"/>
          <w:lang w:val="es-UY" w:eastAsia="en-US"/>
        </w:rPr>
        <w:t xml:space="preserve">una unidad de Auditoría Interna, la que debe coordinar con el </w:t>
      </w:r>
      <w:r w:rsidRPr="003A0EA3">
        <w:rPr>
          <w:rFonts w:cs="Arial"/>
        </w:rPr>
        <w:t>Tribunal de Cuentas la planificación de las tareas de auditoría a realizar.</w:t>
      </w:r>
    </w:p>
    <w:p w:rsidR="00353CBD" w:rsidRPr="00816AD2" w:rsidRDefault="00353CBD" w:rsidP="008E4012">
      <w:pPr>
        <w:spacing w:line="360" w:lineRule="auto"/>
        <w:jc w:val="both"/>
        <w:rPr>
          <w:rFonts w:eastAsia="Calibri" w:cs="Arial"/>
          <w:lang w:val="es-UY" w:eastAsia="en-US"/>
        </w:rPr>
      </w:pPr>
    </w:p>
    <w:p w:rsidR="00353CBD" w:rsidRDefault="00353CBD" w:rsidP="008E4012">
      <w:pPr>
        <w:spacing w:line="360" w:lineRule="auto"/>
        <w:jc w:val="both"/>
        <w:rPr>
          <w:rFonts w:eastAsia="Calibri" w:cs="Arial"/>
          <w:b/>
          <w:lang w:val="es-UY" w:eastAsia="en-US"/>
        </w:rPr>
      </w:pPr>
    </w:p>
    <w:p w:rsidR="00353CBD" w:rsidRDefault="00353CBD" w:rsidP="008E4012">
      <w:pPr>
        <w:spacing w:line="360" w:lineRule="auto"/>
        <w:jc w:val="both"/>
        <w:rPr>
          <w:rFonts w:eastAsia="Calibri" w:cs="Arial"/>
          <w:b/>
          <w:lang w:val="es-UY" w:eastAsia="en-US"/>
        </w:rPr>
      </w:pPr>
    </w:p>
    <w:p w:rsidR="00353CBD" w:rsidRPr="00816AD2" w:rsidRDefault="00353CBD" w:rsidP="008E4012">
      <w:pPr>
        <w:spacing w:line="360" w:lineRule="auto"/>
        <w:jc w:val="both"/>
        <w:rPr>
          <w:rFonts w:eastAsia="Calibri" w:cs="Arial"/>
          <w:b/>
          <w:lang w:val="es-UY" w:eastAsia="en-US"/>
        </w:rPr>
      </w:pPr>
      <w:r>
        <w:rPr>
          <w:rFonts w:eastAsia="Calibri" w:cs="Arial"/>
          <w:b/>
          <w:lang w:val="es-UY" w:eastAsia="en-US"/>
        </w:rPr>
        <w:t xml:space="preserve">5.3.5 </w:t>
      </w:r>
      <w:r w:rsidRPr="00816AD2">
        <w:rPr>
          <w:rFonts w:eastAsia="Calibri" w:cs="Arial"/>
          <w:b/>
          <w:lang w:val="es-UY" w:eastAsia="en-US"/>
        </w:rPr>
        <w:t>Reglamento de los Municipios</w:t>
      </w:r>
    </w:p>
    <w:p w:rsidR="00353CBD" w:rsidRDefault="00353CBD" w:rsidP="008E4012">
      <w:pPr>
        <w:spacing w:line="360" w:lineRule="auto"/>
        <w:jc w:val="both"/>
        <w:rPr>
          <w:rFonts w:eastAsia="Calibri" w:cs="Arial"/>
          <w:lang w:val="es-UY" w:eastAsia="en-US"/>
        </w:rPr>
      </w:pPr>
      <w:r w:rsidRPr="00816AD2">
        <w:rPr>
          <w:rFonts w:eastAsia="Calibri" w:cs="Arial"/>
          <w:lang w:val="es-UY" w:eastAsia="en-US"/>
        </w:rPr>
        <w:t>Los Municipios deberán presentar a la Junta Departamental el proyecto que reglamenta su funcionamiento.</w:t>
      </w:r>
    </w:p>
    <w:p w:rsidR="00353CBD" w:rsidRPr="00816AD2" w:rsidRDefault="00353CBD" w:rsidP="008E4012">
      <w:pPr>
        <w:spacing w:line="360" w:lineRule="auto"/>
        <w:jc w:val="both"/>
        <w:rPr>
          <w:rFonts w:eastAsia="Calibri" w:cs="Arial"/>
          <w:lang w:val="es-UY" w:eastAsia="en-US"/>
        </w:rPr>
      </w:pPr>
    </w:p>
    <w:p w:rsidR="00353CBD" w:rsidRPr="00816AD2" w:rsidRDefault="00353CBD" w:rsidP="008E4012">
      <w:pPr>
        <w:spacing w:line="360" w:lineRule="auto"/>
        <w:jc w:val="both"/>
        <w:rPr>
          <w:rFonts w:eastAsia="Calibri" w:cs="Arial"/>
          <w:b/>
          <w:lang w:val="es-UY" w:eastAsia="en-US"/>
        </w:rPr>
      </w:pPr>
      <w:r>
        <w:rPr>
          <w:rFonts w:eastAsia="Calibri" w:cs="Arial"/>
          <w:b/>
          <w:lang w:val="es-UY" w:eastAsia="en-US"/>
        </w:rPr>
        <w:t xml:space="preserve">5.3.6 Fondos </w:t>
      </w:r>
      <w:proofErr w:type="spellStart"/>
      <w:r>
        <w:rPr>
          <w:rFonts w:eastAsia="Calibri" w:cs="Arial"/>
          <w:b/>
          <w:lang w:val="es-UY" w:eastAsia="en-US"/>
        </w:rPr>
        <w:t>Extrapresupuestales</w:t>
      </w:r>
      <w:proofErr w:type="spellEnd"/>
    </w:p>
    <w:p w:rsidR="00353CBD" w:rsidRPr="00816AD2" w:rsidRDefault="00353CBD" w:rsidP="008E4012">
      <w:pPr>
        <w:spacing w:line="360" w:lineRule="auto"/>
        <w:jc w:val="both"/>
        <w:rPr>
          <w:rFonts w:eastAsia="Calibri" w:cs="Arial"/>
          <w:lang w:val="es-UY" w:eastAsia="en-US"/>
        </w:rPr>
      </w:pPr>
      <w:r>
        <w:rPr>
          <w:rFonts w:cs="Arial"/>
        </w:rPr>
        <w:t xml:space="preserve">De </w:t>
      </w:r>
      <w:r w:rsidRPr="009D27AB">
        <w:rPr>
          <w:rFonts w:cs="Arial"/>
        </w:rPr>
        <w:t xml:space="preserve">acuerdo al Instructivo aprobado en Resolución del 28/01/2004, </w:t>
      </w:r>
      <w:r>
        <w:rPr>
          <w:rFonts w:cs="Arial"/>
        </w:rPr>
        <w:t>l</w:t>
      </w:r>
      <w:r w:rsidRPr="00816AD2">
        <w:rPr>
          <w:rFonts w:eastAsia="Calibri" w:cs="Arial"/>
          <w:lang w:val="es-UY" w:eastAsia="en-US"/>
        </w:rPr>
        <w:t xml:space="preserve">a Intendencia deberá imputar como gastos </w:t>
      </w:r>
      <w:proofErr w:type="spellStart"/>
      <w:r w:rsidRPr="00816AD2">
        <w:rPr>
          <w:rFonts w:eastAsia="Calibri" w:cs="Arial"/>
          <w:lang w:val="es-UY" w:eastAsia="en-US"/>
        </w:rPr>
        <w:t>extrapresupuestales</w:t>
      </w:r>
      <w:proofErr w:type="spellEnd"/>
      <w:r w:rsidRPr="00816AD2">
        <w:rPr>
          <w:rFonts w:eastAsia="Calibri" w:cs="Arial"/>
          <w:lang w:val="es-UY" w:eastAsia="en-US"/>
        </w:rPr>
        <w:t xml:space="preserve"> solamente aquellos que tienen una contrapartida de ingresos no prevista en el Presupue</w:t>
      </w:r>
      <w:r>
        <w:rPr>
          <w:rFonts w:eastAsia="Calibri" w:cs="Arial"/>
          <w:lang w:val="es-UY" w:eastAsia="en-US"/>
        </w:rPr>
        <w:t xml:space="preserve">sto. Los demás gastos se deben </w:t>
      </w:r>
      <w:r w:rsidRPr="00816AD2">
        <w:rPr>
          <w:rFonts w:eastAsia="Calibri" w:cs="Arial"/>
          <w:lang w:val="es-UY" w:eastAsia="en-US"/>
        </w:rPr>
        <w:t>imputar a objetos de gastos presupuestales. Asimismo, deberá ajustar el saldo a cobrar con el Convenio con el MTOP.</w:t>
      </w:r>
    </w:p>
    <w:p w:rsidR="00353CBD" w:rsidRPr="00816AD2" w:rsidRDefault="00353CBD" w:rsidP="008E4012">
      <w:pPr>
        <w:spacing w:line="360" w:lineRule="auto"/>
        <w:jc w:val="both"/>
        <w:rPr>
          <w:rFonts w:eastAsia="Calibri" w:cs="Arial"/>
          <w:lang w:val="es-ES_tradnl" w:eastAsia="en-US"/>
        </w:rPr>
      </w:pPr>
    </w:p>
    <w:p w:rsidR="00353CBD" w:rsidRPr="00816AD2" w:rsidRDefault="00353CBD" w:rsidP="008E4012">
      <w:pPr>
        <w:spacing w:line="360" w:lineRule="auto"/>
        <w:jc w:val="both"/>
        <w:rPr>
          <w:rFonts w:eastAsia="Calibri" w:cs="Arial"/>
          <w:b/>
          <w:lang w:val="es-UY" w:eastAsia="en-US"/>
        </w:rPr>
      </w:pPr>
      <w:r>
        <w:rPr>
          <w:rFonts w:eastAsia="Calibri" w:cs="Arial"/>
          <w:b/>
          <w:lang w:val="es-UY" w:eastAsia="en-US"/>
        </w:rPr>
        <w:t xml:space="preserve">5.3.7 </w:t>
      </w:r>
      <w:r w:rsidRPr="00816AD2">
        <w:rPr>
          <w:rFonts w:eastAsia="Calibri" w:cs="Arial"/>
          <w:b/>
          <w:lang w:val="es-UY" w:eastAsia="en-US"/>
        </w:rPr>
        <w:t>Conciliación con Junta Departamental</w:t>
      </w:r>
    </w:p>
    <w:p w:rsidR="00353CBD" w:rsidRPr="00816AD2" w:rsidRDefault="00353CBD" w:rsidP="008E4012">
      <w:pPr>
        <w:spacing w:line="360" w:lineRule="auto"/>
        <w:jc w:val="both"/>
        <w:rPr>
          <w:rFonts w:eastAsia="Calibri" w:cs="Arial"/>
          <w:lang w:val="es-UY" w:eastAsia="en-US"/>
        </w:rPr>
      </w:pPr>
      <w:r w:rsidRPr="00816AD2">
        <w:rPr>
          <w:rFonts w:eastAsia="Calibri" w:cs="Arial"/>
          <w:lang w:val="es-UY" w:eastAsia="en-US"/>
        </w:rPr>
        <w:t>La Intendencia deberá realizar las conciliaciones correspondie</w:t>
      </w:r>
      <w:r>
        <w:rPr>
          <w:rFonts w:eastAsia="Calibri" w:cs="Arial"/>
          <w:lang w:val="es-UY" w:eastAsia="en-US"/>
        </w:rPr>
        <w:t>ntes con la Junta Departamental a efectos de reflejar las cifras adecuadamente.</w:t>
      </w:r>
    </w:p>
    <w:p w:rsidR="00353CBD" w:rsidRPr="00816AD2" w:rsidRDefault="00353CBD" w:rsidP="008E4012">
      <w:pPr>
        <w:spacing w:line="360" w:lineRule="auto"/>
        <w:jc w:val="both"/>
        <w:rPr>
          <w:rFonts w:eastAsia="Calibri" w:cs="Arial"/>
          <w:lang w:val="es-UY" w:eastAsia="en-US"/>
        </w:rPr>
      </w:pPr>
    </w:p>
    <w:p w:rsidR="00353CBD" w:rsidRPr="00816AD2" w:rsidRDefault="00353CBD" w:rsidP="008E4012">
      <w:pPr>
        <w:spacing w:line="360" w:lineRule="auto"/>
        <w:jc w:val="both"/>
        <w:rPr>
          <w:rFonts w:eastAsia="Calibri" w:cs="Arial"/>
          <w:b/>
          <w:lang w:val="es-UY" w:eastAsia="en-US"/>
        </w:rPr>
      </w:pPr>
      <w:r>
        <w:rPr>
          <w:rFonts w:eastAsia="Calibri" w:cs="Arial"/>
          <w:b/>
          <w:lang w:val="es-UY" w:eastAsia="en-US"/>
        </w:rPr>
        <w:t xml:space="preserve">5.3.8 </w:t>
      </w:r>
      <w:r w:rsidRPr="00816AD2">
        <w:rPr>
          <w:rFonts w:eastAsia="Calibri" w:cs="Arial"/>
          <w:b/>
          <w:lang w:val="es-UY" w:eastAsia="en-US"/>
        </w:rPr>
        <w:t>Aforos de Catastro</w:t>
      </w:r>
    </w:p>
    <w:p w:rsidR="00353CBD" w:rsidRDefault="00353CBD" w:rsidP="008E4012">
      <w:pPr>
        <w:spacing w:line="360" w:lineRule="auto"/>
        <w:jc w:val="both"/>
        <w:rPr>
          <w:rFonts w:eastAsia="Calibri" w:cs="Arial"/>
          <w:lang w:val="es-UY" w:eastAsia="en-US"/>
        </w:rPr>
      </w:pPr>
      <w:r w:rsidRPr="00816AD2">
        <w:rPr>
          <w:rFonts w:eastAsia="Calibri" w:cs="Arial"/>
          <w:lang w:val="es-UY" w:eastAsia="en-US"/>
        </w:rPr>
        <w:t>Se deberá instrumentar un mecanismo para que los valores de aforos sobre los cuales se determina la contribución inmobiliaria urbana y rural</w:t>
      </w:r>
      <w:r>
        <w:rPr>
          <w:rFonts w:eastAsia="Calibri" w:cs="Arial"/>
          <w:lang w:val="es-UY" w:eastAsia="en-US"/>
        </w:rPr>
        <w:t>,</w:t>
      </w:r>
      <w:r w:rsidRPr="00816AD2">
        <w:rPr>
          <w:rFonts w:eastAsia="Calibri" w:cs="Arial"/>
          <w:lang w:val="es-UY" w:eastAsia="en-US"/>
        </w:rPr>
        <w:t xml:space="preserve"> </w:t>
      </w:r>
      <w:r>
        <w:rPr>
          <w:rFonts w:eastAsia="Calibri" w:cs="Arial"/>
          <w:lang w:val="es-UY" w:eastAsia="en-US"/>
        </w:rPr>
        <w:t xml:space="preserve">se adecuen a </w:t>
      </w:r>
      <w:r w:rsidRPr="00816AD2">
        <w:rPr>
          <w:rFonts w:eastAsia="Calibri" w:cs="Arial"/>
          <w:lang w:val="es-UY" w:eastAsia="en-US"/>
        </w:rPr>
        <w:t xml:space="preserve"> los de</w:t>
      </w:r>
      <w:r>
        <w:rPr>
          <w:rFonts w:eastAsia="Calibri" w:cs="Arial"/>
          <w:lang w:val="es-UY" w:eastAsia="en-US"/>
        </w:rPr>
        <w:t xml:space="preserve"> la Dirección Nacional de</w:t>
      </w:r>
      <w:r w:rsidRPr="00816AD2">
        <w:rPr>
          <w:rFonts w:eastAsia="Calibri" w:cs="Arial"/>
          <w:lang w:val="es-UY" w:eastAsia="en-US"/>
        </w:rPr>
        <w:t xml:space="preserve"> Catastro.</w:t>
      </w:r>
    </w:p>
    <w:p w:rsidR="00353CBD" w:rsidRPr="00816AD2" w:rsidRDefault="00353CBD" w:rsidP="008E4012">
      <w:pPr>
        <w:spacing w:line="360" w:lineRule="auto"/>
        <w:jc w:val="both"/>
        <w:rPr>
          <w:rFonts w:eastAsia="Calibri" w:cs="Arial"/>
          <w:lang w:val="es-UY" w:eastAsia="en-US"/>
        </w:rPr>
      </w:pPr>
    </w:p>
    <w:p w:rsidR="00353CBD" w:rsidRPr="00816AD2" w:rsidRDefault="00353CBD" w:rsidP="008E4012">
      <w:pPr>
        <w:spacing w:line="360" w:lineRule="auto"/>
        <w:jc w:val="both"/>
        <w:rPr>
          <w:rFonts w:eastAsia="Calibri" w:cs="Arial"/>
          <w:b/>
          <w:lang w:val="es-UY" w:eastAsia="en-US"/>
        </w:rPr>
      </w:pPr>
      <w:r>
        <w:rPr>
          <w:rFonts w:eastAsia="Calibri" w:cs="Arial"/>
          <w:b/>
          <w:lang w:val="es-UY" w:eastAsia="en-US"/>
        </w:rPr>
        <w:t xml:space="preserve">5.3.9 </w:t>
      </w:r>
      <w:r w:rsidRPr="00816AD2">
        <w:rPr>
          <w:rFonts w:eastAsia="Calibri" w:cs="Arial"/>
          <w:b/>
          <w:lang w:val="es-UY" w:eastAsia="en-US"/>
        </w:rPr>
        <w:t>Ley de Semovientes</w:t>
      </w:r>
      <w:r>
        <w:rPr>
          <w:rFonts w:eastAsia="Calibri" w:cs="Arial"/>
          <w:b/>
          <w:lang w:val="es-UY" w:eastAsia="en-US"/>
        </w:rPr>
        <w:t xml:space="preserve"> Ley Nº 12700</w:t>
      </w:r>
    </w:p>
    <w:p w:rsidR="00353CBD" w:rsidRDefault="00353CBD" w:rsidP="008E4012">
      <w:pPr>
        <w:spacing w:line="360" w:lineRule="auto"/>
        <w:jc w:val="both"/>
        <w:rPr>
          <w:rFonts w:eastAsia="Calibri" w:cs="Arial"/>
          <w:lang w:val="es-UY" w:eastAsia="en-US"/>
        </w:rPr>
      </w:pPr>
      <w:r w:rsidRPr="00816AD2">
        <w:rPr>
          <w:rFonts w:eastAsia="Calibri" w:cs="Arial"/>
          <w:lang w:val="es-UY" w:eastAsia="en-US"/>
        </w:rPr>
        <w:t xml:space="preserve">Se deberá mantener </w:t>
      </w:r>
      <w:r>
        <w:rPr>
          <w:rFonts w:eastAsia="Calibri" w:cs="Arial"/>
          <w:lang w:val="es-UY" w:eastAsia="en-US"/>
        </w:rPr>
        <w:t>el respaldo documentario que da</w:t>
      </w:r>
      <w:r w:rsidRPr="00816AD2">
        <w:rPr>
          <w:rFonts w:eastAsia="Calibri" w:cs="Arial"/>
          <w:lang w:val="es-UY" w:eastAsia="en-US"/>
        </w:rPr>
        <w:t xml:space="preserve"> origen a las liquidaciones del importe a pagar</w:t>
      </w:r>
      <w:r>
        <w:rPr>
          <w:rFonts w:eastAsia="Calibri" w:cs="Arial"/>
          <w:lang w:val="es-UY" w:eastAsia="en-US"/>
        </w:rPr>
        <w:t>.</w:t>
      </w:r>
    </w:p>
    <w:p w:rsidR="00353CBD" w:rsidRPr="00816AD2" w:rsidRDefault="00353CBD" w:rsidP="008E4012">
      <w:pPr>
        <w:spacing w:line="360" w:lineRule="auto"/>
        <w:jc w:val="both"/>
        <w:rPr>
          <w:rFonts w:eastAsia="Calibri" w:cs="Arial"/>
          <w:lang w:val="es-UY" w:eastAsia="en-US"/>
        </w:rPr>
      </w:pPr>
    </w:p>
    <w:p w:rsidR="00353CBD" w:rsidRPr="00816AD2" w:rsidRDefault="00353CBD" w:rsidP="008E4012">
      <w:pPr>
        <w:spacing w:line="360" w:lineRule="auto"/>
        <w:jc w:val="both"/>
        <w:rPr>
          <w:rFonts w:eastAsia="Calibri" w:cs="Arial"/>
          <w:b/>
          <w:lang w:val="es-UY" w:eastAsia="en-US"/>
        </w:rPr>
      </w:pPr>
      <w:r>
        <w:rPr>
          <w:rFonts w:eastAsia="Calibri" w:cs="Arial"/>
          <w:b/>
          <w:lang w:val="es-UY" w:eastAsia="en-US"/>
        </w:rPr>
        <w:t xml:space="preserve">5.3.10 </w:t>
      </w:r>
      <w:r w:rsidRPr="00816AD2">
        <w:rPr>
          <w:rFonts w:eastAsia="Calibri" w:cs="Arial"/>
          <w:b/>
          <w:lang w:val="es-UY" w:eastAsia="en-US"/>
        </w:rPr>
        <w:t>Alta de funcionarios</w:t>
      </w:r>
    </w:p>
    <w:p w:rsidR="00353CBD" w:rsidRDefault="00353CBD" w:rsidP="008E4012">
      <w:pPr>
        <w:spacing w:line="360" w:lineRule="auto"/>
        <w:jc w:val="both"/>
        <w:rPr>
          <w:rFonts w:eastAsia="Calibri" w:cs="Arial"/>
          <w:lang w:val="es-UY" w:eastAsia="en-US"/>
        </w:rPr>
      </w:pPr>
      <w:r w:rsidRPr="00816AD2">
        <w:rPr>
          <w:rFonts w:eastAsia="Calibri" w:cs="Arial"/>
          <w:lang w:val="es-UY" w:eastAsia="en-US"/>
        </w:rPr>
        <w:t xml:space="preserve">Se deberá instrumentar un mecanismo que asegure que las altas de funcionarios </w:t>
      </w:r>
      <w:r>
        <w:rPr>
          <w:rFonts w:eastAsia="Calibri" w:cs="Arial"/>
          <w:lang w:val="es-UY" w:eastAsia="en-US"/>
        </w:rPr>
        <w:t xml:space="preserve">se </w:t>
      </w:r>
      <w:r w:rsidRPr="00816AD2">
        <w:rPr>
          <w:rFonts w:eastAsia="Calibri" w:cs="Arial"/>
          <w:lang w:val="es-UY" w:eastAsia="en-US"/>
        </w:rPr>
        <w:t>comuniquen a liquidaciones y al centro de c</w:t>
      </w:r>
      <w:r>
        <w:rPr>
          <w:rFonts w:eastAsia="Calibri" w:cs="Arial"/>
          <w:lang w:val="es-UY" w:eastAsia="en-US"/>
        </w:rPr>
        <w:t>ó</w:t>
      </w:r>
      <w:r w:rsidRPr="00816AD2">
        <w:rPr>
          <w:rFonts w:eastAsia="Calibri" w:cs="Arial"/>
          <w:lang w:val="es-UY" w:eastAsia="en-US"/>
        </w:rPr>
        <w:t>mputos en el momento oportuno.</w:t>
      </w:r>
    </w:p>
    <w:p w:rsidR="00353CBD" w:rsidRPr="00816AD2" w:rsidRDefault="00353CBD" w:rsidP="008E4012">
      <w:pPr>
        <w:spacing w:line="360" w:lineRule="auto"/>
        <w:jc w:val="both"/>
        <w:rPr>
          <w:rFonts w:eastAsia="Calibri" w:cs="Arial"/>
          <w:lang w:val="es-UY" w:eastAsia="en-US"/>
        </w:rPr>
      </w:pPr>
    </w:p>
    <w:p w:rsidR="00353CBD" w:rsidRDefault="00353CBD" w:rsidP="008E4012">
      <w:pPr>
        <w:spacing w:line="360" w:lineRule="auto"/>
        <w:jc w:val="both"/>
        <w:rPr>
          <w:rFonts w:eastAsia="Calibri" w:cs="Arial"/>
          <w:b/>
          <w:lang w:val="es-UY" w:eastAsia="en-US"/>
        </w:rPr>
      </w:pPr>
    </w:p>
    <w:p w:rsidR="00353CBD" w:rsidRPr="00816AD2" w:rsidRDefault="00353CBD" w:rsidP="008E4012">
      <w:pPr>
        <w:spacing w:line="360" w:lineRule="auto"/>
        <w:jc w:val="both"/>
        <w:rPr>
          <w:rFonts w:eastAsia="Calibri" w:cs="Arial"/>
          <w:b/>
          <w:lang w:val="es-UY" w:eastAsia="en-US"/>
        </w:rPr>
      </w:pPr>
      <w:r>
        <w:rPr>
          <w:rFonts w:eastAsia="Calibri" w:cs="Arial"/>
          <w:b/>
          <w:lang w:val="es-UY" w:eastAsia="en-US"/>
        </w:rPr>
        <w:t xml:space="preserve">5.3.11 </w:t>
      </w:r>
      <w:r w:rsidRPr="00816AD2">
        <w:rPr>
          <w:rFonts w:eastAsia="Calibri" w:cs="Arial"/>
          <w:b/>
          <w:lang w:val="es-UY" w:eastAsia="en-US"/>
        </w:rPr>
        <w:t>Bienes en stock</w:t>
      </w:r>
    </w:p>
    <w:p w:rsidR="00353CBD" w:rsidRPr="00816AD2" w:rsidRDefault="00353CBD" w:rsidP="008E4012">
      <w:pPr>
        <w:spacing w:line="360" w:lineRule="auto"/>
        <w:jc w:val="both"/>
        <w:rPr>
          <w:rFonts w:eastAsia="Calibri" w:cs="Arial"/>
          <w:lang w:val="es-UY" w:eastAsia="en-US"/>
        </w:rPr>
      </w:pPr>
      <w:r w:rsidRPr="00816AD2">
        <w:rPr>
          <w:rFonts w:eastAsia="Calibri" w:cs="Arial"/>
          <w:lang w:val="es-UY" w:eastAsia="en-US"/>
        </w:rPr>
        <w:t>Se debe determinar por escrito un acceso restringido a los bienes en stock.</w:t>
      </w:r>
    </w:p>
    <w:p w:rsidR="00353CBD" w:rsidRPr="001D5007" w:rsidRDefault="00353CBD" w:rsidP="008E4012">
      <w:pPr>
        <w:pStyle w:val="Textoindependiente"/>
        <w:rPr>
          <w:lang w:val="es-UY"/>
        </w:rPr>
      </w:pPr>
    </w:p>
    <w:p w:rsidR="00353CBD" w:rsidRPr="009D27AB" w:rsidRDefault="00353CBD" w:rsidP="008E4012">
      <w:pPr>
        <w:pStyle w:val="Textoindependiente"/>
      </w:pPr>
    </w:p>
    <w:p w:rsidR="00353CBD" w:rsidRPr="00353CBD" w:rsidRDefault="00353CBD" w:rsidP="00353CBD">
      <w:pPr>
        <w:widowControl w:val="0"/>
        <w:spacing w:line="360" w:lineRule="auto"/>
        <w:jc w:val="right"/>
        <w:rPr>
          <w:rFonts w:cs="Arial"/>
        </w:rPr>
      </w:pPr>
      <w:r w:rsidRPr="009D27AB">
        <w:rPr>
          <w:rFonts w:cs="Arial"/>
        </w:rPr>
        <w:t xml:space="preserve">Montevideo, </w:t>
      </w:r>
      <w:r>
        <w:rPr>
          <w:rFonts w:cs="Arial"/>
        </w:rPr>
        <w:t>30 de setiembre de 2016.</w:t>
      </w:r>
    </w:p>
    <w:sectPr w:rsidR="00353CBD" w:rsidRPr="00353CBD" w:rsidSect="00204BA4">
      <w:headerReference w:type="default" r:id="rId9"/>
      <w:footerReference w:type="even" r:id="rId10"/>
      <w:footerReference w:type="default" r:id="rId11"/>
      <w:pgSz w:w="11906" w:h="16838" w:code="9"/>
      <w:pgMar w:top="3289" w:right="1701" w:bottom="1134" w:left="1701" w:header="720" w:footer="720" w:gutter="0"/>
      <w:paperSrc w:first="4" w:other="4"/>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3AB" w:rsidRDefault="00C133AB">
      <w:r>
        <w:separator/>
      </w:r>
    </w:p>
  </w:endnote>
  <w:endnote w:type="continuationSeparator" w:id="0">
    <w:p w:rsidR="00C133AB" w:rsidRDefault="00C13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361" w:rsidRDefault="00764E88">
    <w:pPr>
      <w:framePr w:wrap="around" w:vAnchor="text" w:hAnchor="margin" w:xAlign="center" w:y="1"/>
    </w:pPr>
    <w:r>
      <w:fldChar w:fldCharType="begin"/>
    </w:r>
    <w:r>
      <w:instrText xml:space="preserve">PAGE  </w:instrText>
    </w:r>
    <w:r>
      <w:fldChar w:fldCharType="separate"/>
    </w:r>
    <w:r>
      <w:rPr>
        <w:noProof/>
      </w:rPr>
      <w:t>1</w:t>
    </w:r>
    <w:r>
      <w:fldChar w:fldCharType="end"/>
    </w:r>
  </w:p>
  <w:p w:rsidR="00E77361" w:rsidRDefault="00BA5BE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361" w:rsidRDefault="00764E8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A5BEA">
      <w:rPr>
        <w:rStyle w:val="Nmerodepgina"/>
        <w:noProof/>
      </w:rPr>
      <w:t>27</w:t>
    </w:r>
    <w:r>
      <w:rPr>
        <w:rStyle w:val="Nmerodepgina"/>
      </w:rPr>
      <w:fldChar w:fldCharType="end"/>
    </w:r>
  </w:p>
  <w:p w:rsidR="00E77361" w:rsidRDefault="00BA5BEA">
    <w:pPr>
      <w:framePr w:wrap="around" w:vAnchor="text" w:hAnchor="margin" w:xAlign="right" w:y="1"/>
    </w:pPr>
  </w:p>
  <w:p w:rsidR="00E77361" w:rsidRDefault="00764E88">
    <w:pPr>
      <w:ind w:right="36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3AB" w:rsidRDefault="00C133AB">
      <w:r>
        <w:separator/>
      </w:r>
    </w:p>
  </w:footnote>
  <w:footnote w:type="continuationSeparator" w:id="0">
    <w:p w:rsidR="00C133AB" w:rsidRDefault="00C133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361" w:rsidRDefault="00764E88">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D6DD5"/>
    <w:multiLevelType w:val="hybridMultilevel"/>
    <w:tmpl w:val="64BCD720"/>
    <w:lvl w:ilvl="0" w:tplc="FA28866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AF9753B"/>
    <w:multiLevelType w:val="hybridMultilevel"/>
    <w:tmpl w:val="4AFE73D2"/>
    <w:lvl w:ilvl="0" w:tplc="722EB894">
      <w:start w:val="3"/>
      <w:numFmt w:val="bullet"/>
      <w:lvlText w:val="-"/>
      <w:lvlJc w:val="left"/>
      <w:pPr>
        <w:ind w:left="720" w:hanging="360"/>
      </w:pPr>
      <w:rPr>
        <w:rFonts w:ascii="Arial" w:eastAsia="Times New Roman" w:hAnsi="Arial" w:cs="Arial" w:hint="default"/>
      </w:rPr>
    </w:lvl>
    <w:lvl w:ilvl="1" w:tplc="0C0A0005">
      <w:start w:val="1"/>
      <w:numFmt w:val="bullet"/>
      <w:lvlText w:val=""/>
      <w:lvlJc w:val="left"/>
      <w:pPr>
        <w:ind w:left="1440" w:hanging="360"/>
      </w:pPr>
      <w:rPr>
        <w:rFonts w:ascii="Wingdings" w:hAnsi="Wingdings"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427"/>
    <w:rsid w:val="00017436"/>
    <w:rsid w:val="0005501F"/>
    <w:rsid w:val="000727AA"/>
    <w:rsid w:val="001A0427"/>
    <w:rsid w:val="001D0138"/>
    <w:rsid w:val="00204BA4"/>
    <w:rsid w:val="00266013"/>
    <w:rsid w:val="002C2939"/>
    <w:rsid w:val="00353CBD"/>
    <w:rsid w:val="00561B16"/>
    <w:rsid w:val="005F2FD7"/>
    <w:rsid w:val="00764E88"/>
    <w:rsid w:val="00902472"/>
    <w:rsid w:val="00995EDB"/>
    <w:rsid w:val="00A93D22"/>
    <w:rsid w:val="00BA5BEA"/>
    <w:rsid w:val="00C133AB"/>
    <w:rsid w:val="00C90F78"/>
    <w:rsid w:val="00CA6D0B"/>
    <w:rsid w:val="00D76AD4"/>
    <w:rsid w:val="00F84509"/>
    <w:rsid w:val="00FD23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427"/>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353CBD"/>
    <w:pPr>
      <w:keepNext/>
      <w:spacing w:line="360" w:lineRule="auto"/>
      <w:jc w:val="center"/>
      <w:outlineLvl w:val="0"/>
    </w:pPr>
    <w:rPr>
      <w:b/>
    </w:rPr>
  </w:style>
  <w:style w:type="paragraph" w:styleId="Ttulo2">
    <w:name w:val="heading 2"/>
    <w:basedOn w:val="Normal"/>
    <w:next w:val="Textoindependiente"/>
    <w:link w:val="Ttulo2Car"/>
    <w:qFormat/>
    <w:rsid w:val="00353CBD"/>
    <w:pPr>
      <w:spacing w:after="170" w:line="360" w:lineRule="auto"/>
      <w:outlineLvl w:val="1"/>
    </w:pPr>
    <w:rPr>
      <w:b/>
      <w:kern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A0427"/>
  </w:style>
  <w:style w:type="paragraph" w:styleId="Piedepgina">
    <w:name w:val="footer"/>
    <w:basedOn w:val="Normal"/>
    <w:link w:val="PiedepginaCar"/>
    <w:rsid w:val="001A0427"/>
    <w:pPr>
      <w:tabs>
        <w:tab w:val="center" w:pos="4419"/>
        <w:tab w:val="right" w:pos="8838"/>
      </w:tabs>
      <w:spacing w:line="360" w:lineRule="auto"/>
      <w:jc w:val="both"/>
    </w:pPr>
    <w:rPr>
      <w:kern w:val="18"/>
      <w:lang w:val="es-ES_tradnl"/>
    </w:rPr>
  </w:style>
  <w:style w:type="character" w:customStyle="1" w:styleId="PiedepginaCar">
    <w:name w:val="Pie de página Car"/>
    <w:basedOn w:val="Fuentedeprrafopredeter"/>
    <w:link w:val="Piedepgina"/>
    <w:rsid w:val="001A0427"/>
    <w:rPr>
      <w:rFonts w:ascii="Arial" w:eastAsia="Times New Roman" w:hAnsi="Arial" w:cs="Times New Roman"/>
      <w:kern w:val="18"/>
      <w:sz w:val="24"/>
      <w:szCs w:val="24"/>
      <w:lang w:val="es-ES_tradnl" w:eastAsia="es-ES"/>
    </w:rPr>
  </w:style>
  <w:style w:type="paragraph" w:styleId="Prrafodelista">
    <w:name w:val="List Paragraph"/>
    <w:basedOn w:val="Normal"/>
    <w:uiPriority w:val="34"/>
    <w:qFormat/>
    <w:rsid w:val="00561B16"/>
    <w:pPr>
      <w:ind w:left="720"/>
      <w:contextualSpacing/>
    </w:pPr>
  </w:style>
  <w:style w:type="character" w:customStyle="1" w:styleId="Ttulo1Car">
    <w:name w:val="Título 1 Car"/>
    <w:basedOn w:val="Fuentedeprrafopredeter"/>
    <w:link w:val="Ttulo1"/>
    <w:rsid w:val="00353CBD"/>
    <w:rPr>
      <w:rFonts w:ascii="Arial" w:eastAsia="Times New Roman" w:hAnsi="Arial" w:cs="Times New Roman"/>
      <w:b/>
      <w:sz w:val="24"/>
      <w:szCs w:val="24"/>
      <w:lang w:eastAsia="es-ES"/>
    </w:rPr>
  </w:style>
  <w:style w:type="paragraph" w:styleId="Textoindependiente">
    <w:name w:val="Body Text"/>
    <w:basedOn w:val="Normal"/>
    <w:link w:val="TextoindependienteCar"/>
    <w:autoRedefine/>
    <w:rsid w:val="00353CBD"/>
    <w:pPr>
      <w:spacing w:line="360" w:lineRule="auto"/>
      <w:jc w:val="both"/>
    </w:pPr>
    <w:rPr>
      <w:rFonts w:cs="Arial"/>
      <w:lang w:val="es-ES_tradnl"/>
    </w:rPr>
  </w:style>
  <w:style w:type="character" w:customStyle="1" w:styleId="TextoindependienteCar">
    <w:name w:val="Texto independiente Car"/>
    <w:basedOn w:val="Fuentedeprrafopredeter"/>
    <w:link w:val="Textoindependiente"/>
    <w:rsid w:val="00353CBD"/>
    <w:rPr>
      <w:rFonts w:ascii="Arial" w:eastAsia="Times New Roman" w:hAnsi="Arial" w:cs="Arial"/>
      <w:sz w:val="24"/>
      <w:szCs w:val="24"/>
      <w:lang w:val="es-ES_tradnl" w:eastAsia="es-ES"/>
    </w:rPr>
  </w:style>
  <w:style w:type="paragraph" w:styleId="Subttulo">
    <w:name w:val="Subtitle"/>
    <w:basedOn w:val="Normal"/>
    <w:link w:val="SubttuloCar"/>
    <w:qFormat/>
    <w:rsid w:val="00353CBD"/>
    <w:pPr>
      <w:spacing w:line="360" w:lineRule="auto"/>
      <w:jc w:val="both"/>
    </w:pPr>
    <w:rPr>
      <w:rFonts w:ascii="Bookman Old Style" w:hAnsi="Bookman Old Style"/>
      <w:b/>
      <w:kern w:val="18"/>
    </w:rPr>
  </w:style>
  <w:style w:type="character" w:customStyle="1" w:styleId="SubttuloCar">
    <w:name w:val="Subtítulo Car"/>
    <w:basedOn w:val="Fuentedeprrafopredeter"/>
    <w:link w:val="Subttulo"/>
    <w:rsid w:val="00353CBD"/>
    <w:rPr>
      <w:rFonts w:ascii="Bookman Old Style" w:eastAsia="Times New Roman" w:hAnsi="Bookman Old Style" w:cs="Times New Roman"/>
      <w:b/>
      <w:kern w:val="18"/>
      <w:sz w:val="24"/>
      <w:szCs w:val="24"/>
      <w:lang w:eastAsia="es-ES"/>
    </w:rPr>
  </w:style>
  <w:style w:type="character" w:customStyle="1" w:styleId="Ttulo2Car">
    <w:name w:val="Título 2 Car"/>
    <w:basedOn w:val="Fuentedeprrafopredeter"/>
    <w:link w:val="Ttulo2"/>
    <w:rsid w:val="00353CBD"/>
    <w:rPr>
      <w:rFonts w:ascii="Arial" w:eastAsia="Times New Roman" w:hAnsi="Arial" w:cs="Times New Roman"/>
      <w:b/>
      <w:kern w:val="18"/>
      <w:sz w:val="24"/>
      <w:szCs w:val="24"/>
      <w:lang w:eastAsia="es-ES"/>
    </w:rPr>
  </w:style>
  <w:style w:type="paragraph" w:styleId="Textoindependiente2">
    <w:name w:val="Body Text 2"/>
    <w:basedOn w:val="Normal"/>
    <w:link w:val="Textoindependiente2Car"/>
    <w:rsid w:val="00353CBD"/>
    <w:pPr>
      <w:spacing w:line="360" w:lineRule="auto"/>
    </w:pPr>
    <w:rPr>
      <w:rFonts w:ascii="Bookman Old Style" w:hAnsi="Bookman Old Style"/>
      <w:kern w:val="18"/>
    </w:rPr>
  </w:style>
  <w:style w:type="character" w:customStyle="1" w:styleId="Textoindependiente2Car">
    <w:name w:val="Texto independiente 2 Car"/>
    <w:basedOn w:val="Fuentedeprrafopredeter"/>
    <w:link w:val="Textoindependiente2"/>
    <w:rsid w:val="00353CBD"/>
    <w:rPr>
      <w:rFonts w:ascii="Bookman Old Style" w:eastAsia="Times New Roman" w:hAnsi="Bookman Old Style" w:cs="Times New Roman"/>
      <w:kern w:val="18"/>
      <w:sz w:val="24"/>
      <w:szCs w:val="24"/>
      <w:lang w:eastAsia="es-ES"/>
    </w:rPr>
  </w:style>
  <w:style w:type="paragraph" w:customStyle="1" w:styleId="Textoindependiente21">
    <w:name w:val="Texto independiente 21"/>
    <w:basedOn w:val="Normal"/>
    <w:rsid w:val="00353CBD"/>
    <w:pPr>
      <w:suppressAutoHyphens/>
      <w:spacing w:after="240" w:line="360" w:lineRule="auto"/>
      <w:jc w:val="both"/>
    </w:pPr>
    <w:rPr>
      <w:rFonts w:ascii="Bookman Old Style" w:hAnsi="Bookman Old Style" w:cs="Bookman Old Style"/>
      <w:kern w:val="1"/>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427"/>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353CBD"/>
    <w:pPr>
      <w:keepNext/>
      <w:spacing w:line="360" w:lineRule="auto"/>
      <w:jc w:val="center"/>
      <w:outlineLvl w:val="0"/>
    </w:pPr>
    <w:rPr>
      <w:b/>
    </w:rPr>
  </w:style>
  <w:style w:type="paragraph" w:styleId="Ttulo2">
    <w:name w:val="heading 2"/>
    <w:basedOn w:val="Normal"/>
    <w:next w:val="Textoindependiente"/>
    <w:link w:val="Ttulo2Car"/>
    <w:qFormat/>
    <w:rsid w:val="00353CBD"/>
    <w:pPr>
      <w:spacing w:after="170" w:line="360" w:lineRule="auto"/>
      <w:outlineLvl w:val="1"/>
    </w:pPr>
    <w:rPr>
      <w:b/>
      <w:kern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A0427"/>
  </w:style>
  <w:style w:type="paragraph" w:styleId="Piedepgina">
    <w:name w:val="footer"/>
    <w:basedOn w:val="Normal"/>
    <w:link w:val="PiedepginaCar"/>
    <w:rsid w:val="001A0427"/>
    <w:pPr>
      <w:tabs>
        <w:tab w:val="center" w:pos="4419"/>
        <w:tab w:val="right" w:pos="8838"/>
      </w:tabs>
      <w:spacing w:line="360" w:lineRule="auto"/>
      <w:jc w:val="both"/>
    </w:pPr>
    <w:rPr>
      <w:kern w:val="18"/>
      <w:lang w:val="es-ES_tradnl"/>
    </w:rPr>
  </w:style>
  <w:style w:type="character" w:customStyle="1" w:styleId="PiedepginaCar">
    <w:name w:val="Pie de página Car"/>
    <w:basedOn w:val="Fuentedeprrafopredeter"/>
    <w:link w:val="Piedepgina"/>
    <w:rsid w:val="001A0427"/>
    <w:rPr>
      <w:rFonts w:ascii="Arial" w:eastAsia="Times New Roman" w:hAnsi="Arial" w:cs="Times New Roman"/>
      <w:kern w:val="18"/>
      <w:sz w:val="24"/>
      <w:szCs w:val="24"/>
      <w:lang w:val="es-ES_tradnl" w:eastAsia="es-ES"/>
    </w:rPr>
  </w:style>
  <w:style w:type="paragraph" w:styleId="Prrafodelista">
    <w:name w:val="List Paragraph"/>
    <w:basedOn w:val="Normal"/>
    <w:uiPriority w:val="34"/>
    <w:qFormat/>
    <w:rsid w:val="00561B16"/>
    <w:pPr>
      <w:ind w:left="720"/>
      <w:contextualSpacing/>
    </w:pPr>
  </w:style>
  <w:style w:type="character" w:customStyle="1" w:styleId="Ttulo1Car">
    <w:name w:val="Título 1 Car"/>
    <w:basedOn w:val="Fuentedeprrafopredeter"/>
    <w:link w:val="Ttulo1"/>
    <w:rsid w:val="00353CBD"/>
    <w:rPr>
      <w:rFonts w:ascii="Arial" w:eastAsia="Times New Roman" w:hAnsi="Arial" w:cs="Times New Roman"/>
      <w:b/>
      <w:sz w:val="24"/>
      <w:szCs w:val="24"/>
      <w:lang w:eastAsia="es-ES"/>
    </w:rPr>
  </w:style>
  <w:style w:type="paragraph" w:styleId="Textoindependiente">
    <w:name w:val="Body Text"/>
    <w:basedOn w:val="Normal"/>
    <w:link w:val="TextoindependienteCar"/>
    <w:autoRedefine/>
    <w:rsid w:val="00353CBD"/>
    <w:pPr>
      <w:spacing w:line="360" w:lineRule="auto"/>
      <w:jc w:val="both"/>
    </w:pPr>
    <w:rPr>
      <w:rFonts w:cs="Arial"/>
      <w:lang w:val="es-ES_tradnl"/>
    </w:rPr>
  </w:style>
  <w:style w:type="character" w:customStyle="1" w:styleId="TextoindependienteCar">
    <w:name w:val="Texto independiente Car"/>
    <w:basedOn w:val="Fuentedeprrafopredeter"/>
    <w:link w:val="Textoindependiente"/>
    <w:rsid w:val="00353CBD"/>
    <w:rPr>
      <w:rFonts w:ascii="Arial" w:eastAsia="Times New Roman" w:hAnsi="Arial" w:cs="Arial"/>
      <w:sz w:val="24"/>
      <w:szCs w:val="24"/>
      <w:lang w:val="es-ES_tradnl" w:eastAsia="es-ES"/>
    </w:rPr>
  </w:style>
  <w:style w:type="paragraph" w:styleId="Subttulo">
    <w:name w:val="Subtitle"/>
    <w:basedOn w:val="Normal"/>
    <w:link w:val="SubttuloCar"/>
    <w:qFormat/>
    <w:rsid w:val="00353CBD"/>
    <w:pPr>
      <w:spacing w:line="360" w:lineRule="auto"/>
      <w:jc w:val="both"/>
    </w:pPr>
    <w:rPr>
      <w:rFonts w:ascii="Bookman Old Style" w:hAnsi="Bookman Old Style"/>
      <w:b/>
      <w:kern w:val="18"/>
    </w:rPr>
  </w:style>
  <w:style w:type="character" w:customStyle="1" w:styleId="SubttuloCar">
    <w:name w:val="Subtítulo Car"/>
    <w:basedOn w:val="Fuentedeprrafopredeter"/>
    <w:link w:val="Subttulo"/>
    <w:rsid w:val="00353CBD"/>
    <w:rPr>
      <w:rFonts w:ascii="Bookman Old Style" w:eastAsia="Times New Roman" w:hAnsi="Bookman Old Style" w:cs="Times New Roman"/>
      <w:b/>
      <w:kern w:val="18"/>
      <w:sz w:val="24"/>
      <w:szCs w:val="24"/>
      <w:lang w:eastAsia="es-ES"/>
    </w:rPr>
  </w:style>
  <w:style w:type="character" w:customStyle="1" w:styleId="Ttulo2Car">
    <w:name w:val="Título 2 Car"/>
    <w:basedOn w:val="Fuentedeprrafopredeter"/>
    <w:link w:val="Ttulo2"/>
    <w:rsid w:val="00353CBD"/>
    <w:rPr>
      <w:rFonts w:ascii="Arial" w:eastAsia="Times New Roman" w:hAnsi="Arial" w:cs="Times New Roman"/>
      <w:b/>
      <w:kern w:val="18"/>
      <w:sz w:val="24"/>
      <w:szCs w:val="24"/>
      <w:lang w:eastAsia="es-ES"/>
    </w:rPr>
  </w:style>
  <w:style w:type="paragraph" w:styleId="Textoindependiente2">
    <w:name w:val="Body Text 2"/>
    <w:basedOn w:val="Normal"/>
    <w:link w:val="Textoindependiente2Car"/>
    <w:rsid w:val="00353CBD"/>
    <w:pPr>
      <w:spacing w:line="360" w:lineRule="auto"/>
    </w:pPr>
    <w:rPr>
      <w:rFonts w:ascii="Bookman Old Style" w:hAnsi="Bookman Old Style"/>
      <w:kern w:val="18"/>
    </w:rPr>
  </w:style>
  <w:style w:type="character" w:customStyle="1" w:styleId="Textoindependiente2Car">
    <w:name w:val="Texto independiente 2 Car"/>
    <w:basedOn w:val="Fuentedeprrafopredeter"/>
    <w:link w:val="Textoindependiente2"/>
    <w:rsid w:val="00353CBD"/>
    <w:rPr>
      <w:rFonts w:ascii="Bookman Old Style" w:eastAsia="Times New Roman" w:hAnsi="Bookman Old Style" w:cs="Times New Roman"/>
      <w:kern w:val="18"/>
      <w:sz w:val="24"/>
      <w:szCs w:val="24"/>
      <w:lang w:eastAsia="es-ES"/>
    </w:rPr>
  </w:style>
  <w:style w:type="paragraph" w:customStyle="1" w:styleId="Textoindependiente21">
    <w:name w:val="Texto independiente 21"/>
    <w:basedOn w:val="Normal"/>
    <w:rsid w:val="00353CBD"/>
    <w:pPr>
      <w:suppressAutoHyphens/>
      <w:spacing w:after="240" w:line="360" w:lineRule="auto"/>
      <w:jc w:val="both"/>
    </w:pPr>
    <w:rPr>
      <w:rFonts w:ascii="Bookman Old Style" w:hAnsi="Bookman Old Style" w:cs="Bookman Old Style"/>
      <w:kern w:val="1"/>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B2FB7-2D1C-499E-9731-7C2FE1F67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6076</Words>
  <Characters>33421</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9</cp:revision>
  <cp:lastPrinted>2016-10-14T16:47:00Z</cp:lastPrinted>
  <dcterms:created xsi:type="dcterms:W3CDTF">2016-10-13T13:45:00Z</dcterms:created>
  <dcterms:modified xsi:type="dcterms:W3CDTF">2017-03-17T18:45:00Z</dcterms:modified>
</cp:coreProperties>
</file>