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7944" w:rsidRPr="00786EEB" w:rsidRDefault="00937944" w:rsidP="00786EEB">
      <w:pPr>
        <w:tabs>
          <w:tab w:val="center" w:pos="4253"/>
        </w:tabs>
        <w:suppressAutoHyphens/>
        <w:jc w:val="right"/>
        <w:rPr>
          <w:rFonts w:cs="Arial"/>
          <w:b/>
          <w:sz w:val="28"/>
          <w:szCs w:val="28"/>
          <w:lang w:val="es-ES_tradnl"/>
        </w:rPr>
      </w:pPr>
      <w:bookmarkStart w:id="0" w:name="_GoBack"/>
      <w:bookmarkEnd w:id="0"/>
      <w:r w:rsidRPr="00786EEB">
        <w:rPr>
          <w:rFonts w:cs="Arial"/>
          <w:b/>
          <w:sz w:val="28"/>
          <w:szCs w:val="28"/>
          <w:lang w:val="es-ES_tradnl"/>
        </w:rPr>
        <w:t xml:space="preserve">RES. </w:t>
      </w:r>
      <w:r>
        <w:rPr>
          <w:rFonts w:cs="Arial"/>
          <w:b/>
          <w:sz w:val="28"/>
          <w:szCs w:val="28"/>
          <w:lang w:val="es-ES_tradnl"/>
        </w:rPr>
        <w:t>3558</w:t>
      </w:r>
      <w:r w:rsidRPr="00786EEB">
        <w:rPr>
          <w:rFonts w:cs="Arial"/>
          <w:b/>
          <w:sz w:val="28"/>
          <w:szCs w:val="28"/>
          <w:lang w:val="es-ES_tradnl"/>
        </w:rPr>
        <w:t>/16</w:t>
      </w:r>
    </w:p>
    <w:p w:rsidR="00937944" w:rsidRDefault="00937944" w:rsidP="00786EEB">
      <w:pPr>
        <w:tabs>
          <w:tab w:val="center" w:pos="4253"/>
        </w:tabs>
        <w:suppressAutoHyphens/>
        <w:jc w:val="right"/>
        <w:rPr>
          <w:rFonts w:cs="Arial"/>
          <w:b/>
          <w:lang w:val="es-ES_tradnl"/>
        </w:rPr>
      </w:pPr>
    </w:p>
    <w:p w:rsidR="00937944" w:rsidRPr="00762B34" w:rsidRDefault="00937944">
      <w:pPr>
        <w:tabs>
          <w:tab w:val="center" w:pos="4253"/>
        </w:tabs>
        <w:suppressAutoHyphens/>
        <w:jc w:val="center"/>
        <w:rPr>
          <w:rFonts w:cs="Arial"/>
          <w:b/>
          <w:lang w:val="es-ES_tradnl"/>
        </w:rPr>
      </w:pPr>
      <w:r w:rsidRPr="00762B34">
        <w:rPr>
          <w:rFonts w:cs="Arial"/>
          <w:b/>
          <w:lang w:val="es-ES_tradnl"/>
        </w:rPr>
        <w:t>RESOLUCION ADOPTADA POR EL</w:t>
      </w:r>
    </w:p>
    <w:p w:rsidR="00937944" w:rsidRPr="00762B34" w:rsidRDefault="00937944">
      <w:pPr>
        <w:tabs>
          <w:tab w:val="left" w:pos="-720"/>
        </w:tabs>
        <w:suppressAutoHyphens/>
        <w:jc w:val="center"/>
        <w:rPr>
          <w:rFonts w:cs="Arial"/>
          <w:b/>
          <w:lang w:val="es-ES_tradnl"/>
        </w:rPr>
      </w:pPr>
    </w:p>
    <w:p w:rsidR="00937944" w:rsidRPr="00762B34" w:rsidRDefault="00937944">
      <w:pPr>
        <w:tabs>
          <w:tab w:val="center" w:pos="4253"/>
        </w:tabs>
        <w:suppressAutoHyphens/>
        <w:jc w:val="center"/>
        <w:rPr>
          <w:rFonts w:cs="Arial"/>
          <w:b/>
          <w:lang w:val="es-ES_tradnl"/>
        </w:rPr>
      </w:pPr>
      <w:r w:rsidRPr="00762B34">
        <w:rPr>
          <w:rFonts w:cs="Arial"/>
          <w:b/>
          <w:lang w:val="es-ES_tradnl"/>
        </w:rPr>
        <w:t>TRIBUNAL DE CUENTAS</w:t>
      </w:r>
    </w:p>
    <w:p w:rsidR="00937944" w:rsidRPr="00762B34" w:rsidRDefault="00937944">
      <w:pPr>
        <w:tabs>
          <w:tab w:val="left" w:pos="-720"/>
        </w:tabs>
        <w:suppressAutoHyphens/>
        <w:jc w:val="center"/>
        <w:rPr>
          <w:rFonts w:cs="Arial"/>
          <w:b/>
          <w:lang w:val="es-ES_tradnl"/>
        </w:rPr>
      </w:pPr>
    </w:p>
    <w:p w:rsidR="00937944" w:rsidRPr="00762B34" w:rsidRDefault="00937944">
      <w:pPr>
        <w:tabs>
          <w:tab w:val="center" w:pos="4253"/>
        </w:tabs>
        <w:suppressAutoHyphens/>
        <w:jc w:val="center"/>
        <w:rPr>
          <w:rFonts w:cs="Arial"/>
          <w:b/>
          <w:lang w:val="es-ES_tradnl"/>
        </w:rPr>
      </w:pPr>
      <w:r w:rsidRPr="00762B34">
        <w:rPr>
          <w:rFonts w:cs="Arial"/>
          <w:b/>
          <w:lang w:val="es-ES_tradnl"/>
        </w:rPr>
        <w:t xml:space="preserve">EN SESION DE FECHA </w:t>
      </w:r>
      <w:r>
        <w:rPr>
          <w:rFonts w:ascii="Helvetica" w:hAnsi="Helvetica"/>
          <w:b/>
          <w:lang w:val="es-ES_tradnl"/>
        </w:rPr>
        <w:t>12 DE OCTUBRE DE 2016</w:t>
      </w:r>
    </w:p>
    <w:p w:rsidR="00937944" w:rsidRPr="00762B34" w:rsidRDefault="00937944">
      <w:pPr>
        <w:tabs>
          <w:tab w:val="center" w:pos="4253"/>
        </w:tabs>
        <w:suppressAutoHyphens/>
        <w:jc w:val="center"/>
        <w:rPr>
          <w:rFonts w:cs="Arial"/>
          <w:b/>
          <w:lang w:val="es-ES_tradnl"/>
        </w:rPr>
      </w:pPr>
    </w:p>
    <w:p w:rsidR="00937944" w:rsidRPr="00937944" w:rsidRDefault="00937944">
      <w:pPr>
        <w:tabs>
          <w:tab w:val="center" w:pos="4253"/>
        </w:tabs>
        <w:suppressAutoHyphens/>
        <w:jc w:val="center"/>
        <w:rPr>
          <w:rFonts w:cs="Arial"/>
          <w:b/>
          <w:lang w:val="es-AR"/>
        </w:rPr>
      </w:pPr>
      <w:r w:rsidRPr="00937944">
        <w:rPr>
          <w:rFonts w:cs="Arial"/>
          <w:b/>
          <w:lang w:val="es-AR"/>
        </w:rPr>
        <w:t xml:space="preserve">(E. E. Nº </w:t>
      </w:r>
      <w:r>
        <w:rPr>
          <w:rFonts w:cs="Arial"/>
          <w:b/>
          <w:lang w:val="es-AR"/>
        </w:rPr>
        <w:t>2016-17-1-0002043</w:t>
      </w:r>
      <w:r w:rsidRPr="00937944">
        <w:rPr>
          <w:rFonts w:cs="Arial"/>
          <w:b/>
          <w:lang w:val="es-AR"/>
        </w:rPr>
        <w:t xml:space="preserve">, </w:t>
      </w:r>
      <w:proofErr w:type="spellStart"/>
      <w:r w:rsidRPr="00937944">
        <w:rPr>
          <w:rFonts w:cs="Arial"/>
          <w:b/>
          <w:lang w:val="es-AR"/>
        </w:rPr>
        <w:t>Ent</w:t>
      </w:r>
      <w:proofErr w:type="spellEnd"/>
      <w:r w:rsidRPr="00937944">
        <w:rPr>
          <w:rFonts w:cs="Arial"/>
          <w:b/>
          <w:lang w:val="es-AR"/>
        </w:rPr>
        <w:t xml:space="preserve">. N° </w:t>
      </w:r>
      <w:r>
        <w:rPr>
          <w:rFonts w:cs="Arial"/>
          <w:b/>
          <w:lang w:val="es-AR"/>
        </w:rPr>
        <w:t>1579/16</w:t>
      </w:r>
      <w:r w:rsidRPr="00937944">
        <w:rPr>
          <w:rFonts w:cs="Arial"/>
          <w:b/>
          <w:lang w:val="es-AR"/>
        </w:rPr>
        <w:t>)</w:t>
      </w:r>
    </w:p>
    <w:p w:rsidR="00937944" w:rsidRPr="00937944" w:rsidRDefault="00937944">
      <w:pPr>
        <w:tabs>
          <w:tab w:val="center" w:pos="4253"/>
        </w:tabs>
        <w:suppressAutoHyphens/>
        <w:jc w:val="center"/>
        <w:rPr>
          <w:rFonts w:ascii="Helvetica" w:hAnsi="Helvetica"/>
          <w:b/>
          <w:lang w:val="es-AR"/>
        </w:rPr>
      </w:pPr>
    </w:p>
    <w:p w:rsidR="00937944" w:rsidRPr="00937944" w:rsidRDefault="00937944" w:rsidP="00762B34">
      <w:pPr>
        <w:tabs>
          <w:tab w:val="center" w:pos="4253"/>
        </w:tabs>
        <w:suppressAutoHyphens/>
        <w:jc w:val="right"/>
        <w:rPr>
          <w:spacing w:val="-3"/>
          <w:lang w:val="es-AR"/>
        </w:rPr>
      </w:pPr>
    </w:p>
    <w:p w:rsidR="00937944" w:rsidRDefault="00937944" w:rsidP="00937944">
      <w:pPr>
        <w:spacing w:line="360" w:lineRule="auto"/>
        <w:ind w:firstLine="851"/>
        <w:jc w:val="both"/>
        <w:rPr>
          <w:rFonts w:eastAsia="Calibri" w:cs="Arial"/>
          <w:lang w:eastAsia="en-US"/>
        </w:rPr>
      </w:pPr>
      <w:r w:rsidRPr="00645545">
        <w:rPr>
          <w:rFonts w:eastAsia="Calibri" w:cs="Arial"/>
          <w:b/>
          <w:lang w:eastAsia="en-US"/>
        </w:rPr>
        <w:t>VISTO:</w:t>
      </w:r>
      <w:r w:rsidRPr="00645545">
        <w:rPr>
          <w:rFonts w:eastAsia="Calibri" w:cs="Arial"/>
          <w:lang w:eastAsia="en-US"/>
        </w:rPr>
        <w:t xml:space="preserve"> que se han examinado los estados financieros de la Administración Nacional de Correos (ANC), que comprenden el Estado de Situación Financiera al 31/12/2015, y los correspondientes Estados de Resultados Integral, de Flujos de Efectivo y de Cambios en e</w:t>
      </w:r>
      <w:r>
        <w:rPr>
          <w:rFonts w:eastAsia="Calibri" w:cs="Arial"/>
          <w:lang w:eastAsia="en-US"/>
        </w:rPr>
        <w:t>l Patrimonio por el E</w:t>
      </w:r>
      <w:r w:rsidRPr="00645545">
        <w:rPr>
          <w:rFonts w:eastAsia="Calibri" w:cs="Arial"/>
          <w:lang w:eastAsia="en-US"/>
        </w:rPr>
        <w:t>jercicio anual terminado en esa fecha, sus Anexos y las Notas Explicativas que los acompañan;</w:t>
      </w:r>
    </w:p>
    <w:p w:rsidR="00937944" w:rsidRDefault="00937944" w:rsidP="00937944">
      <w:pPr>
        <w:spacing w:line="360" w:lineRule="auto"/>
        <w:ind w:firstLine="851"/>
        <w:jc w:val="both"/>
        <w:rPr>
          <w:rFonts w:eastAsia="Calibri" w:cs="Arial"/>
          <w:lang w:eastAsia="en-US"/>
        </w:rPr>
      </w:pPr>
      <w:r w:rsidRPr="00645545">
        <w:rPr>
          <w:rFonts w:eastAsia="Calibri" w:cs="Arial"/>
          <w:b/>
          <w:lang w:eastAsia="en-US"/>
        </w:rPr>
        <w:t>RESULTANDO:</w:t>
      </w:r>
      <w:r w:rsidRPr="00645545">
        <w:rPr>
          <w:rFonts w:eastAsia="Calibri" w:cs="Arial"/>
          <w:lang w:eastAsia="en-US"/>
        </w:rPr>
        <w:t xml:space="preserve"> que el examen fue realizado de acuerdo con los Principios Fundamentales de Auditoría (ISSAI 100 y 200) y las Directrices de Auditoría Financiera (ISSAI 1000 a 1810) de la Organización Internacional de Entidades Fiscalizadoras Superiores (INTOSAI);</w:t>
      </w:r>
    </w:p>
    <w:p w:rsidR="00937944" w:rsidRDefault="00937944" w:rsidP="00937944">
      <w:pPr>
        <w:spacing w:line="360" w:lineRule="auto"/>
        <w:ind w:firstLine="851"/>
        <w:jc w:val="both"/>
        <w:rPr>
          <w:rFonts w:eastAsia="Calibri" w:cs="Arial"/>
          <w:lang w:eastAsia="en-US"/>
        </w:rPr>
      </w:pPr>
      <w:r w:rsidRPr="00645545">
        <w:rPr>
          <w:rFonts w:eastAsia="Calibri" w:cs="Arial"/>
          <w:b/>
          <w:lang w:eastAsia="en-US"/>
        </w:rPr>
        <w:t>CONSIDERANDO:</w:t>
      </w:r>
      <w:r w:rsidRPr="00645545">
        <w:rPr>
          <w:rFonts w:eastAsia="Calibri" w:cs="Arial"/>
          <w:lang w:eastAsia="en-US"/>
        </w:rPr>
        <w:t xml:space="preserve"> que las conclusiones y evidencias obtenidas son las que se expresan en el Informe de Auditoría, que incluye Dictamen e Informe a la Administración;</w:t>
      </w:r>
    </w:p>
    <w:p w:rsidR="00937944" w:rsidRPr="00645545" w:rsidRDefault="00937944" w:rsidP="00937944">
      <w:pPr>
        <w:spacing w:line="360" w:lineRule="auto"/>
        <w:ind w:firstLine="851"/>
        <w:jc w:val="both"/>
        <w:rPr>
          <w:rFonts w:eastAsia="Calibri" w:cs="Arial"/>
          <w:lang w:eastAsia="en-US"/>
        </w:rPr>
      </w:pPr>
      <w:r w:rsidRPr="00645545">
        <w:rPr>
          <w:rFonts w:eastAsia="Calibri" w:cs="Arial"/>
          <w:b/>
          <w:lang w:eastAsia="en-US"/>
        </w:rPr>
        <w:t>ATENTO:</w:t>
      </w:r>
      <w:r w:rsidRPr="00645545">
        <w:rPr>
          <w:rFonts w:eastAsia="Calibri" w:cs="Arial"/>
          <w:lang w:eastAsia="en-US"/>
        </w:rPr>
        <w:t xml:space="preserve"> a lo dispuesto por el Artículo 211 Literal C) de la Constitución de la República;</w:t>
      </w:r>
    </w:p>
    <w:p w:rsidR="00937944" w:rsidRPr="00645545" w:rsidRDefault="00937944" w:rsidP="00937944">
      <w:pPr>
        <w:spacing w:after="200" w:line="360" w:lineRule="auto"/>
        <w:jc w:val="center"/>
        <w:rPr>
          <w:rFonts w:eastAsia="Calibri" w:cs="Arial"/>
          <w:b/>
          <w:lang w:eastAsia="en-US"/>
        </w:rPr>
      </w:pPr>
      <w:r w:rsidRPr="00645545">
        <w:rPr>
          <w:rFonts w:eastAsia="Calibri" w:cs="Arial"/>
          <w:b/>
          <w:lang w:eastAsia="en-US"/>
        </w:rPr>
        <w:t>EL TRIBUNAL ACUERDA</w:t>
      </w:r>
    </w:p>
    <w:p w:rsidR="00937944" w:rsidRPr="00645545" w:rsidRDefault="00937944" w:rsidP="00937944">
      <w:pPr>
        <w:spacing w:line="360" w:lineRule="auto"/>
        <w:jc w:val="both"/>
        <w:rPr>
          <w:rFonts w:eastAsia="Calibri" w:cs="Arial"/>
          <w:lang w:eastAsia="en-US"/>
        </w:rPr>
      </w:pPr>
      <w:r w:rsidRPr="00645545">
        <w:rPr>
          <w:rFonts w:eastAsia="Calibri" w:cs="Arial"/>
          <w:b/>
          <w:lang w:eastAsia="en-US"/>
        </w:rPr>
        <w:t>1)</w:t>
      </w:r>
      <w:r>
        <w:rPr>
          <w:rFonts w:eastAsia="Calibri" w:cs="Arial"/>
          <w:lang w:eastAsia="en-US"/>
        </w:rPr>
        <w:t xml:space="preserve"> </w:t>
      </w:r>
      <w:r w:rsidRPr="00645545">
        <w:rPr>
          <w:rFonts w:eastAsia="Calibri" w:cs="Arial"/>
          <w:lang w:eastAsia="en-US"/>
        </w:rPr>
        <w:t>Expedirse en los términos del Informe de Auditoría que se adjunta;</w:t>
      </w:r>
    </w:p>
    <w:p w:rsidR="00937944" w:rsidRPr="00645545" w:rsidRDefault="00937944" w:rsidP="00937944">
      <w:pPr>
        <w:spacing w:line="360" w:lineRule="auto"/>
        <w:ind w:left="284" w:hanging="284"/>
        <w:jc w:val="both"/>
        <w:rPr>
          <w:rFonts w:eastAsia="Calibri" w:cs="Arial"/>
          <w:lang w:eastAsia="en-US"/>
        </w:rPr>
      </w:pPr>
      <w:r w:rsidRPr="00645545">
        <w:rPr>
          <w:rFonts w:eastAsia="Calibri" w:cs="Arial"/>
          <w:b/>
          <w:lang w:eastAsia="en-US"/>
        </w:rPr>
        <w:t>2)</w:t>
      </w:r>
      <w:r>
        <w:rPr>
          <w:rFonts w:eastAsia="Calibri" w:cs="Arial"/>
          <w:lang w:eastAsia="en-US"/>
        </w:rPr>
        <w:t xml:space="preserve"> </w:t>
      </w:r>
      <w:r w:rsidRPr="00645545">
        <w:rPr>
          <w:rFonts w:eastAsia="Calibri" w:cs="Arial"/>
          <w:lang w:eastAsia="en-US"/>
        </w:rPr>
        <w:t>Señalar al Organismo que debe publicar los estados financieros con el correspondiente Dictamen del Tribunal de Cuentas de acuerdo con lo dispuesto por el Artículo 1° de la Ley Nº 17.040;</w:t>
      </w:r>
    </w:p>
    <w:p w:rsidR="00937944" w:rsidRPr="00645545" w:rsidRDefault="00937944" w:rsidP="00937944">
      <w:pPr>
        <w:spacing w:line="360" w:lineRule="auto"/>
        <w:ind w:left="284" w:hanging="284"/>
        <w:jc w:val="both"/>
        <w:rPr>
          <w:rFonts w:eastAsia="Calibri" w:cs="Arial"/>
          <w:lang w:eastAsia="en-US"/>
        </w:rPr>
      </w:pPr>
      <w:r w:rsidRPr="00645545">
        <w:rPr>
          <w:rFonts w:eastAsia="Calibri" w:cs="Arial"/>
          <w:b/>
          <w:lang w:eastAsia="en-US"/>
        </w:rPr>
        <w:lastRenderedPageBreak/>
        <w:t>3)</w:t>
      </w:r>
      <w:r>
        <w:rPr>
          <w:rFonts w:eastAsia="Calibri" w:cs="Arial"/>
          <w:lang w:eastAsia="en-US"/>
        </w:rPr>
        <w:t xml:space="preserve"> </w:t>
      </w:r>
      <w:r w:rsidRPr="00645545">
        <w:rPr>
          <w:rFonts w:eastAsia="Calibri" w:cs="Arial"/>
          <w:lang w:eastAsia="en-US"/>
        </w:rPr>
        <w:t>Comunicar al Ministerio de Industria, Energía y Minería, al Organismo y a la Oficina de Planeamiento y Presupuesto; y</w:t>
      </w:r>
    </w:p>
    <w:p w:rsidR="00937944" w:rsidRDefault="00937944" w:rsidP="00937944">
      <w:pPr>
        <w:spacing w:line="360" w:lineRule="auto"/>
        <w:jc w:val="both"/>
        <w:rPr>
          <w:rFonts w:eastAsia="Calibri" w:cs="Arial"/>
          <w:lang w:eastAsia="en-US"/>
        </w:rPr>
      </w:pPr>
      <w:r w:rsidRPr="00645545">
        <w:rPr>
          <w:rFonts w:eastAsia="Calibri" w:cs="Arial"/>
          <w:b/>
          <w:lang w:eastAsia="en-US"/>
        </w:rPr>
        <w:t>4)</w:t>
      </w:r>
      <w:r w:rsidRPr="00645545">
        <w:rPr>
          <w:rFonts w:eastAsia="Calibri" w:cs="Arial"/>
          <w:lang w:eastAsia="en-US"/>
        </w:rPr>
        <w:t xml:space="preserve">  Dar cuenta a la Asamblea General.</w:t>
      </w:r>
    </w:p>
    <w:p w:rsidR="00937944" w:rsidRDefault="00937944" w:rsidP="00937944">
      <w:pPr>
        <w:spacing w:line="360" w:lineRule="auto"/>
        <w:jc w:val="both"/>
        <w:rPr>
          <w:rFonts w:eastAsia="Calibri" w:cs="Arial"/>
          <w:lang w:eastAsia="en-US"/>
        </w:rPr>
      </w:pPr>
    </w:p>
    <w:p w:rsidR="00937944" w:rsidRDefault="00937944" w:rsidP="00937944">
      <w:pPr>
        <w:spacing w:line="360" w:lineRule="auto"/>
        <w:jc w:val="both"/>
        <w:rPr>
          <w:rFonts w:eastAsia="Calibri" w:cs="Arial"/>
          <w:lang w:eastAsia="en-US"/>
        </w:rPr>
      </w:pPr>
    </w:p>
    <w:p w:rsidR="00937944" w:rsidRDefault="00937944" w:rsidP="00937944">
      <w:pPr>
        <w:spacing w:line="360" w:lineRule="auto"/>
        <w:jc w:val="both"/>
        <w:rPr>
          <w:rFonts w:eastAsia="Calibri" w:cs="Arial"/>
          <w:lang w:eastAsia="en-US"/>
        </w:rPr>
      </w:pPr>
    </w:p>
    <w:p w:rsidR="00937944" w:rsidRDefault="00937944" w:rsidP="00937944">
      <w:pPr>
        <w:spacing w:line="360" w:lineRule="auto"/>
        <w:jc w:val="both"/>
        <w:rPr>
          <w:rFonts w:eastAsia="Calibri" w:cs="Arial"/>
          <w:lang w:eastAsia="en-US"/>
        </w:rPr>
      </w:pPr>
    </w:p>
    <w:p w:rsidR="00937944" w:rsidRDefault="00937944" w:rsidP="00937944">
      <w:pPr>
        <w:spacing w:line="360" w:lineRule="auto"/>
        <w:ind w:hanging="426"/>
        <w:jc w:val="both"/>
      </w:pPr>
      <w:proofErr w:type="gramStart"/>
      <w:r>
        <w:rPr>
          <w:rFonts w:eastAsia="Calibri" w:cs="Arial"/>
          <w:lang w:eastAsia="en-US"/>
        </w:rPr>
        <w:t>dc</w:t>
      </w:r>
      <w:proofErr w:type="gramEnd"/>
      <w:r>
        <w:t xml:space="preserve"> </w:t>
      </w:r>
    </w:p>
    <w:p w:rsidR="00F86359" w:rsidRDefault="00F86359">
      <w:pPr>
        <w:jc w:val="both"/>
      </w:pPr>
    </w:p>
    <w:p w:rsidR="00821DBA" w:rsidRDefault="00821DBA">
      <w:pPr>
        <w:jc w:val="both"/>
      </w:pPr>
    </w:p>
    <w:p w:rsidR="00821DBA" w:rsidRPr="0079740B" w:rsidRDefault="00821DBA" w:rsidP="00565781">
      <w:pPr>
        <w:spacing w:line="360" w:lineRule="auto"/>
        <w:jc w:val="center"/>
        <w:rPr>
          <w:rFonts w:cs="Arial"/>
          <w:b/>
        </w:rPr>
      </w:pPr>
      <w:r w:rsidRPr="0079740B">
        <w:rPr>
          <w:rFonts w:cs="Arial"/>
          <w:b/>
        </w:rPr>
        <w:t>DICTAMEN</w:t>
      </w:r>
    </w:p>
    <w:p w:rsidR="00821DBA" w:rsidRPr="0079740B" w:rsidRDefault="00821DBA" w:rsidP="00373BAC">
      <w:pPr>
        <w:spacing w:line="360" w:lineRule="auto"/>
        <w:jc w:val="both"/>
        <w:rPr>
          <w:rFonts w:cs="Arial"/>
        </w:rPr>
      </w:pPr>
      <w:r w:rsidRPr="0079740B">
        <w:rPr>
          <w:rFonts w:cs="Arial"/>
        </w:rPr>
        <w:t>El Tribunal de Cuentas ha examinado los estados financieros de la Administración Nacional de Correos (ANC) que comprenden el Estado de Situación Financiera al 31 de diciemb</w:t>
      </w:r>
      <w:r>
        <w:rPr>
          <w:rFonts w:cs="Arial"/>
        </w:rPr>
        <w:t xml:space="preserve">re de 2015, los </w:t>
      </w:r>
      <w:r w:rsidRPr="0079740B">
        <w:rPr>
          <w:rFonts w:cs="Arial"/>
        </w:rPr>
        <w:t>Estados de Resultados Integral, de Flujos de Efectivo y de C</w:t>
      </w:r>
      <w:r>
        <w:rPr>
          <w:rFonts w:cs="Arial"/>
        </w:rPr>
        <w:t>ambios en el Patrimonio por el E</w:t>
      </w:r>
      <w:r w:rsidRPr="0079740B">
        <w:rPr>
          <w:rFonts w:cs="Arial"/>
        </w:rPr>
        <w:t>jercicio anual finalizado en esa fecha, los Anexos y las notas de políticas contables significativas y otras notas explicativas a los estados financieros.</w:t>
      </w:r>
    </w:p>
    <w:p w:rsidR="00821DBA" w:rsidRPr="0079740B" w:rsidRDefault="00821DBA" w:rsidP="00373BAC">
      <w:pPr>
        <w:spacing w:line="360" w:lineRule="auto"/>
        <w:jc w:val="both"/>
        <w:rPr>
          <w:rFonts w:cs="Arial"/>
        </w:rPr>
      </w:pPr>
      <w:r w:rsidRPr="0079740B">
        <w:rPr>
          <w:rFonts w:cs="Arial"/>
        </w:rPr>
        <w:t>También se presentan, en caso de corresponder, los incumplimientos legales constatados por el Tribunal de Cuentas en el curso de la auditoría efectuada.</w:t>
      </w:r>
    </w:p>
    <w:p w:rsidR="00821DBA" w:rsidRDefault="00821DBA" w:rsidP="00373BAC">
      <w:pPr>
        <w:spacing w:line="360" w:lineRule="auto"/>
        <w:jc w:val="both"/>
        <w:rPr>
          <w:rFonts w:cs="Arial"/>
          <w:b/>
        </w:rPr>
      </w:pPr>
    </w:p>
    <w:p w:rsidR="00821DBA" w:rsidRPr="0079740B" w:rsidRDefault="00821DBA" w:rsidP="00373BAC">
      <w:pPr>
        <w:spacing w:line="360" w:lineRule="auto"/>
        <w:jc w:val="both"/>
        <w:rPr>
          <w:rFonts w:cs="Arial"/>
          <w:b/>
        </w:rPr>
      </w:pPr>
      <w:r w:rsidRPr="0079740B">
        <w:rPr>
          <w:rFonts w:cs="Arial"/>
          <w:b/>
        </w:rPr>
        <w:t>Responsabilidad de la Dirección por los estados financieros</w:t>
      </w:r>
    </w:p>
    <w:p w:rsidR="00821DBA" w:rsidRPr="0079740B" w:rsidRDefault="00821DBA" w:rsidP="00373BAC">
      <w:pPr>
        <w:spacing w:line="360" w:lineRule="auto"/>
        <w:jc w:val="both"/>
        <w:rPr>
          <w:rFonts w:cs="Arial"/>
        </w:rPr>
      </w:pPr>
      <w:r w:rsidRPr="0079740B">
        <w:rPr>
          <w:rFonts w:cs="Arial"/>
        </w:rPr>
        <w:t xml:space="preserve">La Dirección de la ANC es responsable por la preparación y la razonable presentación de los estados financieros de acuerdo con las normas contables adecuadas en </w:t>
      </w:r>
      <w:r>
        <w:rPr>
          <w:rFonts w:cs="Arial"/>
        </w:rPr>
        <w:t xml:space="preserve">el </w:t>
      </w:r>
      <w:r w:rsidRPr="0079740B">
        <w:rPr>
          <w:rFonts w:cs="Arial"/>
        </w:rPr>
        <w:t xml:space="preserve">Uruguay y la Ordenanza Nº 81 del Tribunal de Cuentas. Esta responsabilidad incluye diseñar, implementar y mantener un sistema de control interno adecuado para la preparación y presentación razonable de estados financieros que estén libres de errores significativos, ya sea debido a fraude o error, seleccionar y aplicar políticas contables apropiadas, y realizar estimaciones contables razonables en las circunstancias. </w:t>
      </w:r>
    </w:p>
    <w:p w:rsidR="00821DBA" w:rsidRDefault="00821DBA" w:rsidP="00373BAC">
      <w:pPr>
        <w:spacing w:line="360" w:lineRule="auto"/>
        <w:jc w:val="both"/>
        <w:rPr>
          <w:rFonts w:cs="Arial"/>
          <w:b/>
        </w:rPr>
      </w:pPr>
    </w:p>
    <w:p w:rsidR="00821DBA" w:rsidRPr="0079740B" w:rsidRDefault="00821DBA" w:rsidP="00373BAC">
      <w:pPr>
        <w:spacing w:line="360" w:lineRule="auto"/>
        <w:jc w:val="both"/>
        <w:rPr>
          <w:rFonts w:cs="Arial"/>
          <w:b/>
        </w:rPr>
      </w:pPr>
      <w:r w:rsidRPr="0079740B">
        <w:rPr>
          <w:rFonts w:cs="Arial"/>
          <w:b/>
        </w:rPr>
        <w:t>Responsabilidad del auditor</w:t>
      </w:r>
    </w:p>
    <w:p w:rsidR="00821DBA" w:rsidRPr="0079740B" w:rsidRDefault="00821DBA" w:rsidP="00373BAC">
      <w:pPr>
        <w:spacing w:line="360" w:lineRule="auto"/>
        <w:jc w:val="both"/>
        <w:rPr>
          <w:rFonts w:cs="Arial"/>
        </w:rPr>
      </w:pPr>
      <w:r w:rsidRPr="0079740B">
        <w:rPr>
          <w:rFonts w:cs="Arial"/>
        </w:rPr>
        <w:t>La responsabilidad del Tribunal de Cuentas es expresar una opinión sobre dichos estados financieros basada en la auditoría realizada. Excepto por lo que se expresa en el párrafo Bases para la calificación de opinión, realizamos la auditoría de acuerdo con los Principios Fundamentales de Auditoría (ISSAI 100 y 200) y las Directrices de Auditoría Financiera (ISSAI 1000 a 1810) de la Organización Internacional de Entidades Fiscalizadoras Superiores (INTOSAI).</w:t>
      </w:r>
    </w:p>
    <w:p w:rsidR="00821DBA" w:rsidRDefault="00821DBA" w:rsidP="00373BAC">
      <w:pPr>
        <w:spacing w:line="360" w:lineRule="auto"/>
        <w:jc w:val="both"/>
        <w:rPr>
          <w:rFonts w:cs="Arial"/>
        </w:rPr>
      </w:pPr>
      <w:r w:rsidRPr="0079740B">
        <w:rPr>
          <w:rFonts w:cs="Arial"/>
        </w:rPr>
        <w:t>Estas normas requieren que se cumpla con requisitos éticos, se planifique y se realice la auditoría para obtener seguridad razonable acerca de si los estados financieros están libres de errores significativos.</w:t>
      </w:r>
    </w:p>
    <w:p w:rsidR="00821DBA" w:rsidRPr="0079740B" w:rsidRDefault="00821DBA" w:rsidP="00373BAC">
      <w:pPr>
        <w:spacing w:line="360" w:lineRule="auto"/>
        <w:jc w:val="both"/>
        <w:rPr>
          <w:rFonts w:cs="Arial"/>
        </w:rPr>
      </w:pPr>
      <w:r w:rsidRPr="0079740B">
        <w:rPr>
          <w:rFonts w:cs="Arial"/>
        </w:rPr>
        <w:t>Una auditoría implica realizar procedimientos para obtener evidencia acerca de los montos y revelaciones contables. Los procedimientos seleccionados dependen del juicio profesional del auditor, incluyendo la evaluación de los riesgos de existencia de errores significativos en los estados financieros, ya sea debido a fraude o error. Al efectuar la evaluación de riesgos, el auditor considera los aspectos de control interno de la entidad relevantes para la preparación y presentación razonable de los estados financieros con el fin de diseñar los procedimientos de auditoría que sean apropiados en las circunstancias, pero no con el propósito de expresar una opinión acerca de la eficacia del control interno de la entidad. Una auditoría también implica evaluar lo apropiado de las políticas contables utilizadas y la razonabilidad de las estimaciones contables realizadas por la Dirección, así como evaluar la presentación general de los estados financieros.</w:t>
      </w:r>
    </w:p>
    <w:p w:rsidR="00821DBA" w:rsidRPr="0079740B" w:rsidRDefault="00821DBA" w:rsidP="00373BAC">
      <w:pPr>
        <w:spacing w:line="360" w:lineRule="auto"/>
        <w:jc w:val="both"/>
        <w:rPr>
          <w:rFonts w:cs="Arial"/>
        </w:rPr>
      </w:pPr>
      <w:r w:rsidRPr="0079740B">
        <w:rPr>
          <w:rFonts w:cs="Arial"/>
        </w:rPr>
        <w:t>Se considera que la evidencia de auditoría obtenida brinda una base suficiente y apropiada para sustentar la opinión.</w:t>
      </w:r>
    </w:p>
    <w:p w:rsidR="00821DBA" w:rsidRDefault="00821DBA" w:rsidP="00373BAC">
      <w:pPr>
        <w:spacing w:line="360" w:lineRule="auto"/>
        <w:jc w:val="both"/>
        <w:rPr>
          <w:rFonts w:cs="Arial"/>
          <w:b/>
        </w:rPr>
      </w:pPr>
    </w:p>
    <w:p w:rsidR="00821DBA" w:rsidRPr="00AD00A4" w:rsidRDefault="00821DBA" w:rsidP="00373BAC">
      <w:pPr>
        <w:spacing w:line="360" w:lineRule="auto"/>
        <w:jc w:val="both"/>
        <w:rPr>
          <w:rFonts w:cs="Arial"/>
          <w:b/>
        </w:rPr>
      </w:pPr>
      <w:r w:rsidRPr="00AD00A4">
        <w:rPr>
          <w:rFonts w:cs="Arial"/>
          <w:b/>
        </w:rPr>
        <w:t xml:space="preserve">Bases para </w:t>
      </w:r>
      <w:r>
        <w:rPr>
          <w:rFonts w:cs="Arial"/>
          <w:b/>
        </w:rPr>
        <w:t xml:space="preserve">la </w:t>
      </w:r>
      <w:r w:rsidRPr="00AD00A4">
        <w:rPr>
          <w:rFonts w:cs="Arial"/>
          <w:b/>
        </w:rPr>
        <w:t>calificación de opinión</w:t>
      </w:r>
    </w:p>
    <w:p w:rsidR="00821DBA" w:rsidRPr="0079740B" w:rsidRDefault="00821DBA" w:rsidP="00373BAC">
      <w:pPr>
        <w:spacing w:line="360" w:lineRule="auto"/>
        <w:jc w:val="both"/>
        <w:rPr>
          <w:rFonts w:cs="Arial"/>
        </w:rPr>
      </w:pPr>
      <w:r w:rsidRPr="0079740B">
        <w:rPr>
          <w:rFonts w:cs="Arial"/>
        </w:rPr>
        <w:t>El control interno de la ANC relacionado con el rubro Ingresos Operativos - Servicios Empresariales cuyo sal</w:t>
      </w:r>
      <w:r>
        <w:rPr>
          <w:rFonts w:cs="Arial"/>
        </w:rPr>
        <w:t>do al 31/12/2015 totalizó $ 765:</w:t>
      </w:r>
      <w:r w:rsidRPr="0079740B">
        <w:rPr>
          <w:rFonts w:cs="Arial"/>
        </w:rPr>
        <w:t>198.324, no permite establecer la correspondencia de la totalidad de las transacciones realizadas con su facturación y registro contable.</w:t>
      </w:r>
    </w:p>
    <w:p w:rsidR="00821DBA" w:rsidRDefault="00821DBA" w:rsidP="002A5AD4">
      <w:pPr>
        <w:spacing w:line="360" w:lineRule="auto"/>
        <w:jc w:val="both"/>
        <w:rPr>
          <w:rFonts w:cs="Arial"/>
        </w:rPr>
      </w:pPr>
    </w:p>
    <w:p w:rsidR="00821DBA" w:rsidRDefault="00821DBA" w:rsidP="002A5AD4">
      <w:pPr>
        <w:spacing w:line="360" w:lineRule="auto"/>
        <w:jc w:val="both"/>
        <w:rPr>
          <w:rFonts w:cs="Arial"/>
        </w:rPr>
      </w:pPr>
    </w:p>
    <w:p w:rsidR="00821DBA" w:rsidRPr="0079740B" w:rsidRDefault="00821DBA" w:rsidP="002A5AD4">
      <w:pPr>
        <w:spacing w:line="360" w:lineRule="auto"/>
        <w:jc w:val="both"/>
        <w:rPr>
          <w:rFonts w:cs="Arial"/>
        </w:rPr>
      </w:pPr>
    </w:p>
    <w:p w:rsidR="00821DBA" w:rsidRDefault="00821DBA" w:rsidP="00373BAC">
      <w:pPr>
        <w:spacing w:line="360" w:lineRule="auto"/>
        <w:jc w:val="both"/>
        <w:rPr>
          <w:rFonts w:cs="Arial"/>
          <w:b/>
        </w:rPr>
      </w:pPr>
      <w:r w:rsidRPr="0079740B">
        <w:rPr>
          <w:rFonts w:cs="Arial"/>
          <w:b/>
        </w:rPr>
        <w:t>Opinión con salvedad</w:t>
      </w:r>
    </w:p>
    <w:p w:rsidR="00821DBA" w:rsidRPr="0079740B" w:rsidRDefault="00821DBA" w:rsidP="00373BAC">
      <w:pPr>
        <w:spacing w:line="360" w:lineRule="auto"/>
        <w:jc w:val="both"/>
        <w:rPr>
          <w:rFonts w:cs="Arial"/>
          <w:b/>
        </w:rPr>
      </w:pPr>
    </w:p>
    <w:p w:rsidR="00821DBA" w:rsidRPr="0079740B" w:rsidRDefault="00821DBA" w:rsidP="00373BAC">
      <w:pPr>
        <w:spacing w:line="360" w:lineRule="auto"/>
        <w:jc w:val="both"/>
        <w:rPr>
          <w:rFonts w:cs="Arial"/>
        </w:rPr>
      </w:pPr>
      <w:r w:rsidRPr="0079740B">
        <w:rPr>
          <w:rFonts w:cs="Arial"/>
        </w:rPr>
        <w:t xml:space="preserve">En opinión del Tribunal de Cuentas, </w:t>
      </w:r>
      <w:r w:rsidRPr="006375F6">
        <w:rPr>
          <w:rFonts w:cs="Arial"/>
        </w:rPr>
        <w:t xml:space="preserve">excepto por los efectos de aquellos ajustes, de haberse requerido alguno, </w:t>
      </w:r>
      <w:r w:rsidRPr="0079740B">
        <w:rPr>
          <w:rFonts w:cs="Arial"/>
        </w:rPr>
        <w:t xml:space="preserve">por lo expresado en el párrafo Bases para la calificación de opinión </w:t>
      </w:r>
      <w:r>
        <w:rPr>
          <w:rFonts w:cs="Arial"/>
        </w:rPr>
        <w:t>respecto</w:t>
      </w:r>
      <w:r w:rsidRPr="0079740B">
        <w:rPr>
          <w:rFonts w:cs="Arial"/>
        </w:rPr>
        <w:t xml:space="preserve"> </w:t>
      </w:r>
      <w:r>
        <w:rPr>
          <w:rFonts w:cs="Arial"/>
        </w:rPr>
        <w:t>al rubro</w:t>
      </w:r>
      <w:r w:rsidRPr="0079740B">
        <w:rPr>
          <w:rFonts w:cs="Arial"/>
        </w:rPr>
        <w:t xml:space="preserve"> Ingresos Operativos - Servicios Empresariales, los estados financieros de la ANC mencionados presentan razonablemente, en todos sus aspectos importantes, su situación financiera al 31 de diciembre de 2015, los resultados de sus operaciones y los flujos de efectivo correspondi</w:t>
      </w:r>
      <w:r>
        <w:rPr>
          <w:rFonts w:cs="Arial"/>
        </w:rPr>
        <w:t>entes al E</w:t>
      </w:r>
      <w:r w:rsidRPr="0079740B">
        <w:rPr>
          <w:rFonts w:cs="Arial"/>
        </w:rPr>
        <w:t xml:space="preserve">jercicio anual terminado a esa fecha, de acuerdo con las normas contables adecuadas </w:t>
      </w:r>
      <w:r>
        <w:rPr>
          <w:rFonts w:cs="Arial"/>
        </w:rPr>
        <w:t>en el Uruguay y la Ordenanza N°</w:t>
      </w:r>
      <w:r w:rsidRPr="0079740B">
        <w:rPr>
          <w:rFonts w:cs="Arial"/>
        </w:rPr>
        <w:t xml:space="preserve"> 81. </w:t>
      </w:r>
    </w:p>
    <w:p w:rsidR="00821DBA" w:rsidRPr="0079740B" w:rsidRDefault="00821DBA" w:rsidP="002A5AD4">
      <w:pPr>
        <w:spacing w:line="360" w:lineRule="auto"/>
        <w:jc w:val="both"/>
        <w:rPr>
          <w:rFonts w:cs="Arial"/>
        </w:rPr>
      </w:pPr>
      <w:r w:rsidRPr="0079740B">
        <w:rPr>
          <w:rFonts w:cs="Arial"/>
        </w:rPr>
        <w:t>Con relación a la normativa vigente, en el curso de la auditoría realizada, no se han constatado incumplimientos.</w:t>
      </w:r>
    </w:p>
    <w:p w:rsidR="00821DBA" w:rsidRPr="0079740B" w:rsidRDefault="00821DBA" w:rsidP="002A5AD4">
      <w:pPr>
        <w:spacing w:line="360" w:lineRule="auto"/>
        <w:ind w:left="3540" w:firstLine="708"/>
        <w:jc w:val="both"/>
        <w:rPr>
          <w:rFonts w:cs="Arial"/>
        </w:rPr>
      </w:pPr>
      <w:r w:rsidRPr="0079740B">
        <w:rPr>
          <w:rFonts w:cs="Arial"/>
        </w:rPr>
        <w:t xml:space="preserve">Montevideo,  </w:t>
      </w:r>
      <w:r>
        <w:rPr>
          <w:rFonts w:cs="Arial"/>
        </w:rPr>
        <w:t xml:space="preserve">19 </w:t>
      </w:r>
      <w:r w:rsidRPr="0079740B">
        <w:rPr>
          <w:rFonts w:cs="Arial"/>
        </w:rPr>
        <w:t xml:space="preserve"> de </w:t>
      </w:r>
      <w:r>
        <w:rPr>
          <w:rFonts w:cs="Arial"/>
        </w:rPr>
        <w:t xml:space="preserve">setiembre </w:t>
      </w:r>
      <w:r w:rsidRPr="0079740B">
        <w:rPr>
          <w:rFonts w:cs="Arial"/>
        </w:rPr>
        <w:t>de 2016</w:t>
      </w:r>
    </w:p>
    <w:p w:rsidR="00821DBA" w:rsidRPr="0079740B" w:rsidRDefault="00821DBA" w:rsidP="002A5AD4">
      <w:pPr>
        <w:spacing w:line="360" w:lineRule="auto"/>
        <w:jc w:val="both"/>
        <w:rPr>
          <w:rFonts w:cs="Arial"/>
        </w:rPr>
      </w:pPr>
    </w:p>
    <w:p w:rsidR="00821DBA" w:rsidRPr="0079740B" w:rsidRDefault="00821DBA" w:rsidP="002A5AD4">
      <w:pPr>
        <w:spacing w:line="360" w:lineRule="auto"/>
        <w:jc w:val="both"/>
        <w:rPr>
          <w:rFonts w:cs="Arial"/>
        </w:rPr>
      </w:pPr>
    </w:p>
    <w:p w:rsidR="00821DBA" w:rsidRPr="0079740B" w:rsidRDefault="00821DBA" w:rsidP="00373BAC">
      <w:pPr>
        <w:spacing w:line="360" w:lineRule="auto"/>
        <w:ind w:hanging="567"/>
        <w:jc w:val="both"/>
        <w:rPr>
          <w:rFonts w:cs="Arial"/>
        </w:rPr>
      </w:pPr>
      <w:proofErr w:type="gramStart"/>
      <w:r>
        <w:rPr>
          <w:rFonts w:cs="Arial"/>
        </w:rPr>
        <w:t>dc</w:t>
      </w:r>
      <w:proofErr w:type="gramEnd"/>
    </w:p>
    <w:p w:rsidR="00821DBA" w:rsidRPr="0079740B" w:rsidRDefault="00821DBA" w:rsidP="002A5AD4">
      <w:pPr>
        <w:spacing w:line="360" w:lineRule="auto"/>
        <w:jc w:val="both"/>
        <w:rPr>
          <w:rFonts w:cs="Arial"/>
        </w:rPr>
      </w:pPr>
    </w:p>
    <w:p w:rsidR="00821DBA" w:rsidRPr="0079740B" w:rsidRDefault="00821DBA" w:rsidP="002A5AD4">
      <w:pPr>
        <w:spacing w:line="360" w:lineRule="auto"/>
        <w:jc w:val="both"/>
        <w:rPr>
          <w:rFonts w:cs="Arial"/>
        </w:rPr>
      </w:pPr>
    </w:p>
    <w:p w:rsidR="00821DBA" w:rsidRPr="0079740B" w:rsidRDefault="00821DBA" w:rsidP="002A5AD4">
      <w:pPr>
        <w:spacing w:line="360" w:lineRule="auto"/>
        <w:jc w:val="both"/>
        <w:rPr>
          <w:rFonts w:cs="Arial"/>
        </w:rPr>
      </w:pPr>
    </w:p>
    <w:p w:rsidR="00821DBA" w:rsidRPr="0079740B" w:rsidRDefault="00821DBA" w:rsidP="002A5AD4">
      <w:pPr>
        <w:spacing w:line="360" w:lineRule="auto"/>
        <w:jc w:val="both"/>
        <w:rPr>
          <w:rFonts w:cs="Arial"/>
        </w:rPr>
      </w:pPr>
    </w:p>
    <w:p w:rsidR="00821DBA" w:rsidRPr="0079740B" w:rsidRDefault="00821DBA" w:rsidP="002A5AD4">
      <w:pPr>
        <w:spacing w:line="360" w:lineRule="auto"/>
        <w:jc w:val="both"/>
        <w:rPr>
          <w:rFonts w:cs="Arial"/>
        </w:rPr>
      </w:pPr>
    </w:p>
    <w:p w:rsidR="00821DBA" w:rsidRPr="0079740B" w:rsidRDefault="00821DBA" w:rsidP="002A5AD4">
      <w:pPr>
        <w:spacing w:line="360" w:lineRule="auto"/>
        <w:jc w:val="both"/>
        <w:rPr>
          <w:rFonts w:cs="Arial"/>
        </w:rPr>
      </w:pPr>
    </w:p>
    <w:p w:rsidR="00821DBA" w:rsidRPr="0079740B" w:rsidRDefault="00821DBA" w:rsidP="002A5AD4">
      <w:pPr>
        <w:spacing w:line="360" w:lineRule="auto"/>
        <w:jc w:val="both"/>
        <w:rPr>
          <w:rFonts w:cs="Arial"/>
        </w:rPr>
      </w:pPr>
    </w:p>
    <w:p w:rsidR="00821DBA" w:rsidRPr="00645545" w:rsidRDefault="00821DBA" w:rsidP="00645545">
      <w:pPr>
        <w:spacing w:after="200" w:line="360" w:lineRule="auto"/>
        <w:jc w:val="center"/>
        <w:rPr>
          <w:rFonts w:eastAsia="Calibri" w:cs="Arial"/>
          <w:b/>
          <w:lang w:eastAsia="en-US"/>
        </w:rPr>
      </w:pPr>
      <w:r w:rsidRPr="00645545">
        <w:rPr>
          <w:rFonts w:eastAsia="Calibri" w:cs="Arial"/>
          <w:b/>
          <w:lang w:eastAsia="en-US"/>
        </w:rPr>
        <w:t>INFORME A LA ADMINISTRACION</w:t>
      </w:r>
    </w:p>
    <w:p w:rsidR="00821DBA" w:rsidRPr="00645545" w:rsidRDefault="00821DBA" w:rsidP="00645545">
      <w:pPr>
        <w:spacing w:line="360" w:lineRule="auto"/>
        <w:jc w:val="both"/>
        <w:rPr>
          <w:rFonts w:eastAsia="Calibri" w:cs="Arial"/>
          <w:lang w:eastAsia="en-US"/>
        </w:rPr>
      </w:pPr>
      <w:r w:rsidRPr="00645545">
        <w:rPr>
          <w:rFonts w:eastAsia="Calibri" w:cs="Arial"/>
          <w:lang w:eastAsia="en-US"/>
        </w:rPr>
        <w:t>El Tribunal de Cuentas ha examinado los estados financieros de la Administración Nac</w:t>
      </w:r>
      <w:r>
        <w:rPr>
          <w:rFonts w:eastAsia="Calibri" w:cs="Arial"/>
          <w:lang w:eastAsia="en-US"/>
        </w:rPr>
        <w:t>ional de Correos (ANC), por el E</w:t>
      </w:r>
      <w:r w:rsidRPr="00645545">
        <w:rPr>
          <w:rFonts w:eastAsia="Calibri" w:cs="Arial"/>
          <w:lang w:eastAsia="en-US"/>
        </w:rPr>
        <w:t>jercicio finalizado el 31 de diciembre de 2015 y ha emitido su Dictamen.</w:t>
      </w:r>
    </w:p>
    <w:p w:rsidR="00821DBA" w:rsidRPr="00645545" w:rsidRDefault="00821DBA" w:rsidP="00645545">
      <w:pPr>
        <w:spacing w:line="360" w:lineRule="auto"/>
        <w:jc w:val="both"/>
        <w:rPr>
          <w:rFonts w:eastAsia="Calibri" w:cs="Arial"/>
          <w:lang w:eastAsia="en-US"/>
        </w:rPr>
      </w:pPr>
      <w:r w:rsidRPr="00645545">
        <w:rPr>
          <w:rFonts w:eastAsia="Calibri" w:cs="Arial"/>
          <w:lang w:eastAsia="en-US"/>
        </w:rPr>
        <w:t>Este informe contiene consideraciones relativas a la evaluación de control interno. Se incluyen, además comentarios que se ha entendido conveniente exponer, relacionados a la situación de determinados capítulos y rubros de los estados examinados.</w:t>
      </w:r>
    </w:p>
    <w:p w:rsidR="00821DBA" w:rsidRPr="00645545" w:rsidRDefault="00821DBA" w:rsidP="00645545">
      <w:pPr>
        <w:spacing w:line="360" w:lineRule="auto"/>
        <w:jc w:val="both"/>
        <w:rPr>
          <w:rFonts w:eastAsia="Calibri" w:cs="Arial"/>
          <w:lang w:eastAsia="en-US"/>
        </w:rPr>
      </w:pPr>
      <w:r w:rsidRPr="00645545">
        <w:rPr>
          <w:rFonts w:eastAsia="Calibri" w:cs="Arial"/>
          <w:lang w:eastAsia="en-US"/>
        </w:rPr>
        <w:t xml:space="preserve">También se agregan las principales recomendaciones que </w:t>
      </w:r>
      <w:proofErr w:type="gramStart"/>
      <w:r w:rsidRPr="00645545">
        <w:rPr>
          <w:rFonts w:eastAsia="Calibri" w:cs="Arial"/>
          <w:lang w:eastAsia="en-US"/>
        </w:rPr>
        <w:t>deberá</w:t>
      </w:r>
      <w:proofErr w:type="gramEnd"/>
      <w:r w:rsidRPr="00645545">
        <w:rPr>
          <w:rFonts w:eastAsia="Calibri" w:cs="Arial"/>
          <w:lang w:eastAsia="en-US"/>
        </w:rPr>
        <w:t xml:space="preserve"> atender el Organismo y una evaluación del cumplimiento de las recomendaciones presentadas en el Informe de Auditoría del ejercicio anterior.</w:t>
      </w:r>
    </w:p>
    <w:p w:rsidR="00821DBA" w:rsidRPr="00645545" w:rsidRDefault="00821DBA" w:rsidP="00645545">
      <w:pPr>
        <w:spacing w:line="360" w:lineRule="auto"/>
        <w:jc w:val="both"/>
        <w:rPr>
          <w:rFonts w:eastAsia="Calibri" w:cs="Arial"/>
          <w:lang w:eastAsia="en-US"/>
        </w:rPr>
      </w:pPr>
    </w:p>
    <w:p w:rsidR="00821DBA" w:rsidRPr="00645545" w:rsidRDefault="00821DBA" w:rsidP="00645545">
      <w:pPr>
        <w:spacing w:line="360" w:lineRule="auto"/>
        <w:jc w:val="both"/>
        <w:rPr>
          <w:rFonts w:eastAsia="Calibri" w:cs="Arial"/>
          <w:b/>
          <w:lang w:eastAsia="en-US"/>
        </w:rPr>
      </w:pPr>
      <w:r w:rsidRPr="00645545">
        <w:rPr>
          <w:rFonts w:eastAsia="Calibri" w:cs="Arial"/>
          <w:b/>
          <w:lang w:eastAsia="en-US"/>
        </w:rPr>
        <w:t>1.</w:t>
      </w:r>
      <w:r w:rsidRPr="00645545">
        <w:rPr>
          <w:rFonts w:eastAsia="Calibri" w:cs="Arial"/>
          <w:b/>
          <w:lang w:eastAsia="en-US"/>
        </w:rPr>
        <w:tab/>
        <w:t>Presentación de estados financieros</w:t>
      </w:r>
    </w:p>
    <w:p w:rsidR="00821DBA" w:rsidRPr="00645545" w:rsidRDefault="00821DBA" w:rsidP="00645545">
      <w:pPr>
        <w:spacing w:line="360" w:lineRule="auto"/>
        <w:jc w:val="both"/>
        <w:rPr>
          <w:rFonts w:eastAsia="Calibri" w:cs="Arial"/>
          <w:lang w:eastAsia="en-US"/>
        </w:rPr>
      </w:pPr>
      <w:r w:rsidRPr="00645545">
        <w:rPr>
          <w:rFonts w:eastAsia="Calibri" w:cs="Arial"/>
          <w:lang w:eastAsia="en-US"/>
        </w:rPr>
        <w:t>Los estados financieros</w:t>
      </w:r>
      <w:r>
        <w:rPr>
          <w:rFonts w:eastAsia="Calibri" w:cs="Arial"/>
          <w:lang w:eastAsia="en-US"/>
        </w:rPr>
        <w:t xml:space="preserve"> de la ANC correspondientes al E</w:t>
      </w:r>
      <w:r w:rsidRPr="00645545">
        <w:rPr>
          <w:rFonts w:eastAsia="Calibri" w:cs="Arial"/>
          <w:lang w:eastAsia="en-US"/>
        </w:rPr>
        <w:t>jercicio finalizado el 31 de diciembre de 2015, fueron aprobados por Resolución de Directorio 095/2016 de fecha 30/03/2016 y remitidos al Tribunal  el 31/03/2016.</w:t>
      </w:r>
    </w:p>
    <w:p w:rsidR="00821DBA" w:rsidRPr="00645545" w:rsidRDefault="00821DBA" w:rsidP="00645545">
      <w:pPr>
        <w:spacing w:after="200" w:line="360" w:lineRule="auto"/>
        <w:jc w:val="both"/>
        <w:rPr>
          <w:rFonts w:eastAsia="Calibri" w:cs="Arial"/>
          <w:lang w:eastAsia="en-US"/>
        </w:rPr>
      </w:pPr>
      <w:r w:rsidRPr="00645545">
        <w:rPr>
          <w:rFonts w:eastAsia="Calibri" w:cs="Arial"/>
          <w:lang w:eastAsia="en-US"/>
        </w:rPr>
        <w:t>Dichos estados se presentan de acuerdo con las normas contables adecuadas en el Uruguay y a los criterios e</w:t>
      </w:r>
      <w:r>
        <w:rPr>
          <w:rFonts w:eastAsia="Calibri" w:cs="Arial"/>
          <w:lang w:eastAsia="en-US"/>
        </w:rPr>
        <w:t>stablecidos por la Ordenanza N°</w:t>
      </w:r>
      <w:r w:rsidRPr="00645545">
        <w:rPr>
          <w:rFonts w:eastAsia="Calibri" w:cs="Arial"/>
          <w:lang w:eastAsia="en-US"/>
        </w:rPr>
        <w:t xml:space="preserve"> 81. </w:t>
      </w:r>
    </w:p>
    <w:p w:rsidR="00821DBA" w:rsidRPr="00645545" w:rsidRDefault="00821DBA" w:rsidP="00645545">
      <w:pPr>
        <w:spacing w:line="360" w:lineRule="auto"/>
        <w:jc w:val="both"/>
        <w:rPr>
          <w:rFonts w:eastAsia="Calibri" w:cs="Arial"/>
          <w:b/>
          <w:lang w:eastAsia="en-US"/>
        </w:rPr>
      </w:pPr>
      <w:r w:rsidRPr="00645545">
        <w:rPr>
          <w:rFonts w:eastAsia="Calibri" w:cs="Arial"/>
          <w:b/>
          <w:lang w:eastAsia="en-US"/>
        </w:rPr>
        <w:t>2.</w:t>
      </w:r>
      <w:r w:rsidRPr="00645545">
        <w:rPr>
          <w:rFonts w:eastAsia="Calibri" w:cs="Arial"/>
          <w:b/>
          <w:lang w:eastAsia="en-US"/>
        </w:rPr>
        <w:tab/>
        <w:t>Motivo que origina la salvedad en el Dictamen</w:t>
      </w:r>
    </w:p>
    <w:p w:rsidR="00821DBA" w:rsidRPr="00645545" w:rsidRDefault="00821DBA" w:rsidP="00645545">
      <w:pPr>
        <w:spacing w:line="360" w:lineRule="auto"/>
        <w:jc w:val="both"/>
        <w:rPr>
          <w:rFonts w:eastAsia="Calibri" w:cs="Arial"/>
          <w:lang w:eastAsia="en-US"/>
        </w:rPr>
      </w:pPr>
      <w:r w:rsidRPr="00645545">
        <w:rPr>
          <w:rFonts w:eastAsia="Calibri" w:cs="Arial"/>
          <w:lang w:eastAsia="en-US"/>
        </w:rPr>
        <w:t xml:space="preserve">El control interno de la ANC relacionado con el rubro Ingresos Operativos - Servicios Empresariales cuyo saldo </w:t>
      </w:r>
      <w:r>
        <w:rPr>
          <w:rFonts w:eastAsia="Calibri" w:cs="Arial"/>
          <w:lang w:eastAsia="en-US"/>
        </w:rPr>
        <w:t>al 31/12/2015 totalizó $ 765:</w:t>
      </w:r>
      <w:r w:rsidRPr="00645545">
        <w:rPr>
          <w:rFonts w:eastAsia="Calibri" w:cs="Arial"/>
          <w:lang w:eastAsia="en-US"/>
        </w:rPr>
        <w:t>198.324, no permite establecer la correspondencia de la totalidad de las transacciones realizadas con su facturación y registro contable.</w:t>
      </w:r>
    </w:p>
    <w:p w:rsidR="00821DBA" w:rsidRPr="00645545" w:rsidRDefault="00821DBA" w:rsidP="00645545">
      <w:pPr>
        <w:spacing w:after="200" w:line="360" w:lineRule="auto"/>
        <w:jc w:val="both"/>
        <w:rPr>
          <w:rFonts w:eastAsia="Calibri" w:cs="Arial"/>
          <w:lang w:eastAsia="en-US"/>
        </w:rPr>
      </w:pPr>
      <w:r w:rsidRPr="00645545">
        <w:rPr>
          <w:rFonts w:eastAsia="Calibri" w:cs="Arial"/>
          <w:lang w:eastAsia="en-US"/>
        </w:rPr>
        <w:t>Esta situación se origina en que el sistema informático de facturación utilizado para los Servicios Empresariales es diferente del utilizado para emitir los remitos de los despachos. La ANC tiene dificultades para relacionar la totalidad de los remitos con las facturas correspondientes a estos servicios, debido a que los envíos se  realizan se ingresan por cliente y la salida de los mismos se realiza por destino.</w:t>
      </w:r>
    </w:p>
    <w:p w:rsidR="00821DBA" w:rsidRPr="00645545" w:rsidRDefault="00821DBA" w:rsidP="00645545">
      <w:pPr>
        <w:spacing w:line="360" w:lineRule="auto"/>
        <w:jc w:val="both"/>
        <w:rPr>
          <w:rFonts w:eastAsia="Calibri" w:cs="Arial"/>
          <w:b/>
          <w:lang w:eastAsia="en-US"/>
        </w:rPr>
      </w:pPr>
      <w:r w:rsidRPr="00645545">
        <w:rPr>
          <w:rFonts w:eastAsia="Calibri" w:cs="Arial"/>
          <w:b/>
          <w:lang w:eastAsia="en-US"/>
        </w:rPr>
        <w:t>3.</w:t>
      </w:r>
      <w:r w:rsidRPr="00645545">
        <w:rPr>
          <w:rFonts w:eastAsia="Calibri" w:cs="Arial"/>
          <w:b/>
          <w:lang w:eastAsia="en-US"/>
        </w:rPr>
        <w:tab/>
        <w:t>Evaluación de control interno</w:t>
      </w:r>
    </w:p>
    <w:p w:rsidR="00821DBA" w:rsidRPr="00645545" w:rsidRDefault="00821DBA" w:rsidP="00645545">
      <w:pPr>
        <w:spacing w:line="360" w:lineRule="auto"/>
        <w:jc w:val="both"/>
        <w:rPr>
          <w:rFonts w:eastAsia="Calibri" w:cs="Arial"/>
          <w:lang w:eastAsia="en-US"/>
        </w:rPr>
      </w:pPr>
      <w:r w:rsidRPr="00645545">
        <w:rPr>
          <w:rFonts w:eastAsia="Calibri" w:cs="Arial"/>
          <w:lang w:eastAsia="en-US"/>
        </w:rPr>
        <w:t>La evaluación del control interno fue realizada para establecer los procedimientos de auditoría que debían aplicarse como prueba de la eficacia de los controles implementados en relación con el objeto de la auditoría practicada y no a efectos de emitir una opinión respecto del mismo.</w:t>
      </w:r>
    </w:p>
    <w:p w:rsidR="00821DBA" w:rsidRPr="00645545" w:rsidRDefault="00821DBA" w:rsidP="00645545">
      <w:pPr>
        <w:spacing w:line="360" w:lineRule="auto"/>
        <w:jc w:val="both"/>
        <w:rPr>
          <w:rFonts w:eastAsia="Calibri" w:cs="Arial"/>
          <w:lang w:eastAsia="en-US"/>
        </w:rPr>
      </w:pPr>
      <w:r w:rsidRPr="00645545">
        <w:rPr>
          <w:rFonts w:eastAsia="Calibri" w:cs="Arial"/>
          <w:lang w:eastAsia="en-US"/>
        </w:rPr>
        <w:t>El examen de los aspectos relevantes del control interno para la preparación y presentación razonable de los estados financieros permitió constatar las siguientes debilidades en relación a las actividades de control e información:</w:t>
      </w:r>
    </w:p>
    <w:p w:rsidR="00821DBA" w:rsidRPr="00645545" w:rsidRDefault="00821DBA" w:rsidP="00645545">
      <w:pPr>
        <w:tabs>
          <w:tab w:val="left" w:pos="3210"/>
        </w:tabs>
        <w:spacing w:line="360" w:lineRule="auto"/>
        <w:jc w:val="both"/>
        <w:rPr>
          <w:rFonts w:eastAsia="Calibri" w:cs="Arial"/>
          <w:lang w:eastAsia="en-US"/>
        </w:rPr>
      </w:pPr>
      <w:r w:rsidRPr="00645545">
        <w:rPr>
          <w:rFonts w:eastAsia="Calibri" w:cs="Arial"/>
          <w:lang w:eastAsia="en-US"/>
        </w:rPr>
        <w:tab/>
      </w:r>
    </w:p>
    <w:p w:rsidR="00821DBA" w:rsidRDefault="00821DBA" w:rsidP="00645545">
      <w:pPr>
        <w:spacing w:line="360" w:lineRule="auto"/>
        <w:jc w:val="both"/>
        <w:rPr>
          <w:rFonts w:eastAsia="Calibri" w:cs="Arial"/>
          <w:lang w:eastAsia="en-US"/>
        </w:rPr>
      </w:pPr>
      <w:r w:rsidRPr="00645545">
        <w:rPr>
          <w:rFonts w:eastAsia="Calibri" w:cs="Arial"/>
          <w:b/>
          <w:lang w:eastAsia="en-US"/>
        </w:rPr>
        <w:t>3.1)</w:t>
      </w:r>
      <w:r w:rsidRPr="00645545">
        <w:rPr>
          <w:rFonts w:eastAsia="Calibri" w:cs="Arial"/>
          <w:lang w:eastAsia="en-US"/>
        </w:rPr>
        <w:t xml:space="preserve"> El control interno relacionado al área Ingresos Operativos – Servicios Empresariales, no permite relacionar la totalidad de los envíos realizados con la facturación y registro contable.</w:t>
      </w:r>
    </w:p>
    <w:p w:rsidR="00821DBA" w:rsidRPr="00645545" w:rsidRDefault="00821DBA" w:rsidP="00645545">
      <w:pPr>
        <w:spacing w:line="360" w:lineRule="auto"/>
        <w:jc w:val="both"/>
        <w:rPr>
          <w:rFonts w:eastAsia="Calibri" w:cs="Arial"/>
          <w:lang w:eastAsia="en-US"/>
        </w:rPr>
      </w:pPr>
    </w:p>
    <w:p w:rsidR="00821DBA" w:rsidRDefault="00821DBA" w:rsidP="00645545">
      <w:pPr>
        <w:spacing w:line="360" w:lineRule="auto"/>
        <w:jc w:val="both"/>
        <w:rPr>
          <w:rFonts w:eastAsia="Calibri" w:cs="Arial"/>
          <w:lang w:eastAsia="en-US"/>
        </w:rPr>
      </w:pPr>
      <w:r w:rsidRPr="00645545">
        <w:rPr>
          <w:rFonts w:eastAsia="Calibri" w:cs="Arial"/>
          <w:b/>
          <w:lang w:eastAsia="en-US"/>
        </w:rPr>
        <w:t>3.2)</w:t>
      </w:r>
      <w:r w:rsidRPr="00645545">
        <w:rPr>
          <w:rFonts w:eastAsia="Calibri" w:cs="Arial"/>
          <w:lang w:eastAsia="en-US"/>
        </w:rPr>
        <w:t xml:space="preserve"> Dado que existen indicios de deterioro de los activos de acuerdo a lo establecido en el literal g) de la Sección 27.9 “Indicadores del Deterioro” de la NIIF para PYMES, el Organismo debe analizar si el valor  registrado en libros de los Bienes de Uso  no excede a su valor recuperable.</w:t>
      </w:r>
    </w:p>
    <w:p w:rsidR="00821DBA" w:rsidRPr="00645545" w:rsidRDefault="00821DBA" w:rsidP="00645545">
      <w:pPr>
        <w:spacing w:line="360" w:lineRule="auto"/>
        <w:jc w:val="both"/>
        <w:rPr>
          <w:rFonts w:eastAsia="Calibri" w:cs="Arial"/>
          <w:lang w:eastAsia="en-US"/>
        </w:rPr>
      </w:pPr>
    </w:p>
    <w:p w:rsidR="00821DBA" w:rsidRPr="00645545" w:rsidRDefault="00821DBA" w:rsidP="00645545">
      <w:pPr>
        <w:spacing w:line="360" w:lineRule="auto"/>
        <w:jc w:val="both"/>
        <w:rPr>
          <w:rFonts w:eastAsia="Calibri" w:cs="Arial"/>
          <w:lang w:eastAsia="en-US"/>
        </w:rPr>
      </w:pPr>
      <w:r w:rsidRPr="00645545">
        <w:rPr>
          <w:rFonts w:eastAsia="Calibri" w:cs="Arial"/>
          <w:b/>
          <w:lang w:eastAsia="en-US"/>
        </w:rPr>
        <w:t>3.3)</w:t>
      </w:r>
      <w:r w:rsidRPr="00645545">
        <w:rPr>
          <w:rFonts w:eastAsia="Calibri" w:cs="Arial"/>
          <w:lang w:eastAsia="en-US"/>
        </w:rPr>
        <w:t xml:space="preserve"> En el Capítulo Patrimonio, se constataron inconsistencias en la información expuesta en el Estado de Situación Financiera y el Estado de Cambios en el Patrimonio, presentados al 31/12/2015. Se constató que en el Estado de Situación Financiera a esa fecha, las Reservas y los Resultados </w:t>
      </w:r>
      <w:r>
        <w:rPr>
          <w:rFonts w:eastAsia="Calibri" w:cs="Arial"/>
          <w:lang w:eastAsia="en-US"/>
        </w:rPr>
        <w:t>Acumulados se exponen por $ 512:352.996 y $ (5.388:</w:t>
      </w:r>
      <w:r w:rsidRPr="00645545">
        <w:rPr>
          <w:rFonts w:eastAsia="Calibri" w:cs="Arial"/>
          <w:lang w:eastAsia="en-US"/>
        </w:rPr>
        <w:t>022.121) respectivamente, mientras que en el  Estado de Cambios al Patrimonio, las Reservas y los Resultados Acumulados se presentan</w:t>
      </w:r>
      <w:r>
        <w:rPr>
          <w:rFonts w:eastAsia="Calibri" w:cs="Arial"/>
          <w:lang w:eastAsia="en-US"/>
        </w:rPr>
        <w:t xml:space="preserve"> por $ (725:930.221) y $ (4.149:</w:t>
      </w:r>
      <w:r w:rsidRPr="00645545">
        <w:rPr>
          <w:rFonts w:eastAsia="Calibri" w:cs="Arial"/>
          <w:lang w:eastAsia="en-US"/>
        </w:rPr>
        <w:t xml:space="preserve">738.904) respectivamente. </w:t>
      </w:r>
    </w:p>
    <w:p w:rsidR="00821DBA" w:rsidRDefault="00821DBA" w:rsidP="00645545">
      <w:pPr>
        <w:spacing w:line="360" w:lineRule="auto"/>
        <w:jc w:val="both"/>
        <w:rPr>
          <w:rFonts w:eastAsia="Calibri" w:cs="Arial"/>
          <w:lang w:eastAsia="en-US"/>
        </w:rPr>
      </w:pPr>
      <w:r w:rsidRPr="00645545">
        <w:rPr>
          <w:rFonts w:eastAsia="Calibri" w:cs="Arial"/>
          <w:lang w:eastAsia="en-US"/>
        </w:rPr>
        <w:t>Asimismo, no se revela el concepto de “Reservas” en una nota explicativa a los Estados Contables.</w:t>
      </w:r>
    </w:p>
    <w:p w:rsidR="00821DBA" w:rsidRDefault="00821DBA" w:rsidP="00645545">
      <w:pPr>
        <w:spacing w:line="360" w:lineRule="auto"/>
        <w:jc w:val="both"/>
        <w:rPr>
          <w:rFonts w:eastAsia="Calibri" w:cs="Arial"/>
          <w:lang w:eastAsia="en-US"/>
        </w:rPr>
      </w:pPr>
    </w:p>
    <w:p w:rsidR="00821DBA" w:rsidRDefault="00821DBA" w:rsidP="00645545">
      <w:pPr>
        <w:spacing w:line="360" w:lineRule="auto"/>
        <w:jc w:val="both"/>
        <w:rPr>
          <w:rFonts w:eastAsia="Calibri" w:cs="Arial"/>
          <w:lang w:eastAsia="en-US"/>
        </w:rPr>
      </w:pPr>
      <w:r w:rsidRPr="00645545">
        <w:rPr>
          <w:rFonts w:eastAsia="Calibri" w:cs="Arial"/>
          <w:b/>
          <w:lang w:eastAsia="en-US"/>
        </w:rPr>
        <w:t>3.4)</w:t>
      </w:r>
      <w:r w:rsidRPr="00645545">
        <w:rPr>
          <w:rFonts w:eastAsia="Calibri" w:cs="Arial"/>
          <w:lang w:eastAsia="en-US"/>
        </w:rPr>
        <w:t xml:space="preserve"> En relación a los Deudores Comerciales, se constató que:</w:t>
      </w:r>
    </w:p>
    <w:p w:rsidR="00821DBA" w:rsidRPr="00645545" w:rsidRDefault="00821DBA" w:rsidP="00645545">
      <w:pPr>
        <w:spacing w:line="360" w:lineRule="auto"/>
        <w:jc w:val="both"/>
        <w:rPr>
          <w:rFonts w:eastAsia="Calibri" w:cs="Arial"/>
          <w:lang w:eastAsia="en-US"/>
        </w:rPr>
      </w:pPr>
    </w:p>
    <w:p w:rsidR="00821DBA" w:rsidRDefault="00821DBA" w:rsidP="00645545">
      <w:pPr>
        <w:spacing w:line="360" w:lineRule="auto"/>
        <w:jc w:val="both"/>
        <w:rPr>
          <w:rFonts w:eastAsia="Calibri" w:cs="Arial"/>
          <w:lang w:eastAsia="en-US"/>
        </w:rPr>
      </w:pPr>
      <w:r w:rsidRPr="00645545">
        <w:rPr>
          <w:rFonts w:eastAsia="Calibri" w:cs="Arial"/>
          <w:b/>
          <w:lang w:eastAsia="en-US"/>
        </w:rPr>
        <w:t>3.4.1)</w:t>
      </w:r>
      <w:r w:rsidRPr="00645545">
        <w:rPr>
          <w:rFonts w:eastAsia="Calibri" w:cs="Arial"/>
          <w:lang w:eastAsia="en-US"/>
        </w:rPr>
        <w:t xml:space="preserve"> La Previsión para Deudores Inc</w:t>
      </w:r>
      <w:r>
        <w:rPr>
          <w:rFonts w:eastAsia="Calibri" w:cs="Arial"/>
          <w:lang w:eastAsia="en-US"/>
        </w:rPr>
        <w:t>obrables está sobrevaluada en $2:</w:t>
      </w:r>
      <w:r w:rsidRPr="00645545">
        <w:rPr>
          <w:rFonts w:eastAsia="Calibri" w:cs="Arial"/>
          <w:lang w:eastAsia="en-US"/>
        </w:rPr>
        <w:t>354.823, dado que se cobraron deudas por ese importe, que no fueron deducidas de la previsión.</w:t>
      </w:r>
    </w:p>
    <w:p w:rsidR="00821DBA" w:rsidRPr="00645545" w:rsidRDefault="00821DBA" w:rsidP="00645545">
      <w:pPr>
        <w:spacing w:line="360" w:lineRule="auto"/>
        <w:jc w:val="both"/>
        <w:rPr>
          <w:rFonts w:eastAsia="Calibri" w:cs="Arial"/>
          <w:lang w:eastAsia="en-US"/>
        </w:rPr>
      </w:pPr>
    </w:p>
    <w:p w:rsidR="00821DBA" w:rsidRDefault="00821DBA" w:rsidP="00645545">
      <w:pPr>
        <w:spacing w:line="360" w:lineRule="auto"/>
        <w:jc w:val="both"/>
        <w:rPr>
          <w:rFonts w:eastAsia="Calibri" w:cs="Arial"/>
          <w:lang w:eastAsia="en-US"/>
        </w:rPr>
      </w:pPr>
      <w:r w:rsidRPr="00645545">
        <w:rPr>
          <w:rFonts w:eastAsia="Calibri" w:cs="Arial"/>
          <w:b/>
          <w:lang w:eastAsia="en-US"/>
        </w:rPr>
        <w:t>3.4.2)</w:t>
      </w:r>
      <w:r w:rsidRPr="00645545">
        <w:rPr>
          <w:rFonts w:eastAsia="Calibri" w:cs="Arial"/>
          <w:lang w:eastAsia="en-US"/>
        </w:rPr>
        <w:t xml:space="preserve"> Los Deudores en Gestión y su correspondiente previsión totalizaron          </w:t>
      </w:r>
      <w:r>
        <w:rPr>
          <w:rFonts w:eastAsia="Calibri" w:cs="Arial"/>
          <w:lang w:eastAsia="en-US"/>
        </w:rPr>
        <w:t xml:space="preserve">         $ 3:363.083 y $ (1:</w:t>
      </w:r>
      <w:r w:rsidRPr="00645545">
        <w:rPr>
          <w:rFonts w:eastAsia="Calibri" w:cs="Arial"/>
          <w:lang w:eastAsia="en-US"/>
        </w:rPr>
        <w:t xml:space="preserve">524.740) respectivamente al 31/12/2015. En la Nota 4 a los Estados Financieros, se expresa que la Previsión para Deudores en Gestión corresponde a los créditos que se encuentran en gestión de cobro por parte de la División Asesoría Jurídica. No obstante, los deudores </w:t>
      </w:r>
      <w:proofErr w:type="spellStart"/>
      <w:r w:rsidRPr="00645545">
        <w:rPr>
          <w:rFonts w:eastAsia="Calibri" w:cs="Arial"/>
          <w:lang w:eastAsia="en-US"/>
        </w:rPr>
        <w:t>previsionados</w:t>
      </w:r>
      <w:proofErr w:type="spellEnd"/>
      <w:r w:rsidRPr="00645545">
        <w:rPr>
          <w:rFonts w:eastAsia="Calibri" w:cs="Arial"/>
          <w:lang w:eastAsia="en-US"/>
        </w:rPr>
        <w:t xml:space="preserve"> no están siendo gestionados por dicha División.</w:t>
      </w:r>
    </w:p>
    <w:p w:rsidR="00821DBA" w:rsidRPr="00645545" w:rsidRDefault="00821DBA" w:rsidP="00645545">
      <w:pPr>
        <w:spacing w:line="360" w:lineRule="auto"/>
        <w:jc w:val="both"/>
        <w:rPr>
          <w:rFonts w:eastAsia="Calibri" w:cs="Arial"/>
          <w:lang w:eastAsia="en-US"/>
        </w:rPr>
      </w:pPr>
      <w:r w:rsidRPr="00645545">
        <w:rPr>
          <w:rFonts w:eastAsia="Calibri" w:cs="Arial"/>
          <w:lang w:eastAsia="en-US"/>
        </w:rPr>
        <w:t xml:space="preserve"> </w:t>
      </w:r>
    </w:p>
    <w:p w:rsidR="00821DBA" w:rsidRDefault="00821DBA" w:rsidP="00645545">
      <w:pPr>
        <w:spacing w:line="360" w:lineRule="auto"/>
        <w:jc w:val="both"/>
        <w:rPr>
          <w:rFonts w:eastAsia="Calibri" w:cs="Arial"/>
          <w:lang w:eastAsia="en-US"/>
        </w:rPr>
      </w:pPr>
      <w:r w:rsidRPr="00645545">
        <w:rPr>
          <w:rFonts w:eastAsia="Calibri" w:cs="Arial"/>
          <w:b/>
          <w:lang w:eastAsia="en-US"/>
        </w:rPr>
        <w:t xml:space="preserve">3.4.3) </w:t>
      </w:r>
      <w:r w:rsidRPr="00645545">
        <w:rPr>
          <w:rFonts w:eastAsia="Calibri" w:cs="Arial"/>
          <w:lang w:eastAsia="en-US"/>
        </w:rPr>
        <w:t xml:space="preserve">Se constataron facturas a cobrar a PLUNA S.A. por </w:t>
      </w:r>
      <w:r>
        <w:rPr>
          <w:rFonts w:eastAsia="Calibri" w:cs="Arial"/>
          <w:lang w:eastAsia="en-US"/>
        </w:rPr>
        <w:t>un total de                 $ 1:</w:t>
      </w:r>
      <w:r w:rsidRPr="00645545">
        <w:rPr>
          <w:rFonts w:eastAsia="Calibri" w:cs="Arial"/>
          <w:lang w:eastAsia="en-US"/>
        </w:rPr>
        <w:t xml:space="preserve">840.199, que si bien está siendo gestionado su cobro, las mismas no fueron </w:t>
      </w:r>
      <w:proofErr w:type="spellStart"/>
      <w:r w:rsidRPr="00645545">
        <w:rPr>
          <w:rFonts w:eastAsia="Calibri" w:cs="Arial"/>
          <w:lang w:eastAsia="en-US"/>
        </w:rPr>
        <w:t>previsionadas</w:t>
      </w:r>
      <w:proofErr w:type="spellEnd"/>
      <w:r w:rsidRPr="00645545">
        <w:rPr>
          <w:rFonts w:eastAsia="Calibri" w:cs="Arial"/>
          <w:lang w:eastAsia="en-US"/>
        </w:rPr>
        <w:t>.</w:t>
      </w:r>
    </w:p>
    <w:p w:rsidR="00821DBA" w:rsidRPr="00645545" w:rsidRDefault="00821DBA" w:rsidP="00645545">
      <w:pPr>
        <w:spacing w:line="360" w:lineRule="auto"/>
        <w:jc w:val="both"/>
        <w:rPr>
          <w:rFonts w:eastAsia="Calibri" w:cs="Arial"/>
          <w:b/>
          <w:lang w:eastAsia="en-US"/>
        </w:rPr>
      </w:pPr>
    </w:p>
    <w:p w:rsidR="00821DBA" w:rsidRPr="00645545" w:rsidRDefault="00821DBA" w:rsidP="00645545">
      <w:pPr>
        <w:spacing w:line="360" w:lineRule="auto"/>
        <w:jc w:val="both"/>
        <w:rPr>
          <w:rFonts w:eastAsia="Calibri" w:cs="Arial"/>
          <w:lang w:eastAsia="en-US"/>
        </w:rPr>
      </w:pPr>
      <w:r w:rsidRPr="00645545">
        <w:rPr>
          <w:rFonts w:eastAsia="Calibri" w:cs="Arial"/>
          <w:b/>
          <w:lang w:eastAsia="en-US"/>
        </w:rPr>
        <w:t>3.5)</w:t>
      </w:r>
      <w:r w:rsidRPr="00645545">
        <w:rPr>
          <w:rFonts w:eastAsia="Calibri" w:cs="Arial"/>
          <w:lang w:eastAsia="en-US"/>
        </w:rPr>
        <w:t xml:space="preserve">    En la Nota 5 a los Estados Financieros, con referencia a Otras Cuentas a Cobrar que totalizaron</w:t>
      </w:r>
      <w:r>
        <w:rPr>
          <w:rFonts w:eastAsia="Calibri" w:cs="Arial"/>
          <w:lang w:eastAsia="en-US"/>
        </w:rPr>
        <w:t xml:space="preserve"> $ 2:</w:t>
      </w:r>
      <w:r w:rsidRPr="00645545">
        <w:rPr>
          <w:rFonts w:eastAsia="Calibri" w:cs="Arial"/>
          <w:lang w:eastAsia="en-US"/>
        </w:rPr>
        <w:t xml:space="preserve">364.807, se expresa que “corresponden sustancialmente a depósitos de terceros que constituyen garantías en moneda nacional y extranjera”. </w:t>
      </w:r>
    </w:p>
    <w:p w:rsidR="00821DBA" w:rsidRDefault="00821DBA" w:rsidP="00645545">
      <w:pPr>
        <w:spacing w:line="360" w:lineRule="auto"/>
        <w:jc w:val="both"/>
        <w:rPr>
          <w:rFonts w:eastAsia="Calibri" w:cs="Arial"/>
          <w:lang w:eastAsia="en-US"/>
        </w:rPr>
      </w:pPr>
      <w:r w:rsidRPr="00645545">
        <w:rPr>
          <w:rFonts w:eastAsia="Calibri" w:cs="Arial"/>
          <w:lang w:eastAsia="en-US"/>
        </w:rPr>
        <w:t xml:space="preserve">No obstante, se constató que en dicho rubro se registran los depósitos en garantía que constituye la Administración Nacional de Correos a favor de terceros y anticipos a proveedores. </w:t>
      </w:r>
    </w:p>
    <w:p w:rsidR="00821DBA" w:rsidRPr="00645545" w:rsidRDefault="00821DBA" w:rsidP="00645545">
      <w:pPr>
        <w:spacing w:line="360" w:lineRule="auto"/>
        <w:jc w:val="both"/>
        <w:rPr>
          <w:rFonts w:eastAsia="Calibri" w:cs="Arial"/>
          <w:lang w:eastAsia="en-US"/>
        </w:rPr>
      </w:pPr>
    </w:p>
    <w:p w:rsidR="00821DBA" w:rsidRDefault="00821DBA" w:rsidP="00645545">
      <w:pPr>
        <w:spacing w:line="360" w:lineRule="auto"/>
        <w:jc w:val="both"/>
        <w:rPr>
          <w:rFonts w:eastAsia="Calibri" w:cs="Arial"/>
          <w:lang w:eastAsia="en-US"/>
        </w:rPr>
      </w:pPr>
      <w:r w:rsidRPr="00645545">
        <w:rPr>
          <w:rFonts w:eastAsia="Calibri" w:cs="Arial"/>
          <w:b/>
          <w:lang w:eastAsia="en-US"/>
        </w:rPr>
        <w:t>3.6)</w:t>
      </w:r>
      <w:r w:rsidRPr="00645545">
        <w:rPr>
          <w:rFonts w:eastAsia="Calibri" w:cs="Arial"/>
          <w:lang w:eastAsia="en-US"/>
        </w:rPr>
        <w:t xml:space="preserve"> En la Nota 18 a los Estados Financieros, en relación a Cuentas de Orden y Contingencias, las fianzas en moneda extranjera se exponen por el equivalente de </w:t>
      </w:r>
      <w:r>
        <w:rPr>
          <w:rFonts w:eastAsia="Calibri" w:cs="Arial"/>
          <w:lang w:eastAsia="en-US"/>
        </w:rPr>
        <w:t>$ 4:</w:t>
      </w:r>
      <w:r w:rsidRPr="00645545">
        <w:rPr>
          <w:rFonts w:eastAsia="Calibri" w:cs="Arial"/>
          <w:lang w:eastAsia="en-US"/>
        </w:rPr>
        <w:t xml:space="preserve">220.492, cuando su importe correcto  es </w:t>
      </w:r>
      <w:r>
        <w:rPr>
          <w:rFonts w:eastAsia="Calibri" w:cs="Arial"/>
          <w:lang w:eastAsia="en-US"/>
        </w:rPr>
        <w:t>$ 5:</w:t>
      </w:r>
      <w:r w:rsidRPr="00645545">
        <w:rPr>
          <w:rFonts w:eastAsia="Calibri" w:cs="Arial"/>
          <w:lang w:eastAsia="en-US"/>
        </w:rPr>
        <w:t>081.487. Para la conversión  en moneda nacional no se consideró el tipo de cambio de cierre del</w:t>
      </w:r>
      <w:r>
        <w:rPr>
          <w:rFonts w:eastAsia="Calibri" w:cs="Arial"/>
          <w:lang w:eastAsia="en-US"/>
        </w:rPr>
        <w:t xml:space="preserve"> E</w:t>
      </w:r>
      <w:r w:rsidRPr="00645545">
        <w:rPr>
          <w:rFonts w:eastAsia="Calibri" w:cs="Arial"/>
          <w:lang w:eastAsia="en-US"/>
        </w:rPr>
        <w:t xml:space="preserve">jercicio, por lo que  las fianzas mencionadas se exponen subvaluadas en $ 860.995. </w:t>
      </w:r>
    </w:p>
    <w:p w:rsidR="00821DBA" w:rsidRPr="00645545" w:rsidRDefault="00821DBA" w:rsidP="00645545">
      <w:pPr>
        <w:spacing w:line="360" w:lineRule="auto"/>
        <w:jc w:val="both"/>
        <w:rPr>
          <w:rFonts w:eastAsia="Calibri" w:cs="Arial"/>
          <w:lang w:eastAsia="en-US"/>
        </w:rPr>
      </w:pPr>
    </w:p>
    <w:p w:rsidR="00821DBA" w:rsidRPr="00645545" w:rsidRDefault="00821DBA" w:rsidP="00645545">
      <w:pPr>
        <w:spacing w:after="200" w:line="360" w:lineRule="auto"/>
        <w:jc w:val="both"/>
        <w:rPr>
          <w:rFonts w:eastAsia="Calibri" w:cs="Arial"/>
          <w:lang w:eastAsia="en-US"/>
        </w:rPr>
      </w:pPr>
      <w:r w:rsidRPr="00645545">
        <w:rPr>
          <w:rFonts w:eastAsia="Calibri" w:cs="Arial"/>
          <w:b/>
          <w:lang w:eastAsia="en-US"/>
        </w:rPr>
        <w:t>3.7)</w:t>
      </w:r>
      <w:r w:rsidRPr="00645545">
        <w:rPr>
          <w:rFonts w:eastAsia="Calibri" w:cs="Arial"/>
          <w:lang w:eastAsia="en-US"/>
        </w:rPr>
        <w:t xml:space="preserve"> En la Nota 13 a los Estados Financieros, relacionada con Ingresos, se expone la apertura por Ingresos Operativos, Financieros y Diversos. Los Ingresos Operativos representan un 93,53% del total de los ingresos del Organismo y no se revelan los conceptos más significativos que conforman el rubro, de acuerdo con la Sección 23.30 de la NIIF para PYMES. </w:t>
      </w:r>
    </w:p>
    <w:p w:rsidR="00821DBA" w:rsidRPr="00645545" w:rsidRDefault="00821DBA" w:rsidP="00645545">
      <w:pPr>
        <w:spacing w:after="200" w:line="360" w:lineRule="auto"/>
        <w:jc w:val="both"/>
        <w:rPr>
          <w:rFonts w:eastAsia="Calibri" w:cs="Arial"/>
          <w:lang w:eastAsia="en-US"/>
        </w:rPr>
      </w:pPr>
      <w:r w:rsidRPr="00645545">
        <w:rPr>
          <w:rFonts w:eastAsia="Calibri" w:cs="Arial"/>
          <w:b/>
          <w:lang w:eastAsia="en-US"/>
        </w:rPr>
        <w:t>3.8)</w:t>
      </w:r>
      <w:r w:rsidRPr="00645545">
        <w:rPr>
          <w:rFonts w:eastAsia="Calibri" w:cs="Arial"/>
          <w:lang w:eastAsia="en-US"/>
        </w:rPr>
        <w:t xml:space="preserve"> </w:t>
      </w:r>
      <w:r>
        <w:rPr>
          <w:rFonts w:eastAsia="Calibri" w:cs="Arial"/>
          <w:lang w:eastAsia="en-US"/>
        </w:rPr>
        <w:t>En el E</w:t>
      </w:r>
      <w:r w:rsidRPr="00645545">
        <w:rPr>
          <w:rFonts w:eastAsia="Calibri" w:cs="Arial"/>
          <w:lang w:eastAsia="en-US"/>
        </w:rPr>
        <w:t xml:space="preserve">jercicio bajo examen, el Sistema de Stock de Valores no estuvo habilitado en la Unidad de Preservación del Patrimonio Filatélico, el mismo se puso en producción en el mes de setiembre de 2016, por lo que se deben ingresar los valores postales en poder de dicha oficina al sistema mencionado. </w:t>
      </w:r>
    </w:p>
    <w:p w:rsidR="00821DBA" w:rsidRPr="00645545" w:rsidRDefault="00821DBA" w:rsidP="00645545">
      <w:pPr>
        <w:spacing w:after="200" w:line="360" w:lineRule="auto"/>
        <w:jc w:val="both"/>
        <w:rPr>
          <w:rFonts w:eastAsia="Calibri" w:cs="Arial"/>
          <w:lang w:eastAsia="en-US"/>
        </w:rPr>
      </w:pPr>
      <w:r w:rsidRPr="00645545">
        <w:rPr>
          <w:rFonts w:eastAsia="Calibri" w:cs="Arial"/>
          <w:lang w:eastAsia="en-US"/>
        </w:rPr>
        <w:t>Asimismo, se constató que el último recuento físico realizado en dicha Unidad fue en el ejercicio 2011, correspondiendo destacar que en esa dependencia se encuentran las colecciones nacionales e internacionales</w:t>
      </w:r>
    </w:p>
    <w:p w:rsidR="00821DBA" w:rsidRPr="00645545" w:rsidRDefault="00821DBA" w:rsidP="00645545">
      <w:pPr>
        <w:spacing w:after="200" w:line="360" w:lineRule="auto"/>
        <w:jc w:val="both"/>
        <w:rPr>
          <w:rFonts w:eastAsia="Calibri" w:cs="Arial"/>
          <w:lang w:eastAsia="en-US"/>
        </w:rPr>
      </w:pPr>
      <w:r w:rsidRPr="00645545">
        <w:rPr>
          <w:rFonts w:eastAsia="Calibri" w:cs="Arial"/>
          <w:b/>
          <w:lang w:eastAsia="en-US"/>
        </w:rPr>
        <w:t>3.9)</w:t>
      </w:r>
      <w:r w:rsidRPr="00645545">
        <w:rPr>
          <w:rFonts w:eastAsia="Calibri" w:cs="Arial"/>
          <w:lang w:eastAsia="en-US"/>
        </w:rPr>
        <w:t xml:space="preserve"> En el Departamento de Valores se constató que:</w:t>
      </w:r>
    </w:p>
    <w:p w:rsidR="00821DBA" w:rsidRPr="00645545" w:rsidRDefault="00821DBA" w:rsidP="00645545">
      <w:pPr>
        <w:spacing w:after="200" w:line="360" w:lineRule="auto"/>
        <w:jc w:val="both"/>
        <w:rPr>
          <w:rFonts w:eastAsia="Calibri" w:cs="Arial"/>
          <w:lang w:eastAsia="en-US"/>
        </w:rPr>
      </w:pPr>
      <w:r w:rsidRPr="00645545">
        <w:rPr>
          <w:rFonts w:eastAsia="Calibri" w:cs="Arial"/>
          <w:b/>
          <w:lang w:eastAsia="en-US"/>
        </w:rPr>
        <w:t xml:space="preserve">3.9.1) </w:t>
      </w:r>
      <w:r w:rsidRPr="00645545">
        <w:rPr>
          <w:rFonts w:eastAsia="Calibri" w:cs="Arial"/>
          <w:lang w:eastAsia="en-US"/>
        </w:rPr>
        <w:t xml:space="preserve">No existe una adecuada segregación de funciones ya que las funcionarias del departamento registran la totalidad de los movimientos de valores. </w:t>
      </w:r>
    </w:p>
    <w:p w:rsidR="00821DBA" w:rsidRPr="00645545" w:rsidRDefault="00821DBA" w:rsidP="00645545">
      <w:pPr>
        <w:spacing w:after="200" w:line="360" w:lineRule="auto"/>
        <w:jc w:val="both"/>
        <w:rPr>
          <w:rFonts w:eastAsia="Calibri" w:cs="Arial"/>
          <w:lang w:eastAsia="en-US"/>
        </w:rPr>
      </w:pPr>
      <w:r w:rsidRPr="00645545">
        <w:rPr>
          <w:rFonts w:eastAsia="Calibri" w:cs="Arial"/>
          <w:b/>
          <w:lang w:eastAsia="en-US"/>
        </w:rPr>
        <w:t>3.9.2)</w:t>
      </w:r>
      <w:r w:rsidRPr="00645545">
        <w:rPr>
          <w:rFonts w:eastAsia="Calibri" w:cs="Arial"/>
          <w:lang w:eastAsia="en-US"/>
        </w:rPr>
        <w:t xml:space="preserve"> Si bien el Sistema de Stock de Valores está habilitado y se cuenta con el saldo de los valores en cantidad y por tipo de valor,  no presenta el saldo en moneda nacional de los mismos.</w:t>
      </w:r>
    </w:p>
    <w:p w:rsidR="00821DBA" w:rsidRPr="00645545" w:rsidRDefault="00821DBA" w:rsidP="00645545">
      <w:pPr>
        <w:spacing w:after="200" w:line="360" w:lineRule="auto"/>
        <w:jc w:val="both"/>
        <w:rPr>
          <w:rFonts w:eastAsia="Calibri" w:cs="Arial"/>
          <w:lang w:eastAsia="en-US"/>
        </w:rPr>
      </w:pPr>
      <w:r w:rsidRPr="00645545">
        <w:rPr>
          <w:rFonts w:eastAsia="Calibri" w:cs="Arial"/>
          <w:b/>
          <w:lang w:eastAsia="en-US"/>
        </w:rPr>
        <w:t>3.9.3)</w:t>
      </w:r>
      <w:r w:rsidRPr="00645545">
        <w:rPr>
          <w:rFonts w:eastAsia="Calibri" w:cs="Arial"/>
          <w:lang w:eastAsia="en-US"/>
        </w:rPr>
        <w:t xml:space="preserve"> Los documentos de transferencia y de entrega de valores a locales de la ANC, se emiten desde una planilla Excel con el logo de la Administración y se numeran manualmente. Dichos documentos no se obtienen del Sistema de Stock de Valores.</w:t>
      </w:r>
    </w:p>
    <w:p w:rsidR="00821DBA" w:rsidRPr="00645545" w:rsidRDefault="00821DBA" w:rsidP="00645545">
      <w:pPr>
        <w:spacing w:after="200" w:line="360" w:lineRule="auto"/>
        <w:jc w:val="both"/>
        <w:rPr>
          <w:rFonts w:eastAsia="Calibri" w:cs="Arial"/>
          <w:lang w:eastAsia="en-US"/>
        </w:rPr>
      </w:pPr>
      <w:r w:rsidRPr="00645545">
        <w:rPr>
          <w:rFonts w:eastAsia="Calibri" w:cs="Arial"/>
          <w:b/>
          <w:lang w:eastAsia="en-US"/>
        </w:rPr>
        <w:t>3.10)</w:t>
      </w:r>
      <w:r w:rsidRPr="00645545">
        <w:rPr>
          <w:rFonts w:eastAsia="Calibri" w:cs="Arial"/>
          <w:lang w:eastAsia="en-US"/>
        </w:rPr>
        <w:t xml:space="preserve"> En el punto b) de la nota 7 a los Estados Financieros relacionada con Bienes de Uso en Comod</w:t>
      </w:r>
      <w:r>
        <w:rPr>
          <w:rFonts w:eastAsia="Calibri" w:cs="Arial"/>
          <w:lang w:eastAsia="en-US"/>
        </w:rPr>
        <w:t>ato, no se expone el Padrón  N°</w:t>
      </w:r>
      <w:r w:rsidRPr="00645545">
        <w:rPr>
          <w:rFonts w:eastAsia="Calibri" w:cs="Arial"/>
          <w:lang w:eastAsia="en-US"/>
        </w:rPr>
        <w:t xml:space="preserve"> 111 ubicado en el Departamento de Paysandú.</w:t>
      </w:r>
    </w:p>
    <w:p w:rsidR="00821DBA" w:rsidRPr="00645545" w:rsidRDefault="00821DBA" w:rsidP="00645545">
      <w:pPr>
        <w:spacing w:after="200"/>
        <w:jc w:val="both"/>
        <w:rPr>
          <w:rFonts w:eastAsia="Calibri" w:cs="Arial"/>
          <w:b/>
          <w:lang w:eastAsia="en-US"/>
        </w:rPr>
      </w:pPr>
      <w:r w:rsidRPr="00645545">
        <w:rPr>
          <w:rFonts w:eastAsia="Calibri" w:cs="Arial"/>
          <w:b/>
          <w:lang w:eastAsia="en-US"/>
        </w:rPr>
        <w:t>4.   Recomendaciones</w:t>
      </w:r>
    </w:p>
    <w:p w:rsidR="00821DBA" w:rsidRPr="00645545" w:rsidRDefault="00821DBA" w:rsidP="00645545">
      <w:pPr>
        <w:spacing w:after="200"/>
        <w:jc w:val="both"/>
        <w:rPr>
          <w:rFonts w:eastAsia="Calibri" w:cs="Arial"/>
          <w:b/>
          <w:lang w:eastAsia="en-US"/>
        </w:rPr>
      </w:pPr>
      <w:r w:rsidRPr="00645545">
        <w:rPr>
          <w:rFonts w:eastAsia="Calibri" w:cs="Arial"/>
          <w:b/>
          <w:lang w:eastAsia="en-US"/>
        </w:rPr>
        <w:t>4.1 Recomendaciones de ejercicios anteriores</w:t>
      </w:r>
    </w:p>
    <w:p w:rsidR="00821DBA" w:rsidRPr="00645545" w:rsidRDefault="00821DBA" w:rsidP="00645545">
      <w:pPr>
        <w:spacing w:after="200"/>
        <w:jc w:val="both"/>
        <w:rPr>
          <w:rFonts w:eastAsia="Calibri" w:cs="Arial"/>
          <w:b/>
          <w:lang w:eastAsia="en-US"/>
        </w:rPr>
      </w:pPr>
      <w:r w:rsidRPr="00645545">
        <w:rPr>
          <w:rFonts w:eastAsia="Calibri" w:cs="Arial"/>
          <w:b/>
          <w:lang w:eastAsia="en-US"/>
        </w:rPr>
        <w:t>4.1.1 No cumplidos</w:t>
      </w:r>
    </w:p>
    <w:p w:rsidR="00821DBA" w:rsidRPr="00645545" w:rsidRDefault="00821DBA" w:rsidP="00645545">
      <w:pPr>
        <w:spacing w:after="200" w:line="360" w:lineRule="auto"/>
        <w:jc w:val="both"/>
        <w:rPr>
          <w:rFonts w:eastAsia="Calibri" w:cs="Arial"/>
          <w:lang w:eastAsia="en-US"/>
        </w:rPr>
      </w:pPr>
      <w:r w:rsidRPr="00645545">
        <w:rPr>
          <w:rFonts w:eastAsia="Calibri" w:cs="Arial"/>
          <w:lang w:eastAsia="en-US"/>
        </w:rPr>
        <w:t>La ANC no ha implementado medidas correctivas en procura de:</w:t>
      </w:r>
    </w:p>
    <w:p w:rsidR="00821DBA" w:rsidRPr="00645545" w:rsidRDefault="00821DBA" w:rsidP="00645545">
      <w:pPr>
        <w:numPr>
          <w:ilvl w:val="0"/>
          <w:numId w:val="1"/>
        </w:numPr>
        <w:spacing w:after="200" w:line="360" w:lineRule="auto"/>
        <w:jc w:val="both"/>
        <w:rPr>
          <w:rFonts w:eastAsia="Calibri" w:cs="Arial"/>
          <w:lang w:eastAsia="en-US"/>
        </w:rPr>
      </w:pPr>
      <w:r w:rsidRPr="00645545">
        <w:rPr>
          <w:rFonts w:eastAsia="Calibri" w:cs="Arial"/>
          <w:lang w:eastAsia="en-US"/>
        </w:rPr>
        <w:t>Regularizar el saldo contable de disponibilidades por el faltante constatado en la Caja Pagadora.</w:t>
      </w:r>
    </w:p>
    <w:p w:rsidR="00821DBA" w:rsidRPr="00645545" w:rsidRDefault="00821DBA" w:rsidP="00645545">
      <w:pPr>
        <w:numPr>
          <w:ilvl w:val="0"/>
          <w:numId w:val="1"/>
        </w:numPr>
        <w:spacing w:after="200" w:line="360" w:lineRule="auto"/>
        <w:jc w:val="both"/>
        <w:rPr>
          <w:rFonts w:eastAsia="Calibri" w:cs="Arial"/>
          <w:lang w:eastAsia="en-US"/>
        </w:rPr>
      </w:pPr>
      <w:r w:rsidRPr="00645545">
        <w:rPr>
          <w:rFonts w:eastAsia="Calibri" w:cs="Arial"/>
          <w:lang w:eastAsia="en-US"/>
        </w:rPr>
        <w:t xml:space="preserve">Implementar procedimientos por escrito para realizar los controles por parte de supervisores y jefes departamentales a quienes manejan fondos. </w:t>
      </w:r>
    </w:p>
    <w:p w:rsidR="00821DBA" w:rsidRPr="00645545" w:rsidRDefault="00821DBA" w:rsidP="00645545">
      <w:pPr>
        <w:numPr>
          <w:ilvl w:val="0"/>
          <w:numId w:val="1"/>
        </w:numPr>
        <w:spacing w:after="200" w:line="360" w:lineRule="auto"/>
        <w:jc w:val="both"/>
        <w:rPr>
          <w:rFonts w:eastAsia="Calibri" w:cs="Arial"/>
          <w:lang w:eastAsia="en-US"/>
        </w:rPr>
      </w:pPr>
      <w:r w:rsidRPr="00645545">
        <w:rPr>
          <w:rFonts w:eastAsia="Calibri" w:cs="Arial"/>
          <w:lang w:eastAsia="en-US"/>
        </w:rPr>
        <w:t xml:space="preserve">Realizar arqueos en forma periódica en las sucursales del Organismo. </w:t>
      </w:r>
    </w:p>
    <w:p w:rsidR="00821DBA" w:rsidRPr="00645545" w:rsidRDefault="00821DBA" w:rsidP="00645545">
      <w:pPr>
        <w:numPr>
          <w:ilvl w:val="0"/>
          <w:numId w:val="1"/>
        </w:numPr>
        <w:spacing w:after="200" w:line="360" w:lineRule="auto"/>
        <w:jc w:val="both"/>
        <w:rPr>
          <w:rFonts w:eastAsia="Calibri" w:cs="Arial"/>
          <w:lang w:eastAsia="en-US"/>
        </w:rPr>
      </w:pPr>
      <w:r w:rsidRPr="00645545">
        <w:rPr>
          <w:rFonts w:eastAsia="Calibri" w:cs="Arial"/>
          <w:lang w:eastAsia="en-US"/>
        </w:rPr>
        <w:t>Enviar los antecedentes en tiempo y forma a la División Asesoría Jurídica de ANC, de los deudores privados que mantienen facturas vencidas con una antigüedad mayor a cien días.</w:t>
      </w:r>
    </w:p>
    <w:p w:rsidR="00821DBA" w:rsidRPr="00645545" w:rsidRDefault="00821DBA" w:rsidP="00645545">
      <w:pPr>
        <w:numPr>
          <w:ilvl w:val="0"/>
          <w:numId w:val="1"/>
        </w:numPr>
        <w:spacing w:after="200" w:line="360" w:lineRule="auto"/>
        <w:jc w:val="both"/>
        <w:rPr>
          <w:rFonts w:eastAsia="Calibri" w:cs="Arial"/>
          <w:lang w:eastAsia="en-US"/>
        </w:rPr>
      </w:pPr>
      <w:r w:rsidRPr="00645545">
        <w:rPr>
          <w:rFonts w:eastAsia="Calibri" w:cs="Arial"/>
          <w:lang w:eastAsia="en-US"/>
        </w:rPr>
        <w:t>Remitir a la Asesoría Jurídica la información relativa a los deu</w:t>
      </w:r>
      <w:r>
        <w:rPr>
          <w:rFonts w:eastAsia="Calibri" w:cs="Arial"/>
          <w:lang w:eastAsia="en-US"/>
        </w:rPr>
        <w:t>dores públicos, detallando los O</w:t>
      </w:r>
      <w:r w:rsidRPr="00645545">
        <w:rPr>
          <w:rFonts w:eastAsia="Calibri" w:cs="Arial"/>
          <w:lang w:eastAsia="en-US"/>
        </w:rPr>
        <w:t>rganismos, antigüedad y monto de las deudas atrasadas, y no se ha establecido por escrito el procedimiento para gestionar el cobro de deudas públicas atrasadas.</w:t>
      </w:r>
    </w:p>
    <w:p w:rsidR="00821DBA" w:rsidRPr="00645545" w:rsidRDefault="00821DBA" w:rsidP="00645545">
      <w:pPr>
        <w:numPr>
          <w:ilvl w:val="0"/>
          <w:numId w:val="1"/>
        </w:numPr>
        <w:spacing w:after="200" w:line="360" w:lineRule="auto"/>
        <w:jc w:val="both"/>
        <w:rPr>
          <w:rFonts w:eastAsia="Calibri" w:cs="Arial"/>
          <w:lang w:eastAsia="en-US"/>
        </w:rPr>
      </w:pPr>
      <w:r w:rsidRPr="00645545">
        <w:rPr>
          <w:rFonts w:eastAsia="Calibri" w:cs="Arial"/>
          <w:lang w:eastAsia="en-US"/>
        </w:rPr>
        <w:t>Establecer por escrito la forma y los plazos para suspender los servicios a clientes privados y públicos.</w:t>
      </w:r>
    </w:p>
    <w:p w:rsidR="00821DBA" w:rsidRPr="00645545" w:rsidRDefault="00821DBA" w:rsidP="00645545">
      <w:pPr>
        <w:numPr>
          <w:ilvl w:val="0"/>
          <w:numId w:val="1"/>
        </w:numPr>
        <w:spacing w:after="200" w:line="360" w:lineRule="auto"/>
        <w:jc w:val="both"/>
        <w:rPr>
          <w:rFonts w:eastAsia="Calibri" w:cs="Arial"/>
          <w:lang w:eastAsia="en-US"/>
        </w:rPr>
      </w:pPr>
      <w:r w:rsidRPr="00645545">
        <w:rPr>
          <w:rFonts w:eastAsia="Calibri" w:cs="Arial"/>
          <w:lang w:eastAsia="en-US"/>
        </w:rPr>
        <w:t>Completar la puesta en marcha de los distintos módulos del Sistema Stock de Valores, a efectos del registro íntegro de las operaciones.</w:t>
      </w:r>
    </w:p>
    <w:p w:rsidR="00821DBA" w:rsidRPr="00645545" w:rsidRDefault="00821DBA" w:rsidP="00645545">
      <w:pPr>
        <w:numPr>
          <w:ilvl w:val="0"/>
          <w:numId w:val="1"/>
        </w:numPr>
        <w:spacing w:after="200" w:line="360" w:lineRule="auto"/>
        <w:jc w:val="both"/>
        <w:rPr>
          <w:rFonts w:eastAsia="Calibri" w:cs="Arial"/>
          <w:lang w:eastAsia="en-US"/>
        </w:rPr>
      </w:pPr>
      <w:r w:rsidRPr="00645545">
        <w:rPr>
          <w:rFonts w:eastAsia="Calibri" w:cs="Arial"/>
          <w:lang w:eastAsia="en-US"/>
        </w:rPr>
        <w:t xml:space="preserve">Contratar seguros de incendio para los sellos que están en el Depósito de Valores y en la Unidad de Preservación del Patrimonio Filatélico. </w:t>
      </w:r>
    </w:p>
    <w:p w:rsidR="00821DBA" w:rsidRPr="00645545" w:rsidRDefault="00821DBA" w:rsidP="00645545">
      <w:pPr>
        <w:numPr>
          <w:ilvl w:val="0"/>
          <w:numId w:val="1"/>
        </w:numPr>
        <w:spacing w:after="200" w:line="360" w:lineRule="auto"/>
        <w:jc w:val="both"/>
        <w:rPr>
          <w:rFonts w:eastAsia="Calibri" w:cs="Arial"/>
          <w:lang w:eastAsia="en-US"/>
        </w:rPr>
      </w:pPr>
      <w:r w:rsidRPr="00645545">
        <w:rPr>
          <w:rFonts w:eastAsia="Calibri" w:cs="Arial"/>
          <w:lang w:eastAsia="en-US"/>
        </w:rPr>
        <w:t xml:space="preserve">Registrar la baja de la camioneta Mercedes Benz SOF 4788 de los Bienes de Uso. </w:t>
      </w:r>
    </w:p>
    <w:p w:rsidR="00821DBA" w:rsidRPr="00645545" w:rsidRDefault="00821DBA" w:rsidP="00645545">
      <w:pPr>
        <w:numPr>
          <w:ilvl w:val="0"/>
          <w:numId w:val="1"/>
        </w:numPr>
        <w:spacing w:after="200" w:line="360" w:lineRule="auto"/>
        <w:jc w:val="both"/>
        <w:rPr>
          <w:rFonts w:eastAsia="Calibri" w:cs="Arial"/>
          <w:lang w:eastAsia="en-US"/>
        </w:rPr>
      </w:pPr>
      <w:r w:rsidRPr="00645545">
        <w:rPr>
          <w:rFonts w:eastAsia="Calibri" w:cs="Arial"/>
          <w:lang w:eastAsia="en-US"/>
        </w:rPr>
        <w:t>Reflejar el resultado de los recuentos de existencias de hardware y software, por escrito y firmados por los responsables.</w:t>
      </w:r>
    </w:p>
    <w:p w:rsidR="00821DBA" w:rsidRPr="00645545" w:rsidRDefault="00821DBA" w:rsidP="00645545">
      <w:pPr>
        <w:numPr>
          <w:ilvl w:val="0"/>
          <w:numId w:val="1"/>
        </w:numPr>
        <w:spacing w:after="200" w:line="360" w:lineRule="auto"/>
        <w:jc w:val="both"/>
        <w:rPr>
          <w:rFonts w:eastAsia="Calibri" w:cs="Arial"/>
          <w:lang w:eastAsia="en-US"/>
        </w:rPr>
      </w:pPr>
      <w:r w:rsidRPr="00645545">
        <w:rPr>
          <w:rFonts w:eastAsia="Calibri" w:cs="Arial"/>
          <w:lang w:eastAsia="en-US"/>
        </w:rPr>
        <w:t>Dar de baja la moto Yamaha SOF 104 de los registros contables, una vez obtenida la autorización del Directorio del Organismo.</w:t>
      </w:r>
    </w:p>
    <w:p w:rsidR="00821DBA" w:rsidRPr="00645545" w:rsidRDefault="00821DBA" w:rsidP="00645545">
      <w:pPr>
        <w:numPr>
          <w:ilvl w:val="0"/>
          <w:numId w:val="1"/>
        </w:numPr>
        <w:spacing w:after="200" w:line="360" w:lineRule="auto"/>
        <w:jc w:val="both"/>
        <w:rPr>
          <w:rFonts w:eastAsia="Calibri" w:cs="Arial"/>
          <w:lang w:eastAsia="en-US"/>
        </w:rPr>
      </w:pPr>
      <w:r w:rsidRPr="00645545">
        <w:rPr>
          <w:rFonts w:eastAsia="Calibri" w:cs="Arial"/>
          <w:lang w:eastAsia="en-US"/>
        </w:rPr>
        <w:t xml:space="preserve">Realizar recuentos físicos de los Bienes de Uso. </w:t>
      </w:r>
    </w:p>
    <w:p w:rsidR="00821DBA" w:rsidRPr="00645545" w:rsidRDefault="00821DBA" w:rsidP="00645545">
      <w:pPr>
        <w:numPr>
          <w:ilvl w:val="0"/>
          <w:numId w:val="1"/>
        </w:numPr>
        <w:spacing w:after="200" w:line="360" w:lineRule="auto"/>
        <w:jc w:val="both"/>
        <w:rPr>
          <w:rFonts w:eastAsia="Calibri" w:cs="Arial"/>
          <w:lang w:eastAsia="en-US"/>
        </w:rPr>
      </w:pPr>
      <w:r>
        <w:rPr>
          <w:rFonts w:eastAsia="Calibri" w:cs="Arial"/>
          <w:lang w:eastAsia="en-US"/>
        </w:rPr>
        <w:t>Exponer los P</w:t>
      </w:r>
      <w:r w:rsidRPr="00645545">
        <w:rPr>
          <w:rFonts w:eastAsia="Calibri" w:cs="Arial"/>
          <w:lang w:eastAsia="en-US"/>
        </w:rPr>
        <w:t xml:space="preserve">adrones Nos. 186, 288, 434, 534, 558  y 1869 ubicados en los Departamentos de Lavalleja, Maldonado, Canelones, San José, Colonia y Rocha como cedidos en comodato. </w:t>
      </w:r>
    </w:p>
    <w:p w:rsidR="00821DBA" w:rsidRPr="00645545" w:rsidRDefault="00821DBA" w:rsidP="00645545">
      <w:pPr>
        <w:numPr>
          <w:ilvl w:val="0"/>
          <w:numId w:val="1"/>
        </w:numPr>
        <w:spacing w:after="200" w:line="360" w:lineRule="auto"/>
        <w:jc w:val="both"/>
        <w:rPr>
          <w:rFonts w:eastAsia="Calibri" w:cs="Arial"/>
          <w:lang w:eastAsia="en-US"/>
        </w:rPr>
      </w:pPr>
      <w:r w:rsidRPr="00645545">
        <w:rPr>
          <w:rFonts w:eastAsia="Calibri" w:cs="Arial"/>
          <w:lang w:eastAsia="en-US"/>
        </w:rPr>
        <w:t xml:space="preserve">Establecer procedimientos de control interno en el área Ingresos Operativos- Servicios Empresariales, que permitan verificar que todos los envíos están facturados y registrados contablemente. </w:t>
      </w:r>
    </w:p>
    <w:p w:rsidR="00821DBA" w:rsidRPr="00645545" w:rsidRDefault="00821DBA" w:rsidP="00645545">
      <w:pPr>
        <w:numPr>
          <w:ilvl w:val="0"/>
          <w:numId w:val="1"/>
        </w:numPr>
        <w:spacing w:after="200" w:line="360" w:lineRule="auto"/>
        <w:jc w:val="both"/>
        <w:rPr>
          <w:rFonts w:eastAsia="Calibri" w:cs="Arial"/>
          <w:lang w:eastAsia="en-US"/>
        </w:rPr>
      </w:pPr>
      <w:r w:rsidRPr="00645545">
        <w:rPr>
          <w:rFonts w:eastAsia="Calibri" w:cs="Arial"/>
          <w:lang w:eastAsia="en-US"/>
        </w:rPr>
        <w:t>Obtener el avalúo de la deuda con el Banco de Previsión Social (BPS) originada por aportes impagos de becarios en el período noviembre 2004 – abril 2006.</w:t>
      </w:r>
    </w:p>
    <w:p w:rsidR="00821DBA" w:rsidRPr="00645545" w:rsidRDefault="00821DBA" w:rsidP="00645545">
      <w:pPr>
        <w:numPr>
          <w:ilvl w:val="0"/>
          <w:numId w:val="1"/>
        </w:numPr>
        <w:spacing w:after="200" w:line="360" w:lineRule="auto"/>
        <w:jc w:val="both"/>
        <w:rPr>
          <w:rFonts w:eastAsia="Calibri" w:cs="Arial"/>
          <w:lang w:eastAsia="en-US"/>
        </w:rPr>
      </w:pPr>
      <w:r w:rsidRPr="00645545">
        <w:rPr>
          <w:rFonts w:eastAsia="Calibri" w:cs="Arial"/>
          <w:lang w:eastAsia="en-US"/>
        </w:rPr>
        <w:t>Documentar todas las ventas de bienes y servicios prestad</w:t>
      </w:r>
      <w:r>
        <w:rPr>
          <w:rFonts w:eastAsia="Calibri" w:cs="Arial"/>
          <w:lang w:eastAsia="en-US"/>
        </w:rPr>
        <w:t>os por el Organismo de acuerdo con</w:t>
      </w:r>
      <w:r w:rsidRPr="00645545">
        <w:rPr>
          <w:rFonts w:eastAsia="Calibri" w:cs="Arial"/>
          <w:lang w:eastAsia="en-US"/>
        </w:rPr>
        <w:t xml:space="preserve"> las normas legales vigentes.</w:t>
      </w:r>
    </w:p>
    <w:p w:rsidR="00821DBA" w:rsidRPr="00645545" w:rsidRDefault="00821DBA" w:rsidP="00645545">
      <w:pPr>
        <w:numPr>
          <w:ilvl w:val="0"/>
          <w:numId w:val="1"/>
        </w:numPr>
        <w:spacing w:after="200" w:line="360" w:lineRule="auto"/>
        <w:jc w:val="both"/>
        <w:rPr>
          <w:rFonts w:eastAsia="Calibri" w:cs="Arial"/>
          <w:lang w:eastAsia="en-US"/>
        </w:rPr>
      </w:pPr>
      <w:r w:rsidRPr="00645545">
        <w:rPr>
          <w:rFonts w:eastAsia="Calibri" w:cs="Arial"/>
          <w:lang w:eastAsia="en-US"/>
        </w:rPr>
        <w:t>Rediseñar el sistema de facturación para evitar la anulación de documentos, ingresar en el mismo la totalidad de los datos requeridos para la emisión de las facturas e implementar los mecanismos necesarios para verificar que todos los servicios sean facturados.</w:t>
      </w:r>
    </w:p>
    <w:p w:rsidR="00821DBA" w:rsidRPr="00645545" w:rsidRDefault="00821DBA" w:rsidP="00645545">
      <w:pPr>
        <w:spacing w:after="200" w:line="360" w:lineRule="auto"/>
        <w:jc w:val="both"/>
        <w:rPr>
          <w:rFonts w:eastAsia="Calibri" w:cs="Arial"/>
          <w:b/>
          <w:lang w:eastAsia="en-US"/>
        </w:rPr>
      </w:pPr>
      <w:r w:rsidRPr="00645545">
        <w:rPr>
          <w:rFonts w:eastAsia="Calibri" w:cs="Arial"/>
          <w:b/>
          <w:lang w:eastAsia="en-US"/>
        </w:rPr>
        <w:t>4.2</w:t>
      </w:r>
      <w:r w:rsidRPr="00645545">
        <w:rPr>
          <w:rFonts w:eastAsia="Calibri" w:cs="Arial"/>
          <w:b/>
          <w:lang w:eastAsia="en-US"/>
        </w:rPr>
        <w:tab/>
        <w:t xml:space="preserve"> Recomendaciones del p</w:t>
      </w:r>
      <w:r>
        <w:rPr>
          <w:rFonts w:eastAsia="Calibri" w:cs="Arial"/>
          <w:b/>
          <w:lang w:eastAsia="en-US"/>
        </w:rPr>
        <w:t>resente E</w:t>
      </w:r>
      <w:r w:rsidRPr="00645545">
        <w:rPr>
          <w:rFonts w:eastAsia="Calibri" w:cs="Arial"/>
          <w:b/>
          <w:lang w:eastAsia="en-US"/>
        </w:rPr>
        <w:t>jercicio</w:t>
      </w:r>
    </w:p>
    <w:p w:rsidR="00821DBA" w:rsidRPr="00645545" w:rsidRDefault="00821DBA" w:rsidP="00645545">
      <w:pPr>
        <w:spacing w:after="200" w:line="360" w:lineRule="auto"/>
        <w:jc w:val="both"/>
        <w:rPr>
          <w:rFonts w:eastAsia="Calibri" w:cs="Arial"/>
          <w:lang w:eastAsia="en-US"/>
        </w:rPr>
      </w:pPr>
      <w:r w:rsidRPr="00645545">
        <w:rPr>
          <w:rFonts w:eastAsia="Calibri" w:cs="Arial"/>
          <w:lang w:eastAsia="en-US"/>
        </w:rPr>
        <w:t>Además de las recomendaciones no cumplidas por p</w:t>
      </w:r>
      <w:r>
        <w:rPr>
          <w:rFonts w:eastAsia="Calibri" w:cs="Arial"/>
          <w:lang w:eastAsia="en-US"/>
        </w:rPr>
        <w:t>arte de la ANC, en el presente E</w:t>
      </w:r>
      <w:r w:rsidRPr="00645545">
        <w:rPr>
          <w:rFonts w:eastAsia="Calibri" w:cs="Arial"/>
          <w:lang w:eastAsia="en-US"/>
        </w:rPr>
        <w:t>jercicio se formulan las siguientes:</w:t>
      </w:r>
    </w:p>
    <w:p w:rsidR="00821DBA" w:rsidRPr="00645545" w:rsidRDefault="00821DBA" w:rsidP="00645545">
      <w:pPr>
        <w:numPr>
          <w:ilvl w:val="0"/>
          <w:numId w:val="1"/>
        </w:numPr>
        <w:spacing w:after="200" w:line="360" w:lineRule="auto"/>
        <w:jc w:val="both"/>
        <w:rPr>
          <w:rFonts w:eastAsia="Calibri" w:cs="Arial"/>
          <w:lang w:eastAsia="en-US"/>
        </w:rPr>
      </w:pPr>
      <w:r w:rsidRPr="00645545">
        <w:rPr>
          <w:rFonts w:eastAsia="Calibri" w:cs="Arial"/>
          <w:lang w:eastAsia="en-US"/>
        </w:rPr>
        <w:t>Verificar que el valor en libros de los Bienes de Uso no supere a</w:t>
      </w:r>
      <w:r>
        <w:rPr>
          <w:rFonts w:eastAsia="Calibri" w:cs="Arial"/>
          <w:lang w:eastAsia="en-US"/>
        </w:rPr>
        <w:t>l valor recuperable de acuerdo con</w:t>
      </w:r>
      <w:r w:rsidRPr="00645545">
        <w:rPr>
          <w:rFonts w:eastAsia="Calibri" w:cs="Arial"/>
          <w:lang w:eastAsia="en-US"/>
        </w:rPr>
        <w:t xml:space="preserve"> lo establecido en las Secciones 17 y 27 de la NIIF para Pymes. </w:t>
      </w:r>
      <w:r w:rsidRPr="00645545">
        <w:rPr>
          <w:rFonts w:eastAsia="Calibri" w:cs="Arial"/>
          <w:b/>
          <w:lang w:eastAsia="en-US"/>
        </w:rPr>
        <w:t>(3.2)</w:t>
      </w:r>
    </w:p>
    <w:p w:rsidR="00821DBA" w:rsidRPr="00645545" w:rsidRDefault="00821DBA" w:rsidP="00645545">
      <w:pPr>
        <w:numPr>
          <w:ilvl w:val="0"/>
          <w:numId w:val="1"/>
        </w:numPr>
        <w:spacing w:after="200" w:line="360" w:lineRule="auto"/>
        <w:jc w:val="both"/>
        <w:rPr>
          <w:rFonts w:eastAsia="Calibri" w:cs="Arial"/>
          <w:b/>
          <w:lang w:eastAsia="en-US"/>
        </w:rPr>
      </w:pPr>
      <w:r w:rsidRPr="00645545">
        <w:rPr>
          <w:rFonts w:eastAsia="Calibri" w:cs="Arial"/>
          <w:lang w:eastAsia="en-US"/>
        </w:rPr>
        <w:t xml:space="preserve">Analizar las inconsistencias en la información presentada correspondiente al Capítulo Patrimonio y revelar el concepto de “Reservas” en una nota explicativa a los Estados Financieros. </w:t>
      </w:r>
      <w:r w:rsidRPr="00645545">
        <w:rPr>
          <w:rFonts w:eastAsia="Calibri" w:cs="Arial"/>
          <w:b/>
          <w:lang w:eastAsia="en-US"/>
        </w:rPr>
        <w:t>(3.3)</w:t>
      </w:r>
    </w:p>
    <w:p w:rsidR="00821DBA" w:rsidRPr="00645545" w:rsidRDefault="00821DBA" w:rsidP="00645545">
      <w:pPr>
        <w:numPr>
          <w:ilvl w:val="0"/>
          <w:numId w:val="1"/>
        </w:numPr>
        <w:spacing w:after="200" w:line="360" w:lineRule="auto"/>
        <w:jc w:val="both"/>
        <w:rPr>
          <w:rFonts w:eastAsia="Calibri" w:cs="Arial"/>
          <w:b/>
          <w:lang w:eastAsia="en-US"/>
        </w:rPr>
      </w:pPr>
      <w:r w:rsidRPr="00645545">
        <w:rPr>
          <w:rFonts w:eastAsia="Calibri" w:cs="Arial"/>
          <w:lang w:eastAsia="en-US"/>
        </w:rPr>
        <w:t>Disminuir  la Previsión p</w:t>
      </w:r>
      <w:r>
        <w:rPr>
          <w:rFonts w:eastAsia="Calibri" w:cs="Arial"/>
          <w:lang w:eastAsia="en-US"/>
        </w:rPr>
        <w:t>or Deudores Incobrables por $ 2:</w:t>
      </w:r>
      <w:r w:rsidRPr="00645545">
        <w:rPr>
          <w:rFonts w:eastAsia="Calibri" w:cs="Arial"/>
          <w:lang w:eastAsia="en-US"/>
        </w:rPr>
        <w:t xml:space="preserve">354.823. </w:t>
      </w:r>
      <w:r w:rsidRPr="00645545">
        <w:rPr>
          <w:rFonts w:eastAsia="Calibri" w:cs="Arial"/>
          <w:b/>
          <w:lang w:eastAsia="en-US"/>
        </w:rPr>
        <w:t>(3.4.1)</w:t>
      </w:r>
    </w:p>
    <w:p w:rsidR="00821DBA" w:rsidRPr="00645545" w:rsidRDefault="00821DBA" w:rsidP="00645545">
      <w:pPr>
        <w:numPr>
          <w:ilvl w:val="0"/>
          <w:numId w:val="1"/>
        </w:numPr>
        <w:spacing w:after="200" w:line="360" w:lineRule="auto"/>
        <w:jc w:val="both"/>
        <w:rPr>
          <w:rFonts w:eastAsia="Calibri" w:cs="Arial"/>
          <w:b/>
          <w:lang w:eastAsia="en-US"/>
        </w:rPr>
      </w:pPr>
      <w:r w:rsidRPr="00645545">
        <w:rPr>
          <w:rFonts w:eastAsia="Calibri" w:cs="Arial"/>
          <w:lang w:eastAsia="en-US"/>
        </w:rPr>
        <w:t xml:space="preserve">Reclasificar los Deudores en Gestión que no están siendo gestionados por División Asesoría Jurídica en otro rubro. </w:t>
      </w:r>
      <w:r w:rsidRPr="00645545">
        <w:rPr>
          <w:rFonts w:eastAsia="Calibri" w:cs="Arial"/>
          <w:b/>
          <w:lang w:eastAsia="en-US"/>
        </w:rPr>
        <w:t>(3.4.2)</w:t>
      </w:r>
    </w:p>
    <w:p w:rsidR="00821DBA" w:rsidRPr="00645545" w:rsidRDefault="00821DBA" w:rsidP="00645545">
      <w:pPr>
        <w:numPr>
          <w:ilvl w:val="0"/>
          <w:numId w:val="1"/>
        </w:numPr>
        <w:spacing w:after="200" w:line="360" w:lineRule="auto"/>
        <w:jc w:val="both"/>
        <w:rPr>
          <w:rFonts w:eastAsia="Calibri" w:cs="Arial"/>
          <w:lang w:eastAsia="en-US"/>
        </w:rPr>
      </w:pPr>
      <w:proofErr w:type="spellStart"/>
      <w:r w:rsidRPr="00645545">
        <w:rPr>
          <w:rFonts w:eastAsia="Calibri" w:cs="Arial"/>
          <w:lang w:eastAsia="en-US"/>
        </w:rPr>
        <w:t>Previsionar</w:t>
      </w:r>
      <w:proofErr w:type="spellEnd"/>
      <w:r w:rsidRPr="00645545">
        <w:rPr>
          <w:rFonts w:eastAsia="Calibri" w:cs="Arial"/>
          <w:lang w:eastAsia="en-US"/>
        </w:rPr>
        <w:t xml:space="preserve">  el deudor en gestión que totaliza </w:t>
      </w:r>
      <w:r>
        <w:rPr>
          <w:rFonts w:eastAsia="Calibri" w:cs="Arial"/>
          <w:lang w:eastAsia="en-US"/>
        </w:rPr>
        <w:t>$ 1:</w:t>
      </w:r>
      <w:r w:rsidRPr="00645545">
        <w:rPr>
          <w:rFonts w:eastAsia="Calibri" w:cs="Arial"/>
          <w:lang w:eastAsia="en-US"/>
        </w:rPr>
        <w:t xml:space="preserve">840.199. </w:t>
      </w:r>
      <w:r w:rsidRPr="00645545">
        <w:rPr>
          <w:rFonts w:eastAsia="Calibri" w:cs="Arial"/>
          <w:b/>
          <w:lang w:eastAsia="en-US"/>
        </w:rPr>
        <w:t>(3.4.3)</w:t>
      </w:r>
    </w:p>
    <w:p w:rsidR="00821DBA" w:rsidRPr="00645545" w:rsidRDefault="00821DBA" w:rsidP="00645545">
      <w:pPr>
        <w:numPr>
          <w:ilvl w:val="0"/>
          <w:numId w:val="1"/>
        </w:numPr>
        <w:spacing w:after="200" w:line="360" w:lineRule="auto"/>
        <w:jc w:val="both"/>
        <w:rPr>
          <w:rFonts w:eastAsia="Calibri" w:cs="Arial"/>
          <w:b/>
          <w:lang w:eastAsia="en-US"/>
        </w:rPr>
      </w:pPr>
      <w:r w:rsidRPr="00645545">
        <w:rPr>
          <w:rFonts w:eastAsia="Calibri" w:cs="Arial"/>
          <w:lang w:eastAsia="en-US"/>
        </w:rPr>
        <w:t xml:space="preserve">Corregir la nota relacionada con Otras Cuentas a Cobrar para la presentación de los Estados Financieros. </w:t>
      </w:r>
      <w:r w:rsidRPr="00645545">
        <w:rPr>
          <w:rFonts w:eastAsia="Calibri" w:cs="Arial"/>
          <w:b/>
          <w:lang w:eastAsia="en-US"/>
        </w:rPr>
        <w:t>(3.5)</w:t>
      </w:r>
    </w:p>
    <w:p w:rsidR="00821DBA" w:rsidRPr="00645545" w:rsidRDefault="00821DBA" w:rsidP="00645545">
      <w:pPr>
        <w:numPr>
          <w:ilvl w:val="0"/>
          <w:numId w:val="1"/>
        </w:numPr>
        <w:spacing w:after="200" w:line="360" w:lineRule="auto"/>
        <w:jc w:val="both"/>
        <w:rPr>
          <w:rFonts w:eastAsia="Calibri" w:cs="Arial"/>
          <w:b/>
          <w:lang w:eastAsia="en-US"/>
        </w:rPr>
      </w:pPr>
      <w:r w:rsidRPr="00645545">
        <w:rPr>
          <w:rFonts w:eastAsia="Calibri" w:cs="Arial"/>
          <w:lang w:eastAsia="en-US"/>
        </w:rPr>
        <w:t xml:space="preserve">Aplicar el tipo de cambio de cierre para convertir las fianzas en moneda extranjera. </w:t>
      </w:r>
      <w:r w:rsidRPr="00645545">
        <w:rPr>
          <w:rFonts w:eastAsia="Calibri" w:cs="Arial"/>
          <w:b/>
          <w:lang w:eastAsia="en-US"/>
        </w:rPr>
        <w:t>(3.6)</w:t>
      </w:r>
    </w:p>
    <w:p w:rsidR="00821DBA" w:rsidRPr="00645545" w:rsidRDefault="00821DBA" w:rsidP="00645545">
      <w:pPr>
        <w:numPr>
          <w:ilvl w:val="0"/>
          <w:numId w:val="1"/>
        </w:numPr>
        <w:spacing w:after="200" w:line="360" w:lineRule="auto"/>
        <w:jc w:val="both"/>
        <w:rPr>
          <w:rFonts w:eastAsia="Calibri" w:cs="Arial"/>
          <w:b/>
          <w:lang w:eastAsia="en-US"/>
        </w:rPr>
      </w:pPr>
      <w:r w:rsidRPr="00645545">
        <w:rPr>
          <w:rFonts w:eastAsia="Calibri" w:cs="Arial"/>
          <w:lang w:eastAsia="en-US"/>
        </w:rPr>
        <w:t xml:space="preserve">Revelar los conceptos más significativos que conforman el rubro Ingresos Operativos en las notas a los Estados Financieros. </w:t>
      </w:r>
      <w:r w:rsidRPr="00645545">
        <w:rPr>
          <w:rFonts w:eastAsia="Calibri" w:cs="Arial"/>
          <w:b/>
          <w:lang w:eastAsia="en-US"/>
        </w:rPr>
        <w:t>(3.7)</w:t>
      </w:r>
    </w:p>
    <w:p w:rsidR="00821DBA" w:rsidRPr="00645545" w:rsidRDefault="00821DBA" w:rsidP="00645545">
      <w:pPr>
        <w:numPr>
          <w:ilvl w:val="0"/>
          <w:numId w:val="1"/>
        </w:numPr>
        <w:spacing w:after="200" w:line="360" w:lineRule="auto"/>
        <w:jc w:val="both"/>
        <w:rPr>
          <w:rFonts w:eastAsia="Calibri" w:cs="Arial"/>
          <w:b/>
          <w:lang w:eastAsia="en-US"/>
        </w:rPr>
      </w:pPr>
      <w:r w:rsidRPr="00645545">
        <w:rPr>
          <w:rFonts w:eastAsia="Calibri" w:cs="Arial"/>
          <w:lang w:eastAsia="en-US"/>
        </w:rPr>
        <w:t>Realizar el recuento físico en la Unidad de Preservación del Patrim</w:t>
      </w:r>
      <w:r>
        <w:rPr>
          <w:rFonts w:eastAsia="Calibri" w:cs="Arial"/>
          <w:lang w:eastAsia="en-US"/>
        </w:rPr>
        <w:t>onio Filatélico al término del E</w:t>
      </w:r>
      <w:r w:rsidRPr="00645545">
        <w:rPr>
          <w:rFonts w:eastAsia="Calibri" w:cs="Arial"/>
          <w:lang w:eastAsia="en-US"/>
        </w:rPr>
        <w:t xml:space="preserve">jercicio, que incluya las colecciones nacionales e internacionales y registrar la totalidad de movimientos de valores correspondientes a esa dependencia en el Sistema de Stock de Valores. </w:t>
      </w:r>
      <w:r w:rsidRPr="00645545">
        <w:rPr>
          <w:rFonts w:eastAsia="Calibri" w:cs="Arial"/>
          <w:b/>
          <w:lang w:eastAsia="en-US"/>
        </w:rPr>
        <w:t>(3.8)</w:t>
      </w:r>
    </w:p>
    <w:p w:rsidR="00821DBA" w:rsidRPr="00645545" w:rsidRDefault="00821DBA" w:rsidP="00645545">
      <w:pPr>
        <w:numPr>
          <w:ilvl w:val="0"/>
          <w:numId w:val="1"/>
        </w:numPr>
        <w:spacing w:after="200" w:line="360" w:lineRule="auto"/>
        <w:jc w:val="both"/>
        <w:rPr>
          <w:rFonts w:eastAsia="Calibri" w:cs="Arial"/>
          <w:b/>
          <w:lang w:eastAsia="en-US"/>
        </w:rPr>
      </w:pPr>
      <w:r w:rsidRPr="00645545">
        <w:rPr>
          <w:rFonts w:eastAsia="Calibri" w:cs="Arial"/>
          <w:lang w:eastAsia="en-US"/>
        </w:rPr>
        <w:t xml:space="preserve">Establecer una adecuada segregación de funciones en el Departamento de valores, y que no sean </w:t>
      </w:r>
      <w:proofErr w:type="gramStart"/>
      <w:r w:rsidRPr="00645545">
        <w:rPr>
          <w:rFonts w:eastAsia="Calibri" w:cs="Arial"/>
          <w:lang w:eastAsia="en-US"/>
        </w:rPr>
        <w:t>las</w:t>
      </w:r>
      <w:proofErr w:type="gramEnd"/>
      <w:r w:rsidRPr="00645545">
        <w:rPr>
          <w:rFonts w:eastAsia="Calibri" w:cs="Arial"/>
          <w:lang w:eastAsia="en-US"/>
        </w:rPr>
        <w:t xml:space="preserve"> funcionarios del Departamento quienes ingresen los valores al sistema. </w:t>
      </w:r>
      <w:r w:rsidRPr="00645545">
        <w:rPr>
          <w:rFonts w:eastAsia="Calibri" w:cs="Arial"/>
          <w:b/>
          <w:lang w:eastAsia="en-US"/>
        </w:rPr>
        <w:t>(3.9.1)</w:t>
      </w:r>
    </w:p>
    <w:p w:rsidR="00821DBA" w:rsidRPr="00645545" w:rsidRDefault="00821DBA" w:rsidP="00645545">
      <w:pPr>
        <w:numPr>
          <w:ilvl w:val="0"/>
          <w:numId w:val="1"/>
        </w:numPr>
        <w:spacing w:after="200" w:line="360" w:lineRule="auto"/>
        <w:jc w:val="both"/>
        <w:rPr>
          <w:rFonts w:eastAsia="Calibri" w:cs="Arial"/>
          <w:b/>
          <w:lang w:eastAsia="en-US"/>
        </w:rPr>
      </w:pPr>
      <w:r w:rsidRPr="00645545">
        <w:rPr>
          <w:rFonts w:eastAsia="Calibri" w:cs="Arial"/>
          <w:lang w:eastAsia="en-US"/>
        </w:rPr>
        <w:t xml:space="preserve">Desarrollar el Sistema de Stock de Valores de forma que se obtenga del mismo el saldo en moneda nacional de los valores y que los documentos de transferencia y entrega de valores sean emitidos desde el propio sistema. </w:t>
      </w:r>
      <w:r w:rsidRPr="00645545">
        <w:rPr>
          <w:rFonts w:eastAsia="Calibri" w:cs="Arial"/>
          <w:b/>
          <w:lang w:eastAsia="en-US"/>
        </w:rPr>
        <w:t>(3.9.2) y (3.9.3)</w:t>
      </w:r>
    </w:p>
    <w:p w:rsidR="00821DBA" w:rsidRPr="00645545" w:rsidRDefault="00821DBA" w:rsidP="00645545">
      <w:pPr>
        <w:numPr>
          <w:ilvl w:val="0"/>
          <w:numId w:val="1"/>
        </w:numPr>
        <w:spacing w:after="200" w:line="360" w:lineRule="auto"/>
        <w:jc w:val="both"/>
        <w:rPr>
          <w:rFonts w:eastAsia="Calibri" w:cs="Arial"/>
          <w:lang w:eastAsia="en-US"/>
        </w:rPr>
      </w:pPr>
      <w:r>
        <w:rPr>
          <w:rFonts w:eastAsia="Calibri" w:cs="Arial"/>
          <w:lang w:eastAsia="en-US"/>
        </w:rPr>
        <w:t>Exponer el P</w:t>
      </w:r>
      <w:r w:rsidRPr="00645545">
        <w:rPr>
          <w:rFonts w:eastAsia="Calibri" w:cs="Arial"/>
          <w:lang w:eastAsia="en-US"/>
        </w:rPr>
        <w:t xml:space="preserve">adrón 111 ubicado en el Departamento de Paysandú en calidad de cedido en comodato. </w:t>
      </w:r>
      <w:r w:rsidRPr="00645545">
        <w:rPr>
          <w:rFonts w:eastAsia="Calibri" w:cs="Arial"/>
          <w:b/>
          <w:lang w:eastAsia="en-US"/>
        </w:rPr>
        <w:t>(3.10)</w:t>
      </w:r>
    </w:p>
    <w:p w:rsidR="00821DBA" w:rsidRPr="00645545" w:rsidRDefault="00821DBA" w:rsidP="00645545">
      <w:pPr>
        <w:spacing w:after="200" w:line="360" w:lineRule="auto"/>
        <w:jc w:val="both"/>
        <w:rPr>
          <w:rFonts w:eastAsia="Calibri" w:cs="Arial"/>
          <w:lang w:eastAsia="en-US"/>
        </w:rPr>
      </w:pPr>
      <w:r w:rsidRPr="00645545">
        <w:rPr>
          <w:rFonts w:eastAsia="Calibri" w:cs="Arial"/>
          <w:lang w:eastAsia="en-US"/>
        </w:rPr>
        <w:t xml:space="preserve">                                                                  Montevideo, 19 de setiembre de 2016.</w:t>
      </w:r>
    </w:p>
    <w:p w:rsidR="00821DBA" w:rsidRDefault="00821DBA">
      <w:pPr>
        <w:jc w:val="both"/>
      </w:pPr>
    </w:p>
    <w:sectPr w:rsidR="00821DBA" w:rsidSect="00937944">
      <w:footerReference w:type="default" r:id="rId8"/>
      <w:pgSz w:w="11906" w:h="16838" w:code="9"/>
      <w:pgMar w:top="3119" w:right="1701" w:bottom="1701" w:left="1701" w:header="709" w:footer="709" w:gutter="0"/>
      <w:paperSrc w:first="4" w:other="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821DBA">
      <w:r>
        <w:separator/>
      </w:r>
    </w:p>
  </w:endnote>
  <w:endnote w:type="continuationSeparator" w:id="0">
    <w:p w:rsidR="00000000" w:rsidRDefault="00821D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Helvetica">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3BAC" w:rsidRDefault="00937944">
    <w:pPr>
      <w:pStyle w:val="Piedepgina"/>
      <w:jc w:val="center"/>
    </w:pPr>
    <w:r>
      <w:fldChar w:fldCharType="begin"/>
    </w:r>
    <w:r>
      <w:instrText>PAGE   \* MERGEFORMAT</w:instrText>
    </w:r>
    <w:r>
      <w:fldChar w:fldCharType="separate"/>
    </w:r>
    <w:r w:rsidR="00821DBA">
      <w:rPr>
        <w:noProof/>
      </w:rPr>
      <w:t>1</w:t>
    </w:r>
    <w:r>
      <w:fldChar w:fldCharType="end"/>
    </w:r>
  </w:p>
  <w:p w:rsidR="00EC671E" w:rsidRDefault="00821DBA">
    <w:pPr>
      <w:pStyle w:val="Piedepgina"/>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821DBA">
      <w:r>
        <w:separator/>
      </w:r>
    </w:p>
  </w:footnote>
  <w:footnote w:type="continuationSeparator" w:id="0">
    <w:p w:rsidR="00000000" w:rsidRDefault="00821DB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E42BC5"/>
    <w:multiLevelType w:val="hybridMultilevel"/>
    <w:tmpl w:val="BA7A5F1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7944"/>
    <w:rsid w:val="00330727"/>
    <w:rsid w:val="00821DBA"/>
    <w:rsid w:val="00937944"/>
    <w:rsid w:val="009D365A"/>
    <w:rsid w:val="00F86359"/>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AR" w:eastAsia="es-A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7944"/>
    <w:rPr>
      <w:rFonts w:ascii="Arial" w:hAnsi="Arial"/>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semiHidden/>
    <w:unhideWhenUsed/>
    <w:rsid w:val="00937944"/>
    <w:pPr>
      <w:tabs>
        <w:tab w:val="center" w:pos="4419"/>
        <w:tab w:val="right" w:pos="8838"/>
      </w:tabs>
    </w:pPr>
  </w:style>
  <w:style w:type="character" w:customStyle="1" w:styleId="PiedepginaCar">
    <w:name w:val="Pie de página Car"/>
    <w:basedOn w:val="Fuentedeprrafopredeter"/>
    <w:link w:val="Piedepgina"/>
    <w:uiPriority w:val="99"/>
    <w:semiHidden/>
    <w:rsid w:val="00937944"/>
    <w:rPr>
      <w:rFonts w:ascii="Arial" w:hAnsi="Arial"/>
      <w:sz w:val="24"/>
      <w:szCs w:val="24"/>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AR" w:eastAsia="es-A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7944"/>
    <w:rPr>
      <w:rFonts w:ascii="Arial" w:hAnsi="Arial"/>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semiHidden/>
    <w:unhideWhenUsed/>
    <w:rsid w:val="00937944"/>
    <w:pPr>
      <w:tabs>
        <w:tab w:val="center" w:pos="4419"/>
        <w:tab w:val="right" w:pos="8838"/>
      </w:tabs>
    </w:pPr>
  </w:style>
  <w:style w:type="character" w:customStyle="1" w:styleId="PiedepginaCar">
    <w:name w:val="Pie de página Car"/>
    <w:basedOn w:val="Fuentedeprrafopredeter"/>
    <w:link w:val="Piedepgina"/>
    <w:uiPriority w:val="99"/>
    <w:semiHidden/>
    <w:rsid w:val="00937944"/>
    <w:rPr>
      <w:rFonts w:ascii="Arial" w:hAnsi="Arial"/>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12</Pages>
  <Words>2623</Words>
  <Characters>14426</Characters>
  <Application>Microsoft Office Word</Application>
  <DocSecurity>0</DocSecurity>
  <Lines>120</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17015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Tribunal1</dc:creator>
  <cp:lastModifiedBy> </cp:lastModifiedBy>
  <cp:revision>2</cp:revision>
  <cp:lastPrinted>2016-10-12T19:52:00Z</cp:lastPrinted>
  <dcterms:created xsi:type="dcterms:W3CDTF">2016-10-12T19:43:00Z</dcterms:created>
  <dcterms:modified xsi:type="dcterms:W3CDTF">2017-03-17T17:33:00Z</dcterms:modified>
</cp:coreProperties>
</file>