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47" w:rsidRPr="006F5C11" w:rsidRDefault="009C6E47" w:rsidP="006F5C11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6F5C11">
        <w:rPr>
          <w:rFonts w:ascii="Arial" w:hAnsi="Arial" w:cs="Arial"/>
          <w:b/>
          <w:sz w:val="28"/>
          <w:szCs w:val="28"/>
          <w:lang w:val="es-ES_tradnl"/>
        </w:rPr>
        <w:t>4397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C6E47" w:rsidRPr="00762B34" w:rsidRDefault="009C6E47" w:rsidP="009C6E47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C6E47" w:rsidRPr="00762B34" w:rsidRDefault="009C6E47" w:rsidP="009C6E47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9C6E47" w:rsidRPr="00762B34" w:rsidRDefault="009C6E47" w:rsidP="009C6E47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C6E47" w:rsidRPr="00762B34" w:rsidRDefault="009C6E47" w:rsidP="009C6E47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9C6E47" w:rsidRPr="00762B34" w:rsidRDefault="009C6E47" w:rsidP="009C6E47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14 DE DICIEMBRE </w:t>
      </w:r>
      <w:r>
        <w:rPr>
          <w:rFonts w:ascii="Helvetica" w:hAnsi="Helvetica"/>
          <w:b/>
          <w:lang w:val="es-ES_tradnl"/>
        </w:rPr>
        <w:t>DE 2016</w:t>
      </w:r>
    </w:p>
    <w:p w:rsidR="009C6E47" w:rsidRPr="00762B34" w:rsidRDefault="009C6E47" w:rsidP="009C6E47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6F5C11" w:rsidRPr="0097369C" w:rsidRDefault="009C6E47" w:rsidP="0097369C">
      <w:pPr>
        <w:tabs>
          <w:tab w:val="center" w:pos="4253"/>
        </w:tabs>
        <w:jc w:val="center"/>
        <w:rPr>
          <w:rFonts w:ascii="Arial" w:hAnsi="Arial" w:cs="Arial"/>
          <w:b/>
          <w:lang w:val="es-ES"/>
        </w:rPr>
      </w:pPr>
      <w:r w:rsidRPr="006F5C11">
        <w:rPr>
          <w:rFonts w:ascii="Arial" w:hAnsi="Arial" w:cs="Arial"/>
          <w:b/>
          <w:lang w:val="es-ES"/>
        </w:rPr>
        <w:t xml:space="preserve">(E. E. Nº </w:t>
      </w:r>
      <w:r w:rsidRPr="009C6E47">
        <w:rPr>
          <w:rFonts w:ascii="Arial" w:hAnsi="Arial" w:cs="Arial"/>
          <w:b/>
          <w:sz w:val="24"/>
          <w:szCs w:val="24"/>
          <w:lang w:val="es-ES"/>
        </w:rPr>
        <w:t>2016-17-1-0005549</w:t>
      </w:r>
      <w:r w:rsidRPr="006F5C11">
        <w:rPr>
          <w:rFonts w:ascii="Arial" w:hAnsi="Arial" w:cs="Arial"/>
          <w:b/>
          <w:lang w:val="es-ES"/>
        </w:rPr>
        <w:t xml:space="preserve">, </w:t>
      </w:r>
      <w:proofErr w:type="spellStart"/>
      <w:r w:rsidRPr="006F5C11">
        <w:rPr>
          <w:rFonts w:ascii="Arial" w:hAnsi="Arial" w:cs="Arial"/>
          <w:b/>
          <w:lang w:val="es-ES"/>
        </w:rPr>
        <w:t>Ent</w:t>
      </w:r>
      <w:proofErr w:type="spellEnd"/>
      <w:r w:rsidRPr="006F5C11">
        <w:rPr>
          <w:rFonts w:ascii="Arial" w:hAnsi="Arial" w:cs="Arial"/>
          <w:b/>
          <w:lang w:val="es-ES"/>
        </w:rPr>
        <w:t>. N°</w:t>
      </w:r>
      <w:r w:rsidRPr="009C6E47">
        <w:rPr>
          <w:rFonts w:ascii="Arial" w:hAnsi="Arial" w:cs="Arial"/>
          <w:b/>
          <w:sz w:val="24"/>
          <w:szCs w:val="24"/>
          <w:lang w:val="es-ES"/>
        </w:rPr>
        <w:t xml:space="preserve"> 5718/16</w:t>
      </w:r>
      <w:r w:rsidR="006F5C11" w:rsidRPr="006F5C11">
        <w:rPr>
          <w:rFonts w:ascii="Arial" w:hAnsi="Arial" w:cs="Arial"/>
          <w:b/>
          <w:lang w:val="es-ES"/>
        </w:rPr>
        <w:t>)</w:t>
      </w:r>
    </w:p>
    <w:p w:rsidR="00705CDF" w:rsidRDefault="006F5C11" w:rsidP="006F5C11">
      <w:pPr>
        <w:spacing w:after="0" w:line="360" w:lineRule="auto"/>
        <w:ind w:firstLine="851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 xml:space="preserve">VISTO: </w:t>
      </w:r>
      <w:r>
        <w:rPr>
          <w:rFonts w:ascii="Arial" w:hAnsi="Arial" w:cs="Arial"/>
          <w:sz w:val="24"/>
          <w:szCs w:val="24"/>
          <w:lang w:val="es-ES"/>
        </w:rPr>
        <w:t xml:space="preserve">la consulta formulada por la Administración de los Servicios de Salud del Estado, relacionada con la calidad de </w:t>
      </w:r>
      <w:r w:rsidR="00DC4A01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rdenadores de gastos;   </w:t>
      </w:r>
    </w:p>
    <w:p w:rsidR="00705CDF" w:rsidRDefault="006F5C11" w:rsidP="006F5C11">
      <w:pPr>
        <w:spacing w:after="0" w:line="360" w:lineRule="auto"/>
        <w:ind w:firstLine="851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 xml:space="preserve">RESULTANDO: 1) </w:t>
      </w:r>
      <w:r>
        <w:rPr>
          <w:rFonts w:ascii="Arial" w:hAnsi="Arial" w:cs="Arial"/>
          <w:sz w:val="24"/>
          <w:szCs w:val="24"/>
          <w:lang w:val="es-ES"/>
        </w:rPr>
        <w:t xml:space="preserve"> que por nota de fecha 17/10/16, la Presidencia de la Administración de los Servicios de Salud del Estado formula consulta, en relación con los siguientes puntos: </w:t>
      </w:r>
    </w:p>
    <w:p w:rsidR="00705CDF" w:rsidRDefault="006F5C11" w:rsidP="006F5C1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Si la Gerencia General de ASSE puede ser designada como </w:t>
      </w:r>
      <w:r w:rsidR="00DC4A01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rdenador secundario de gastos, conforme a lo dispuesto por el artículo 29 literal </w:t>
      </w:r>
      <w:r w:rsidR="00DC4A01">
        <w:rPr>
          <w:rFonts w:ascii="Arial" w:hAnsi="Arial" w:cs="Arial"/>
          <w:sz w:val="24"/>
          <w:szCs w:val="24"/>
          <w:lang w:val="es-ES"/>
        </w:rPr>
        <w:t>B</w:t>
      </w:r>
      <w:r>
        <w:rPr>
          <w:rFonts w:ascii="Arial" w:hAnsi="Arial" w:cs="Arial"/>
          <w:sz w:val="24"/>
          <w:szCs w:val="24"/>
          <w:lang w:val="es-ES"/>
        </w:rPr>
        <w:t>) del TOCAF, con el límite máximo del doble de las licitaciones abreviadas, por tener dependencia directa con el Directorio;</w:t>
      </w:r>
    </w:p>
    <w:p w:rsidR="00705CDF" w:rsidRDefault="006F5C11" w:rsidP="006F5C1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 la Gerencia Administrativa, la Dirección Administrativa Financiera de la Gerencia de Recursos Humanos y los Directores de Unidades Ejecutoras de AS</w:t>
      </w:r>
      <w:r w:rsidR="00DC4A01">
        <w:rPr>
          <w:rFonts w:ascii="Arial" w:hAnsi="Arial" w:cs="Arial"/>
          <w:sz w:val="24"/>
          <w:szCs w:val="24"/>
          <w:lang w:val="es-ES"/>
        </w:rPr>
        <w:t>SE, pueden ser designados como O</w:t>
      </w:r>
      <w:r>
        <w:rPr>
          <w:rFonts w:ascii="Arial" w:hAnsi="Arial" w:cs="Arial"/>
          <w:sz w:val="24"/>
          <w:szCs w:val="24"/>
          <w:lang w:val="es-ES"/>
        </w:rPr>
        <w:t xml:space="preserve">rdenadores secundarios de gastos, conforme al Artículo 29 Literal C) del TOCAF, con el límite máximo de las licitaciones abreviadas, en consideración a la naturaleza, características y jerarquía de los mismos; </w:t>
      </w:r>
    </w:p>
    <w:p w:rsidR="00705CDF" w:rsidRDefault="006F5C11" w:rsidP="006F5C1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Si, conforme a la potestad de delegar atribuciones previstas en el A</w:t>
      </w:r>
      <w:r w:rsidR="00DC4A01">
        <w:rPr>
          <w:rFonts w:ascii="Arial" w:hAnsi="Arial" w:cs="Arial"/>
          <w:sz w:val="24"/>
          <w:szCs w:val="24"/>
          <w:lang w:val="es-ES"/>
        </w:rPr>
        <w:t>rtículo 30 del TOCAF, para los O</w:t>
      </w:r>
      <w:r>
        <w:rPr>
          <w:rFonts w:ascii="Arial" w:hAnsi="Arial" w:cs="Arial"/>
          <w:sz w:val="24"/>
          <w:szCs w:val="24"/>
          <w:lang w:val="es-ES"/>
        </w:rPr>
        <w:t>rdenadores primarios y secundarios, es posible que:</w:t>
      </w:r>
    </w:p>
    <w:p w:rsidR="00705CDF" w:rsidRDefault="006F5C11" w:rsidP="006F5C11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Directorio de ASSE delegue en la Gerencia General, la ordenación de gastos, por aquellos que superen el doble del máximo de licitaciones abreviadas y con el límite del cuádruple del máximo de las licitaciones abreviadas; </w:t>
      </w:r>
    </w:p>
    <w:p w:rsidR="00705CDF" w:rsidRDefault="006F5C11" w:rsidP="006F5C11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</w:pPr>
      <w:r>
        <w:rPr>
          <w:rFonts w:ascii="Arial" w:hAnsi="Arial" w:cs="Arial"/>
          <w:sz w:val="24"/>
          <w:szCs w:val="24"/>
          <w:lang w:val="es-ES"/>
        </w:rPr>
        <w:t xml:space="preserve">La Gerencia General delegue en la Gerencia Administrativa, la Dirección Administrativa Financiera de la Gerencia de Recursos Humanos y los </w:t>
      </w:r>
      <w:r>
        <w:rPr>
          <w:rFonts w:ascii="Arial" w:hAnsi="Arial" w:cs="Arial"/>
          <w:sz w:val="24"/>
          <w:szCs w:val="24"/>
          <w:lang w:val="es-ES"/>
        </w:rPr>
        <w:lastRenderedPageBreak/>
        <w:t xml:space="preserve">Directores de Unidades Ejecutoras de ASSE, la ordenación de gastos por aquellos que superen el máximo de las licitaciones abreviadas y con el límite del doble del máximo de las licitaciones abreviadas; </w:t>
      </w:r>
    </w:p>
    <w:p w:rsidR="00705CDF" w:rsidRDefault="006F5C11" w:rsidP="006F5C11">
      <w:pPr>
        <w:spacing w:after="0" w:line="360" w:lineRule="auto"/>
        <w:ind w:firstLine="2835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se adjunta informe jurídico de fecha 29/4/16, en el que se expresa, sucintamente: </w:t>
      </w:r>
    </w:p>
    <w:p w:rsidR="00705CDF" w:rsidRDefault="006F5C11" w:rsidP="006F5C1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A) La gerencia podrá ser </w:t>
      </w:r>
      <w:r w:rsidR="00DC4A01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rdenador secundario pero con el límite máximo del doble de las licitaciones abreviadas, en razón de que tiene dependencia</w:t>
      </w:r>
      <w:r w:rsidR="00DC4A01">
        <w:rPr>
          <w:rFonts w:ascii="Arial" w:hAnsi="Arial" w:cs="Arial"/>
          <w:sz w:val="24"/>
          <w:szCs w:val="24"/>
          <w:lang w:val="es-ES"/>
        </w:rPr>
        <w:t xml:space="preserve"> directa del Directorio que es O</w:t>
      </w:r>
      <w:r>
        <w:rPr>
          <w:rFonts w:ascii="Arial" w:hAnsi="Arial" w:cs="Arial"/>
          <w:sz w:val="24"/>
          <w:szCs w:val="24"/>
          <w:lang w:val="es-ES"/>
        </w:rPr>
        <w:t xml:space="preserve">rdenador primario; </w:t>
      </w:r>
    </w:p>
    <w:p w:rsidR="00705CDF" w:rsidRDefault="006F5C11" w:rsidP="006F5C11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  <w:lang w:val="es-ES"/>
        </w:rPr>
        <w:t>B) Por ser la única “</w:t>
      </w:r>
      <w:r>
        <w:rPr>
          <w:rFonts w:ascii="Arial" w:hAnsi="Arial" w:cs="Arial"/>
          <w:i/>
          <w:sz w:val="24"/>
          <w:szCs w:val="24"/>
          <w:lang w:val="es-ES"/>
        </w:rPr>
        <w:t xml:space="preserve">dependencia directa” </w:t>
      </w:r>
      <w:r>
        <w:rPr>
          <w:rFonts w:ascii="Arial" w:hAnsi="Arial" w:cs="Arial"/>
          <w:sz w:val="24"/>
          <w:szCs w:val="24"/>
          <w:lang w:val="es-ES"/>
        </w:rPr>
        <w:t xml:space="preserve">del Directorio de ASSE, la Gerencia General sería el único órgano facultado por la ley para poder ser designado </w:t>
      </w:r>
      <w:r w:rsidR="00DC4A01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rdenador secundario, en la hipótesis del literal b) del art. 29 del TOCAF, esto es, hasta el límite del doble de las licitaciones abreviadas;                       </w:t>
      </w:r>
    </w:p>
    <w:p w:rsidR="00705CDF" w:rsidRDefault="006F5C11" w:rsidP="006F5C11">
      <w:pPr>
        <w:spacing w:after="0" w:line="360" w:lineRule="auto"/>
        <w:jc w:val="both"/>
      </w:pPr>
      <w:r>
        <w:rPr>
          <w:lang w:val="es-ES"/>
        </w:rPr>
        <w:t>C)</w:t>
      </w:r>
      <w:r>
        <w:rPr>
          <w:rFonts w:ascii="Arial" w:hAnsi="Arial" w:cs="Arial"/>
          <w:sz w:val="24"/>
          <w:szCs w:val="24"/>
          <w:lang w:val="es-ES"/>
        </w:rPr>
        <w:t xml:space="preserve"> A la Gerencia Administrativa, la Dirección Administrativa Financiera de la Gerencia de Recursos Humanos y los Directores de Unidades Ejecutoras de ASSE, el Director</w:t>
      </w:r>
      <w:r w:rsidR="00DC4A01">
        <w:rPr>
          <w:rFonts w:ascii="Arial" w:hAnsi="Arial" w:cs="Arial"/>
          <w:sz w:val="24"/>
          <w:szCs w:val="24"/>
          <w:lang w:val="es-ES"/>
        </w:rPr>
        <w:t>io debería asignar carácter de O</w:t>
      </w:r>
      <w:r>
        <w:rPr>
          <w:rFonts w:ascii="Arial" w:hAnsi="Arial" w:cs="Arial"/>
          <w:sz w:val="24"/>
          <w:szCs w:val="24"/>
          <w:lang w:val="es-ES"/>
        </w:rPr>
        <w:t xml:space="preserve">rdenador secundario pero con el límite de las licitaciones abreviadas;  </w:t>
      </w:r>
    </w:p>
    <w:p w:rsidR="00705CDF" w:rsidRDefault="006F5C11" w:rsidP="006F5C11">
      <w:pPr>
        <w:spacing w:after="0" w:line="360" w:lineRule="auto"/>
        <w:ind w:firstLine="851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 xml:space="preserve">CONSIDERANDO: 1) </w:t>
      </w:r>
      <w:r>
        <w:rPr>
          <w:rFonts w:ascii="Arial" w:hAnsi="Arial" w:cs="Arial"/>
          <w:sz w:val="24"/>
          <w:szCs w:val="24"/>
          <w:lang w:val="es-ES"/>
        </w:rPr>
        <w:t>que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el Artículo 28 del TOCAF dispone que son </w:t>
      </w:r>
      <w:r w:rsidR="00DC4A01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rdenadores secundarios de gastos, los titulares de órganos sometidos a jerarquía, a quienes se asigne competencia para disponer gastos por una norma objetiva de Derecho;</w:t>
      </w:r>
    </w:p>
    <w:p w:rsidR="00705CDF" w:rsidRDefault="006F5C11" w:rsidP="006F5C11">
      <w:pPr>
        <w:spacing w:after="0" w:line="360" w:lineRule="auto"/>
        <w:ind w:firstLine="2977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que, por su parte el Artículo 29 del TOCAF, dispone que, en especial, son </w:t>
      </w:r>
      <w:r w:rsidR="00DC4A01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rdenadores secundarios: Literal B) “los Directores, Gerentes y otros Jerarcas d</w:t>
      </w:r>
      <w:r w:rsidR="00DC4A01">
        <w:rPr>
          <w:rFonts w:ascii="Arial" w:hAnsi="Arial" w:cs="Arial"/>
          <w:sz w:val="24"/>
          <w:szCs w:val="24"/>
          <w:lang w:val="es-ES"/>
        </w:rPr>
        <w:t>e dependencias directas de los O</w:t>
      </w:r>
      <w:r>
        <w:rPr>
          <w:rFonts w:ascii="Arial" w:hAnsi="Arial" w:cs="Arial"/>
          <w:sz w:val="24"/>
          <w:szCs w:val="24"/>
          <w:lang w:val="es-ES"/>
        </w:rPr>
        <w:t xml:space="preserve">rdenadores primarios, o de los </w:t>
      </w:r>
      <w:r w:rsidR="00A91BEC">
        <w:rPr>
          <w:rFonts w:ascii="Arial" w:hAnsi="Arial" w:cs="Arial"/>
          <w:sz w:val="24"/>
          <w:szCs w:val="24"/>
          <w:lang w:val="es-ES"/>
        </w:rPr>
        <w:t>O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>rdenadores secundarios mencionados en el literal anterior que se determinen, con el límite máximo del doble de las licitaciones abreviadas vigente para cada organismo”;</w:t>
      </w:r>
    </w:p>
    <w:p w:rsidR="00705CDF" w:rsidRDefault="006F5C11" w:rsidP="006F5C11">
      <w:pPr>
        <w:spacing w:after="0" w:line="360" w:lineRule="auto"/>
        <w:ind w:firstLine="2977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que asimismo, el Literal C) dispone que “los funcionarios a cargo de las dependencias que se determinen, ponderando las naturaleza, sus características y las jerarquías de dichos funcionarios, con el límite máximo de las licitaciones abreviadas vigente para cada organismo”;    </w:t>
      </w:r>
    </w:p>
    <w:p w:rsidR="00705CDF" w:rsidRDefault="006F5C11" w:rsidP="006F5C11">
      <w:pPr>
        <w:spacing w:after="0" w:line="360" w:lineRule="auto"/>
        <w:ind w:firstLine="2977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4) </w:t>
      </w:r>
      <w:r>
        <w:rPr>
          <w:rFonts w:ascii="Arial" w:hAnsi="Arial" w:cs="Arial"/>
          <w:sz w:val="24"/>
          <w:szCs w:val="24"/>
          <w:lang w:val="es-ES"/>
        </w:rPr>
        <w:t>que por su parte, el Artícu</w:t>
      </w:r>
      <w:r w:rsidR="00DC4A01">
        <w:rPr>
          <w:rFonts w:ascii="Arial" w:hAnsi="Arial" w:cs="Arial"/>
          <w:sz w:val="24"/>
          <w:szCs w:val="24"/>
          <w:lang w:val="es-ES"/>
        </w:rPr>
        <w:t>lo 30 del TOCAF, dispone: “Los O</w:t>
      </w:r>
      <w:r>
        <w:rPr>
          <w:rFonts w:ascii="Arial" w:hAnsi="Arial" w:cs="Arial"/>
          <w:sz w:val="24"/>
          <w:szCs w:val="24"/>
          <w:lang w:val="es-ES"/>
        </w:rPr>
        <w:t>rdenadores primarios y secundarios podrán delegar la competencia para ordenar gastos en funcionarios de su dependencia”</w:t>
      </w:r>
    </w:p>
    <w:p w:rsidR="00705CDF" w:rsidRDefault="006F5C11" w:rsidP="006F5C1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“Los delegatarios actuarán bajo supervisión y responsabilidad del </w:t>
      </w:r>
      <w:r w:rsidR="00DC4A01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rdenador delegante”.</w:t>
      </w:r>
    </w:p>
    <w:p w:rsidR="00705CDF" w:rsidRDefault="006F5C11" w:rsidP="006F5C11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  <w:lang w:val="es-ES"/>
        </w:rPr>
        <w:t xml:space="preserve">“Los delegatarios no podrán subdelegar la atribución delegada pero podrán habilitar a titulares de proveeduría y otros servicios dependientes, a efectos de permitirles efectuar gastos menores o eventuales cuyo monto no exceda el límite máximo establecido para las contrataciones directas excluidas las de excepción”; </w:t>
      </w:r>
      <w:r>
        <w:rPr>
          <w:rFonts w:ascii="Arial" w:hAnsi="Arial" w:cs="Arial"/>
          <w:b/>
          <w:sz w:val="24"/>
          <w:szCs w:val="24"/>
          <w:lang w:val="es-ES"/>
        </w:rPr>
        <w:t xml:space="preserve">   </w:t>
      </w:r>
    </w:p>
    <w:p w:rsidR="00705CDF" w:rsidRDefault="006F5C11" w:rsidP="006F5C11">
      <w:pPr>
        <w:spacing w:after="0" w:line="360" w:lineRule="auto"/>
        <w:ind w:firstLine="2977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>5)</w:t>
      </w:r>
      <w:r>
        <w:rPr>
          <w:rFonts w:ascii="Arial" w:hAnsi="Arial" w:cs="Arial"/>
          <w:sz w:val="24"/>
          <w:szCs w:val="24"/>
          <w:lang w:val="es-ES"/>
        </w:rPr>
        <w:t xml:space="preserve"> que tanto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la Gerencia General como la Gerencia Administrativa, la Dirección Administrativa Financiera de la Gerencia de Recursos Humanos y los Directores de Unidades Ejecutoras de AS</w:t>
      </w:r>
      <w:r w:rsidR="00DC4A01">
        <w:rPr>
          <w:rFonts w:ascii="Arial" w:hAnsi="Arial" w:cs="Arial"/>
          <w:sz w:val="24"/>
          <w:szCs w:val="24"/>
          <w:lang w:val="es-ES"/>
        </w:rPr>
        <w:t>SE, pueden ser designados como O</w:t>
      </w:r>
      <w:r>
        <w:rPr>
          <w:rFonts w:ascii="Arial" w:hAnsi="Arial" w:cs="Arial"/>
          <w:sz w:val="24"/>
          <w:szCs w:val="24"/>
          <w:lang w:val="es-ES"/>
        </w:rPr>
        <w:t xml:space="preserve">rdenadores secundarios. La primera, con el límite máximo del doble de las licitaciones abreviadas, y los segundos con el límite máximo de las licitaciones abreviadas; </w:t>
      </w:r>
    </w:p>
    <w:p w:rsidR="00705CDF" w:rsidRDefault="006F5C11" w:rsidP="006F5C11">
      <w:pPr>
        <w:spacing w:after="0" w:line="360" w:lineRule="auto"/>
        <w:ind w:firstLine="2977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>6)</w:t>
      </w:r>
      <w:r>
        <w:rPr>
          <w:rFonts w:ascii="Arial" w:hAnsi="Arial" w:cs="Arial"/>
          <w:sz w:val="24"/>
          <w:szCs w:val="24"/>
          <w:lang w:val="es-ES"/>
        </w:rPr>
        <w:t xml:space="preserve"> que conforme a lo dispuesto por el Artículo 30 del TOCAF, tanto el Directorio de ASSE como la Gere</w:t>
      </w:r>
      <w:r w:rsidR="00DA207F">
        <w:rPr>
          <w:rFonts w:ascii="Arial" w:hAnsi="Arial" w:cs="Arial"/>
          <w:sz w:val="24"/>
          <w:szCs w:val="24"/>
          <w:lang w:val="es-ES"/>
        </w:rPr>
        <w:t>ncia General, en su calidad de O</w:t>
      </w:r>
      <w:r>
        <w:rPr>
          <w:rFonts w:ascii="Arial" w:hAnsi="Arial" w:cs="Arial"/>
          <w:sz w:val="24"/>
          <w:szCs w:val="24"/>
          <w:lang w:val="es-ES"/>
        </w:rPr>
        <w:t>rdenadores de gastos, primario o secundario en su caso, pueden delegar su competencia, en aquellos gastos que superen el doble del máximo de la</w:t>
      </w:r>
      <w:r w:rsidR="00215378">
        <w:rPr>
          <w:rFonts w:ascii="Arial" w:hAnsi="Arial" w:cs="Arial"/>
          <w:sz w:val="24"/>
          <w:szCs w:val="24"/>
          <w:lang w:val="es-ES"/>
        </w:rPr>
        <w:t>s licitaciones abreviadas, y</w:t>
      </w:r>
      <w:r>
        <w:rPr>
          <w:rFonts w:ascii="Arial" w:hAnsi="Arial" w:cs="Arial"/>
          <w:sz w:val="24"/>
          <w:szCs w:val="24"/>
          <w:lang w:val="es-ES"/>
        </w:rPr>
        <w:t xml:space="preserve"> por debajo de ese monto, siempre en los términos prescriptos por la norma citada, y observando el principio general de que no puede delegarse aquella potestad que no se posee;</w:t>
      </w:r>
    </w:p>
    <w:p w:rsidR="00705CDF" w:rsidRDefault="006F5C11" w:rsidP="006F5C11">
      <w:pPr>
        <w:spacing w:after="0" w:line="360" w:lineRule="auto"/>
        <w:ind w:firstLine="851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 xml:space="preserve">ATENTO,  </w:t>
      </w:r>
      <w:r>
        <w:rPr>
          <w:rFonts w:ascii="Arial" w:hAnsi="Arial" w:cs="Arial"/>
          <w:sz w:val="24"/>
          <w:szCs w:val="24"/>
          <w:lang w:val="es-ES"/>
        </w:rPr>
        <w:t xml:space="preserve">a lo precedentemente expuesto y a lo establecido por el Artículo 112 del TOCAF, </w:t>
      </w:r>
    </w:p>
    <w:p w:rsidR="00705CDF" w:rsidRDefault="006F5C11" w:rsidP="006F5C1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EL TRIBUNAL ACUERDA:</w:t>
      </w:r>
    </w:p>
    <w:p w:rsidR="00705CDF" w:rsidRDefault="006F5C11" w:rsidP="006F5C11">
      <w:pPr>
        <w:numPr>
          <w:ilvl w:val="0"/>
          <w:numId w:val="3"/>
        </w:numPr>
        <w:suppressAutoHyphens w:val="0"/>
        <w:spacing w:after="0" w:line="360" w:lineRule="auto"/>
        <w:ind w:left="0"/>
        <w:jc w:val="both"/>
        <w:textAlignment w:val="auto"/>
      </w:pPr>
      <w:r>
        <w:rPr>
          <w:rFonts w:ascii="Arial" w:hAnsi="Arial" w:cs="Arial"/>
          <w:sz w:val="24"/>
          <w:szCs w:val="24"/>
        </w:rPr>
        <w:t xml:space="preserve">Evacuar la consulta formulada en los términos expresados en los </w:t>
      </w:r>
      <w:r w:rsidR="00F23737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Considerandos precedentes</w:t>
      </w:r>
      <w:r>
        <w:rPr>
          <w:rFonts w:ascii="Arial" w:hAnsi="Arial" w:cs="Arial"/>
          <w:sz w:val="24"/>
          <w:szCs w:val="24"/>
          <w:lang w:val="es-MX"/>
        </w:rPr>
        <w:t>;</w:t>
      </w:r>
    </w:p>
    <w:p w:rsidR="00705CDF" w:rsidRDefault="006F5C11" w:rsidP="006F5C11">
      <w:pPr>
        <w:numPr>
          <w:ilvl w:val="0"/>
          <w:numId w:val="3"/>
        </w:numPr>
        <w:suppressAutoHyphens w:val="0"/>
        <w:spacing w:after="0" w:line="360" w:lineRule="auto"/>
        <w:ind w:left="0"/>
        <w:jc w:val="both"/>
        <w:textAlignment w:val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Devolver las actuaciones;</w:t>
      </w:r>
    </w:p>
    <w:p w:rsidR="00705CDF" w:rsidRPr="009C6E47" w:rsidRDefault="009C6E47" w:rsidP="006F5C11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E47">
        <w:rPr>
          <w:rFonts w:ascii="Arial" w:hAnsi="Arial" w:cs="Arial"/>
          <w:color w:val="000000"/>
          <w:sz w:val="20"/>
          <w:szCs w:val="20"/>
        </w:rPr>
        <w:t>CLC</w:t>
      </w:r>
    </w:p>
    <w:sectPr w:rsidR="00705CDF" w:rsidRPr="009C6E47" w:rsidSect="00E54194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01" w:rsidRDefault="00DC4A01">
      <w:pPr>
        <w:spacing w:after="0" w:line="240" w:lineRule="auto"/>
      </w:pPr>
      <w:r>
        <w:separator/>
      </w:r>
    </w:p>
  </w:endnote>
  <w:endnote w:type="continuationSeparator" w:id="0">
    <w:p w:rsidR="00DC4A01" w:rsidRDefault="00DC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01" w:rsidRDefault="00DC4A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C4A01" w:rsidRDefault="00DC4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D6DF8"/>
    <w:multiLevelType w:val="multilevel"/>
    <w:tmpl w:val="1A28D5F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D66C9"/>
    <w:multiLevelType w:val="multilevel"/>
    <w:tmpl w:val="E9F2A2B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2C49AD"/>
    <w:multiLevelType w:val="multilevel"/>
    <w:tmpl w:val="829654E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5CDF"/>
    <w:rsid w:val="00215378"/>
    <w:rsid w:val="005E7F21"/>
    <w:rsid w:val="006F5C11"/>
    <w:rsid w:val="00705CDF"/>
    <w:rsid w:val="007C744A"/>
    <w:rsid w:val="0097369C"/>
    <w:rsid w:val="009C6E47"/>
    <w:rsid w:val="00A91BEC"/>
    <w:rsid w:val="00CA5D75"/>
    <w:rsid w:val="00DA207F"/>
    <w:rsid w:val="00DC4A01"/>
    <w:rsid w:val="00E54194"/>
    <w:rsid w:val="00F2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7D49-CEFB-470A-9BCA-C6A08255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EDUARDO MAESO RUIZ</dc:creator>
  <cp:lastModifiedBy>Tribunal1</cp:lastModifiedBy>
  <cp:revision>4</cp:revision>
  <cp:lastPrinted>2016-12-16T15:26:00Z</cp:lastPrinted>
  <dcterms:created xsi:type="dcterms:W3CDTF">2016-12-19T13:11:00Z</dcterms:created>
  <dcterms:modified xsi:type="dcterms:W3CDTF">2016-12-19T13:20:00Z</dcterms:modified>
</cp:coreProperties>
</file>