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B6" w:rsidRPr="00161683" w:rsidRDefault="00235BB6" w:rsidP="00235BB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 w:rsidR="00BF049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4088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235BB6" w:rsidRDefault="00235BB6" w:rsidP="00235B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5BB6" w:rsidRPr="004746D1" w:rsidRDefault="00235BB6" w:rsidP="00235B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35BB6" w:rsidRPr="004746D1" w:rsidRDefault="00235BB6" w:rsidP="00235B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5BB6" w:rsidRPr="004746D1" w:rsidRDefault="00235BB6" w:rsidP="00235B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35BB6" w:rsidRPr="004746D1" w:rsidRDefault="00235BB6" w:rsidP="00235BB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5BB6" w:rsidRPr="004746D1" w:rsidRDefault="00235BB6" w:rsidP="00235B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23 DE NOVIEMBRE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235BB6" w:rsidRPr="004746D1" w:rsidRDefault="00235BB6" w:rsidP="00235BB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5BB6" w:rsidRDefault="00235BB6" w:rsidP="00235B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(E.E.</w:t>
      </w:r>
      <w:r w:rsidR="00BF049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Nº 2014-17-1-0008229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BF0498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F0498">
        <w:rPr>
          <w:rFonts w:ascii="Arial" w:hAnsi="Arial" w:cs="Arial"/>
          <w:b/>
          <w:sz w:val="24"/>
          <w:szCs w:val="24"/>
          <w:lang w:val="es-ES_tradnl"/>
        </w:rPr>
        <w:t>5717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16)</w:t>
      </w:r>
    </w:p>
    <w:p w:rsidR="00235BB6" w:rsidRDefault="00235BB6" w:rsidP="00235B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35BB6" w:rsidRDefault="00235BB6" w:rsidP="00235BB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F2A14" w:rsidRPr="00BF0E42" w:rsidRDefault="00FF2A14" w:rsidP="00235B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0E42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BF0E42" w:rsidRPr="00BF0E42">
        <w:rPr>
          <w:rFonts w:ascii="Arial" w:hAnsi="Arial" w:cs="Arial"/>
          <w:sz w:val="24"/>
          <w:szCs w:val="24"/>
          <w:lang w:val="es-ES"/>
        </w:rPr>
        <w:t>las actuaciones remitidas por el Contador Delegado ante la</w:t>
      </w:r>
      <w:r w:rsidRPr="00BF0E42">
        <w:rPr>
          <w:rFonts w:ascii="Arial" w:hAnsi="Arial" w:cs="Arial"/>
          <w:sz w:val="24"/>
          <w:szCs w:val="24"/>
          <w:lang w:val="es-ES"/>
        </w:rPr>
        <w:t xml:space="preserve"> Administración de los Servicios de Salud del Estado (ASSE)</w:t>
      </w:r>
      <w:r w:rsidR="00BF0E42" w:rsidRPr="00BF0E42">
        <w:rPr>
          <w:rFonts w:ascii="Arial" w:hAnsi="Arial" w:cs="Arial"/>
          <w:sz w:val="24"/>
          <w:szCs w:val="24"/>
          <w:lang w:val="es-ES"/>
        </w:rPr>
        <w:t>,</w:t>
      </w:r>
      <w:r w:rsidRPr="00BF0E42">
        <w:rPr>
          <w:rFonts w:ascii="Arial" w:hAnsi="Arial" w:cs="Arial"/>
          <w:sz w:val="24"/>
          <w:szCs w:val="24"/>
          <w:lang w:val="es-ES"/>
        </w:rPr>
        <w:t xml:space="preserve"> en la que se plantea </w:t>
      </w:r>
      <w:r w:rsidR="00BF0E42" w:rsidRPr="00BF0E42">
        <w:rPr>
          <w:rFonts w:ascii="Arial" w:hAnsi="Arial" w:cs="Arial"/>
          <w:sz w:val="24"/>
          <w:szCs w:val="24"/>
          <w:lang w:val="es-ES"/>
        </w:rPr>
        <w:t>consult</w:t>
      </w:r>
      <w:r w:rsidR="00367B32">
        <w:rPr>
          <w:rFonts w:ascii="Arial" w:hAnsi="Arial" w:cs="Arial"/>
          <w:sz w:val="24"/>
          <w:szCs w:val="24"/>
          <w:lang w:val="es-ES"/>
        </w:rPr>
        <w:t>a relativa a la acumulación de</w:t>
      </w:r>
      <w:r w:rsidR="00BF0E42" w:rsidRPr="00BF0E42">
        <w:rPr>
          <w:rFonts w:ascii="Arial" w:hAnsi="Arial" w:cs="Arial"/>
          <w:sz w:val="24"/>
          <w:szCs w:val="24"/>
          <w:lang w:val="es-ES"/>
        </w:rPr>
        <w:t xml:space="preserve"> cargo</w:t>
      </w:r>
      <w:r w:rsidR="00367B32">
        <w:rPr>
          <w:rFonts w:ascii="Arial" w:hAnsi="Arial" w:cs="Arial"/>
          <w:sz w:val="24"/>
          <w:szCs w:val="24"/>
          <w:lang w:val="es-ES"/>
        </w:rPr>
        <w:t>s</w:t>
      </w:r>
      <w:r w:rsidR="00235BB6">
        <w:rPr>
          <w:rFonts w:ascii="Arial" w:hAnsi="Arial" w:cs="Arial"/>
          <w:sz w:val="24"/>
          <w:szCs w:val="24"/>
          <w:lang w:val="es-ES"/>
        </w:rPr>
        <w:t xml:space="preserve"> de Auxiliar de Enfermería (Escalafón </w:t>
      </w:r>
      <w:r w:rsidR="00BF0E42" w:rsidRPr="00BF0E42">
        <w:rPr>
          <w:rFonts w:ascii="Arial" w:hAnsi="Arial" w:cs="Arial"/>
          <w:sz w:val="24"/>
          <w:szCs w:val="24"/>
          <w:lang w:val="es-ES"/>
        </w:rPr>
        <w:t xml:space="preserve">D) con </w:t>
      </w:r>
      <w:r w:rsidR="002008D5">
        <w:rPr>
          <w:rFonts w:ascii="Arial" w:hAnsi="Arial" w:cs="Arial"/>
          <w:sz w:val="24"/>
          <w:szCs w:val="24"/>
          <w:lang w:val="es-ES"/>
        </w:rPr>
        <w:t>contrato</w:t>
      </w:r>
      <w:r w:rsidR="00367B32">
        <w:rPr>
          <w:rFonts w:ascii="Arial" w:hAnsi="Arial" w:cs="Arial"/>
          <w:sz w:val="24"/>
          <w:szCs w:val="24"/>
          <w:lang w:val="es-ES"/>
        </w:rPr>
        <w:t>s</w:t>
      </w:r>
      <w:r w:rsidR="002008D5">
        <w:rPr>
          <w:rFonts w:ascii="Arial" w:hAnsi="Arial" w:cs="Arial"/>
          <w:sz w:val="24"/>
          <w:szCs w:val="24"/>
          <w:lang w:val="es-ES"/>
        </w:rPr>
        <w:t xml:space="preserve"> a</w:t>
      </w:r>
      <w:r w:rsidR="00367B32">
        <w:rPr>
          <w:rFonts w:ascii="Arial" w:hAnsi="Arial" w:cs="Arial"/>
          <w:sz w:val="24"/>
          <w:szCs w:val="24"/>
          <w:lang w:val="es-ES"/>
        </w:rPr>
        <w:t>nuales</w:t>
      </w:r>
      <w:r w:rsidR="002008D5">
        <w:rPr>
          <w:rFonts w:ascii="Arial" w:hAnsi="Arial" w:cs="Arial"/>
          <w:sz w:val="24"/>
          <w:szCs w:val="24"/>
          <w:lang w:val="es-ES"/>
        </w:rPr>
        <w:t xml:space="preserve"> de </w:t>
      </w:r>
      <w:r w:rsidR="00367B32">
        <w:rPr>
          <w:rFonts w:ascii="Arial" w:hAnsi="Arial" w:cs="Arial"/>
          <w:sz w:val="24"/>
          <w:szCs w:val="24"/>
          <w:lang w:val="es-ES"/>
        </w:rPr>
        <w:t>Practicante Interno de</w:t>
      </w:r>
      <w:r w:rsidR="002008D5">
        <w:rPr>
          <w:rFonts w:ascii="Arial" w:hAnsi="Arial" w:cs="Arial"/>
          <w:sz w:val="24"/>
          <w:szCs w:val="24"/>
          <w:lang w:val="es-ES"/>
        </w:rPr>
        <w:t xml:space="preserve"> Enfermería</w:t>
      </w:r>
      <w:r w:rsidR="00BF0E42" w:rsidRPr="00BF0E42">
        <w:rPr>
          <w:rFonts w:ascii="Arial" w:hAnsi="Arial" w:cs="Arial"/>
          <w:sz w:val="24"/>
          <w:szCs w:val="24"/>
          <w:lang w:val="es-ES"/>
        </w:rPr>
        <w:t xml:space="preserve"> (Esc</w:t>
      </w:r>
      <w:r w:rsidR="00235BB6">
        <w:rPr>
          <w:rFonts w:ascii="Arial" w:hAnsi="Arial" w:cs="Arial"/>
          <w:sz w:val="24"/>
          <w:szCs w:val="24"/>
          <w:lang w:val="es-ES"/>
        </w:rPr>
        <w:t xml:space="preserve">alafón </w:t>
      </w:r>
      <w:r w:rsidR="00367B32">
        <w:rPr>
          <w:rFonts w:ascii="Arial" w:hAnsi="Arial" w:cs="Arial"/>
          <w:sz w:val="24"/>
          <w:szCs w:val="24"/>
          <w:lang w:val="es-ES"/>
        </w:rPr>
        <w:t>B</w:t>
      </w:r>
      <w:r w:rsidR="00BF0E42" w:rsidRPr="00BF0E42">
        <w:rPr>
          <w:rFonts w:ascii="Arial" w:hAnsi="Arial" w:cs="Arial"/>
          <w:sz w:val="24"/>
          <w:szCs w:val="24"/>
          <w:lang w:val="es-ES"/>
        </w:rPr>
        <w:t>)</w:t>
      </w:r>
      <w:r w:rsidRPr="00BF0E42">
        <w:rPr>
          <w:rFonts w:ascii="Arial" w:hAnsi="Arial" w:cs="Arial"/>
          <w:sz w:val="24"/>
          <w:szCs w:val="24"/>
          <w:lang w:val="es-ES"/>
        </w:rPr>
        <w:t>;</w:t>
      </w:r>
    </w:p>
    <w:p w:rsidR="00390B86" w:rsidRDefault="00FF2A14" w:rsidP="00235B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0E42">
        <w:rPr>
          <w:rFonts w:ascii="Arial" w:hAnsi="Arial" w:cs="Arial"/>
          <w:b/>
          <w:bCs/>
          <w:sz w:val="24"/>
          <w:szCs w:val="24"/>
        </w:rPr>
        <w:t>RESULTANDO:</w:t>
      </w:r>
      <w:r w:rsidR="00BF0E42" w:rsidRPr="00BF0E42">
        <w:rPr>
          <w:rFonts w:ascii="Arial" w:hAnsi="Arial" w:cs="Arial"/>
          <w:sz w:val="24"/>
          <w:szCs w:val="24"/>
        </w:rPr>
        <w:t xml:space="preserve"> </w:t>
      </w:r>
      <w:r w:rsidR="00BF0E42">
        <w:rPr>
          <w:rFonts w:ascii="Arial" w:hAnsi="Arial" w:cs="Arial"/>
          <w:b/>
          <w:sz w:val="24"/>
          <w:szCs w:val="24"/>
        </w:rPr>
        <w:t xml:space="preserve">1) </w:t>
      </w:r>
      <w:r w:rsidR="00367B32">
        <w:rPr>
          <w:rFonts w:ascii="Arial" w:hAnsi="Arial" w:cs="Arial"/>
          <w:sz w:val="24"/>
          <w:szCs w:val="24"/>
        </w:rPr>
        <w:t>q</w:t>
      </w:r>
      <w:r w:rsidR="00235BB6">
        <w:rPr>
          <w:rFonts w:ascii="Arial" w:hAnsi="Arial" w:cs="Arial"/>
          <w:sz w:val="24"/>
          <w:szCs w:val="24"/>
        </w:rPr>
        <w:t>ue por Resoluciones de fecha 19/05/</w:t>
      </w:r>
      <w:r w:rsidR="00367B32">
        <w:rPr>
          <w:rFonts w:ascii="Arial" w:hAnsi="Arial" w:cs="Arial"/>
          <w:sz w:val="24"/>
          <w:szCs w:val="24"/>
        </w:rPr>
        <w:t xml:space="preserve">16, </w:t>
      </w:r>
      <w:r w:rsidR="00235BB6">
        <w:rPr>
          <w:rFonts w:ascii="Arial" w:hAnsi="Arial" w:cs="Arial"/>
          <w:sz w:val="24"/>
          <w:szCs w:val="24"/>
        </w:rPr>
        <w:t>0</w:t>
      </w:r>
      <w:r w:rsidR="00367B32">
        <w:rPr>
          <w:rFonts w:ascii="Arial" w:hAnsi="Arial" w:cs="Arial"/>
          <w:sz w:val="24"/>
          <w:szCs w:val="24"/>
        </w:rPr>
        <w:t>9</w:t>
      </w:r>
      <w:r w:rsidR="00235BB6">
        <w:rPr>
          <w:rFonts w:ascii="Arial" w:hAnsi="Arial" w:cs="Arial"/>
          <w:sz w:val="24"/>
          <w:szCs w:val="24"/>
        </w:rPr>
        <w:t>/06/16 y 16/06/</w:t>
      </w:r>
      <w:r w:rsidR="00367B32">
        <w:rPr>
          <w:rFonts w:ascii="Arial" w:hAnsi="Arial" w:cs="Arial"/>
          <w:sz w:val="24"/>
          <w:szCs w:val="24"/>
        </w:rPr>
        <w:t xml:space="preserve">16, la Gerencia de Recursos Humanos de ASSE, en ejercicio de atribuciones delegadas del Directorio del Organismo, autorizó, a partir de la fecha de posesión del cargo, la acumulación de sueldos de siete Auxiliares de Enfermería de ASSE, </w:t>
      </w:r>
      <w:r w:rsidR="00235BB6">
        <w:rPr>
          <w:rFonts w:ascii="Arial" w:hAnsi="Arial" w:cs="Arial"/>
          <w:sz w:val="24"/>
          <w:szCs w:val="24"/>
          <w:lang w:val="es-ES"/>
        </w:rPr>
        <w:t xml:space="preserve">(Escalafón </w:t>
      </w:r>
      <w:r w:rsidR="00367B32" w:rsidRPr="00BF0E42">
        <w:rPr>
          <w:rFonts w:ascii="Arial" w:hAnsi="Arial" w:cs="Arial"/>
          <w:sz w:val="24"/>
          <w:szCs w:val="24"/>
          <w:lang w:val="es-ES"/>
        </w:rPr>
        <w:t xml:space="preserve">D) con </w:t>
      </w:r>
      <w:r w:rsidR="00367B32">
        <w:rPr>
          <w:rFonts w:ascii="Arial" w:hAnsi="Arial" w:cs="Arial"/>
          <w:sz w:val="24"/>
          <w:szCs w:val="24"/>
          <w:lang w:val="es-ES"/>
        </w:rPr>
        <w:t>contratos anuales de Practicante Interno de Enfermería</w:t>
      </w:r>
      <w:r w:rsidR="00235BB6">
        <w:rPr>
          <w:rFonts w:ascii="Arial" w:hAnsi="Arial" w:cs="Arial"/>
          <w:sz w:val="24"/>
          <w:szCs w:val="24"/>
          <w:lang w:val="es-ES"/>
        </w:rPr>
        <w:t xml:space="preserve"> (Escalafón</w:t>
      </w:r>
      <w:r w:rsidR="00367B32" w:rsidRPr="00BF0E42">
        <w:rPr>
          <w:rFonts w:ascii="Arial" w:hAnsi="Arial" w:cs="Arial"/>
          <w:sz w:val="24"/>
          <w:szCs w:val="24"/>
          <w:lang w:val="es-ES"/>
        </w:rPr>
        <w:t xml:space="preserve"> </w:t>
      </w:r>
      <w:r w:rsidR="00367B32">
        <w:rPr>
          <w:rFonts w:ascii="Arial" w:hAnsi="Arial" w:cs="Arial"/>
          <w:sz w:val="24"/>
          <w:szCs w:val="24"/>
          <w:lang w:val="es-ES"/>
        </w:rPr>
        <w:t>B</w:t>
      </w:r>
      <w:r w:rsidR="00367B32" w:rsidRPr="00BF0E42">
        <w:rPr>
          <w:rFonts w:ascii="Arial" w:hAnsi="Arial" w:cs="Arial"/>
          <w:sz w:val="24"/>
          <w:szCs w:val="24"/>
          <w:lang w:val="es-ES"/>
        </w:rPr>
        <w:t>)</w:t>
      </w:r>
      <w:r w:rsidR="00367B32">
        <w:rPr>
          <w:rFonts w:ascii="Arial" w:hAnsi="Arial" w:cs="Arial"/>
          <w:sz w:val="24"/>
          <w:szCs w:val="24"/>
        </w:rPr>
        <w:t>;</w:t>
      </w:r>
      <w:r w:rsidR="00390B86">
        <w:rPr>
          <w:rFonts w:ascii="Arial" w:hAnsi="Arial" w:cs="Arial"/>
          <w:sz w:val="24"/>
          <w:szCs w:val="24"/>
        </w:rPr>
        <w:t xml:space="preserve"> </w:t>
      </w:r>
    </w:p>
    <w:p w:rsidR="00BC5F9B" w:rsidRDefault="00BC5F9B" w:rsidP="00235BB6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750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se adjuntan formularios de Declaración Jurada para acumulación de empleo con cargo a fondos públicos, de cinco de los seis funcionarios, sin contar con conformidad de la RIEPS y MSP </w:t>
      </w:r>
      <w:r w:rsidR="00235BB6">
        <w:rPr>
          <w:rFonts w:ascii="Arial" w:hAnsi="Arial" w:cs="Arial"/>
          <w:sz w:val="24"/>
          <w:szCs w:val="24"/>
        </w:rPr>
        <w:t>(al tenor de lo previsto en el A</w:t>
      </w:r>
      <w:r>
        <w:rPr>
          <w:rFonts w:ascii="Arial" w:hAnsi="Arial" w:cs="Arial"/>
          <w:sz w:val="24"/>
          <w:szCs w:val="24"/>
        </w:rPr>
        <w:t>rtículo 279 de la Ley 18.996)</w:t>
      </w:r>
    </w:p>
    <w:p w:rsidR="00795ABB" w:rsidRDefault="0087750C" w:rsidP="00235BB6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F3BA2">
        <w:rPr>
          <w:rFonts w:ascii="Arial" w:hAnsi="Arial" w:cs="Arial"/>
          <w:b/>
          <w:sz w:val="24"/>
          <w:szCs w:val="24"/>
        </w:rPr>
        <w:t xml:space="preserve">) </w:t>
      </w:r>
      <w:r w:rsidRPr="0087750C">
        <w:rPr>
          <w:rFonts w:ascii="Arial" w:hAnsi="Arial" w:cs="Arial"/>
          <w:sz w:val="24"/>
          <w:szCs w:val="24"/>
        </w:rPr>
        <w:t xml:space="preserve">que por nota de fecha </w:t>
      </w:r>
      <w:r w:rsidR="00235BB6">
        <w:rPr>
          <w:rFonts w:ascii="Arial" w:hAnsi="Arial" w:cs="Arial"/>
          <w:sz w:val="24"/>
          <w:szCs w:val="24"/>
        </w:rPr>
        <w:t>0</w:t>
      </w:r>
      <w:r w:rsidRPr="0087750C">
        <w:rPr>
          <w:rFonts w:ascii="Arial" w:hAnsi="Arial" w:cs="Arial"/>
          <w:sz w:val="24"/>
          <w:szCs w:val="24"/>
        </w:rPr>
        <w:t>6</w:t>
      </w:r>
      <w:r w:rsidR="00235BB6">
        <w:rPr>
          <w:rFonts w:ascii="Arial" w:hAnsi="Arial" w:cs="Arial"/>
          <w:sz w:val="24"/>
          <w:szCs w:val="24"/>
        </w:rPr>
        <w:t>/07/</w:t>
      </w:r>
      <w:r w:rsidRPr="0087750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 la Dirección de Desarrollo Personal de ASSE, indicó que las seis contrataciones fueron rechazadas por la Auditoría, por no corresponder la acumulación con un Escalafón B;</w:t>
      </w:r>
      <w:bookmarkStart w:id="0" w:name="_GoBack"/>
      <w:bookmarkEnd w:id="0"/>
    </w:p>
    <w:p w:rsidR="0087750C" w:rsidRDefault="0087750C" w:rsidP="0087750C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7750C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informe de fecha 29</w:t>
      </w:r>
      <w:r w:rsidR="00235BB6">
        <w:rPr>
          <w:rFonts w:ascii="Arial" w:hAnsi="Arial" w:cs="Arial"/>
          <w:sz w:val="24"/>
          <w:szCs w:val="24"/>
        </w:rPr>
        <w:t>/09/</w:t>
      </w:r>
      <w:r>
        <w:rPr>
          <w:rFonts w:ascii="Arial" w:hAnsi="Arial" w:cs="Arial"/>
          <w:sz w:val="24"/>
          <w:szCs w:val="24"/>
        </w:rPr>
        <w:t xml:space="preserve">16, la Gerencia de RRHH de ASSE dispuso el pasaje de las actuaciones  a la Auditoría Delegada de este </w:t>
      </w:r>
      <w:r>
        <w:rPr>
          <w:rFonts w:ascii="Arial" w:hAnsi="Arial" w:cs="Arial"/>
          <w:sz w:val="24"/>
          <w:szCs w:val="24"/>
        </w:rPr>
        <w:lastRenderedPageBreak/>
        <w:t>Tribunal, a efectos de que se sirva informar los motivos de la observación a las contrataciones;</w:t>
      </w:r>
    </w:p>
    <w:p w:rsidR="0087750C" w:rsidRPr="00795ABB" w:rsidRDefault="0087750C" w:rsidP="00235BB6">
      <w:pPr>
        <w:tabs>
          <w:tab w:val="left" w:pos="1843"/>
        </w:tabs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87750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nota de fecha </w:t>
      </w:r>
      <w:r w:rsidR="00235BB6">
        <w:rPr>
          <w:rFonts w:ascii="Arial" w:hAnsi="Arial" w:cs="Arial"/>
          <w:sz w:val="24"/>
          <w:szCs w:val="24"/>
        </w:rPr>
        <w:t>24/10/</w:t>
      </w:r>
      <w:r w:rsidR="00B9119D">
        <w:rPr>
          <w:rFonts w:ascii="Arial" w:hAnsi="Arial" w:cs="Arial"/>
          <w:sz w:val="24"/>
          <w:szCs w:val="24"/>
        </w:rPr>
        <w:t xml:space="preserve">16, el Contador Delegado en ASSE remite consulta a este Tribunal, </w:t>
      </w:r>
      <w:r w:rsidR="007453A1">
        <w:rPr>
          <w:rFonts w:ascii="Arial" w:hAnsi="Arial" w:cs="Arial"/>
          <w:sz w:val="24"/>
          <w:szCs w:val="24"/>
        </w:rPr>
        <w:t xml:space="preserve">solicitando se instruya si las contrataciones referidas se ajustan a la normativa vigente, en virtud de la Resolución adoptada </w:t>
      </w:r>
      <w:r w:rsidR="00235BB6">
        <w:rPr>
          <w:rFonts w:ascii="Arial" w:hAnsi="Arial" w:cs="Arial"/>
          <w:sz w:val="24"/>
          <w:szCs w:val="24"/>
        </w:rPr>
        <w:t>por este Tribunal con fecha 16/03/</w:t>
      </w:r>
      <w:r w:rsidR="007453A1">
        <w:rPr>
          <w:rFonts w:ascii="Arial" w:hAnsi="Arial" w:cs="Arial"/>
          <w:sz w:val="24"/>
          <w:szCs w:val="24"/>
        </w:rPr>
        <w:t>16;</w:t>
      </w:r>
      <w:r>
        <w:rPr>
          <w:rFonts w:ascii="Arial" w:hAnsi="Arial" w:cs="Arial"/>
          <w:sz w:val="24"/>
          <w:szCs w:val="24"/>
        </w:rPr>
        <w:tab/>
      </w:r>
    </w:p>
    <w:p w:rsidR="00235BB6" w:rsidRDefault="00FF2A14" w:rsidP="00235BB6">
      <w:pPr>
        <w:tabs>
          <w:tab w:val="left" w:pos="1843"/>
        </w:tabs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F0E42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="00057557">
        <w:rPr>
          <w:rFonts w:ascii="Arial" w:hAnsi="Arial" w:cs="Arial"/>
          <w:bCs/>
          <w:sz w:val="24"/>
          <w:szCs w:val="24"/>
        </w:rPr>
        <w:t>que la presente consulta</w:t>
      </w:r>
      <w:r w:rsidR="00235BB6">
        <w:rPr>
          <w:rFonts w:ascii="Arial" w:hAnsi="Arial" w:cs="Arial"/>
          <w:bCs/>
          <w:sz w:val="24"/>
          <w:szCs w:val="24"/>
        </w:rPr>
        <w:t xml:space="preserve"> se ajusta a lo previsto en el A</w:t>
      </w:r>
      <w:r w:rsidR="00057557">
        <w:rPr>
          <w:rFonts w:ascii="Arial" w:hAnsi="Arial" w:cs="Arial"/>
          <w:bCs/>
          <w:sz w:val="24"/>
          <w:szCs w:val="24"/>
        </w:rPr>
        <w:t xml:space="preserve">rtículo 15 de la Ordenanza Nº 64 de este Tribunal, por el que se prevé que </w:t>
      </w:r>
      <w:r w:rsidR="00057557">
        <w:rPr>
          <w:rFonts w:ascii="Arial" w:hAnsi="Arial" w:cs="Arial"/>
          <w:bCs/>
          <w:i/>
          <w:sz w:val="24"/>
          <w:szCs w:val="24"/>
        </w:rPr>
        <w:t>“</w:t>
      </w:r>
      <w:r w:rsidR="00057557" w:rsidRPr="00057557">
        <w:rPr>
          <w:rFonts w:ascii="Arial" w:hAnsi="Arial" w:cs="Arial"/>
          <w:i/>
          <w:sz w:val="24"/>
          <w:szCs w:val="24"/>
        </w:rPr>
        <w:t>La actuación de los Contadores Delegados consistirá en certificar la legalidad del gasto y el pago, o formular las observaciones que le merezcan, pudiendo, en caso de duda, consultar al Tribunal de Cuentas remitiendo los antecedentes del caso</w:t>
      </w:r>
      <w:r w:rsidR="00057557">
        <w:rPr>
          <w:rFonts w:ascii="Arial" w:hAnsi="Arial" w:cs="Arial"/>
          <w:i/>
          <w:sz w:val="24"/>
          <w:szCs w:val="24"/>
        </w:rPr>
        <w:t>”;</w:t>
      </w:r>
    </w:p>
    <w:p w:rsidR="00235BB6" w:rsidRDefault="00057557" w:rsidP="00235BB6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i/>
          <w:sz w:val="24"/>
          <w:szCs w:val="24"/>
        </w:rPr>
      </w:pPr>
      <w:r w:rsidRPr="00057557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4822F5">
        <w:rPr>
          <w:rFonts w:ascii="Arial" w:hAnsi="Arial" w:cs="Arial"/>
          <w:sz w:val="24"/>
          <w:szCs w:val="24"/>
        </w:rPr>
        <w:t>de acuerdo a los antecedentes obrantes, la situación tram</w:t>
      </w:r>
      <w:r w:rsidR="00A25665">
        <w:rPr>
          <w:rFonts w:ascii="Arial" w:hAnsi="Arial" w:cs="Arial"/>
          <w:sz w:val="24"/>
          <w:szCs w:val="24"/>
        </w:rPr>
        <w:t xml:space="preserve">itada en el </w:t>
      </w:r>
      <w:r w:rsidR="002A4FFB">
        <w:rPr>
          <w:rFonts w:ascii="Arial" w:hAnsi="Arial" w:cs="Arial"/>
          <w:sz w:val="24"/>
          <w:szCs w:val="24"/>
        </w:rPr>
        <w:t>presente expediente de ASSE</w:t>
      </w:r>
      <w:r w:rsidR="00A25665">
        <w:rPr>
          <w:rFonts w:ascii="Arial" w:hAnsi="Arial" w:cs="Arial"/>
          <w:sz w:val="24"/>
          <w:szCs w:val="24"/>
        </w:rPr>
        <w:t xml:space="preserve"> </w:t>
      </w:r>
      <w:r w:rsidR="00465D32">
        <w:rPr>
          <w:rFonts w:ascii="Arial" w:hAnsi="Arial" w:cs="Arial"/>
          <w:sz w:val="24"/>
          <w:szCs w:val="24"/>
        </w:rPr>
        <w:t xml:space="preserve">se encuentra enmarcada en las previsiones de los </w:t>
      </w:r>
      <w:r w:rsidR="00235BB6">
        <w:rPr>
          <w:rFonts w:ascii="Arial" w:hAnsi="Arial" w:cs="Arial"/>
          <w:sz w:val="24"/>
          <w:szCs w:val="24"/>
        </w:rPr>
        <w:t>A</w:t>
      </w:r>
      <w:r w:rsidR="00465D32">
        <w:rPr>
          <w:rFonts w:ascii="Arial" w:hAnsi="Arial" w:cs="Arial"/>
          <w:sz w:val="24"/>
          <w:szCs w:val="24"/>
        </w:rPr>
        <w:t>rtículos 107 del Decreto Ley 14.985</w:t>
      </w:r>
      <w:r w:rsidR="005679BB">
        <w:rPr>
          <w:rFonts w:ascii="Arial" w:hAnsi="Arial" w:cs="Arial"/>
          <w:sz w:val="24"/>
          <w:szCs w:val="24"/>
        </w:rPr>
        <w:t xml:space="preserve"> (reglamentado por el Decreto 459/983)</w:t>
      </w:r>
      <w:r w:rsidR="00465D32">
        <w:rPr>
          <w:rFonts w:ascii="Arial" w:hAnsi="Arial" w:cs="Arial"/>
          <w:sz w:val="24"/>
          <w:szCs w:val="24"/>
        </w:rPr>
        <w:t xml:space="preserve">, 279 de la Ley 18.996 y </w:t>
      </w:r>
      <w:r w:rsidR="00833997">
        <w:rPr>
          <w:rFonts w:ascii="Arial" w:hAnsi="Arial" w:cs="Arial"/>
          <w:sz w:val="24"/>
          <w:szCs w:val="24"/>
        </w:rPr>
        <w:t>594 de la Ley 19.</w:t>
      </w:r>
      <w:r w:rsidR="00465D32">
        <w:rPr>
          <w:rFonts w:ascii="Arial" w:hAnsi="Arial" w:cs="Arial"/>
          <w:sz w:val="24"/>
          <w:szCs w:val="24"/>
        </w:rPr>
        <w:t>3</w:t>
      </w:r>
      <w:r w:rsidR="00833997">
        <w:rPr>
          <w:rFonts w:ascii="Arial" w:hAnsi="Arial" w:cs="Arial"/>
          <w:sz w:val="24"/>
          <w:szCs w:val="24"/>
        </w:rPr>
        <w:t>55</w:t>
      </w:r>
      <w:r w:rsidR="00465D32">
        <w:rPr>
          <w:rFonts w:ascii="Arial" w:hAnsi="Arial" w:cs="Arial"/>
          <w:sz w:val="24"/>
          <w:szCs w:val="24"/>
        </w:rPr>
        <w:t>;</w:t>
      </w:r>
    </w:p>
    <w:p w:rsidR="00057557" w:rsidRDefault="00465D32" w:rsidP="00956D53">
      <w:pPr>
        <w:tabs>
          <w:tab w:val="left" w:pos="1843"/>
        </w:tabs>
        <w:spacing w:after="0" w:line="360" w:lineRule="auto"/>
        <w:ind w:firstLine="2835"/>
        <w:jc w:val="both"/>
        <w:rPr>
          <w:rFonts w:ascii="Arial" w:hAnsi="Arial" w:cs="Arial"/>
          <w:i/>
          <w:sz w:val="24"/>
          <w:szCs w:val="24"/>
        </w:rPr>
      </w:pPr>
      <w:r w:rsidRPr="00465D32">
        <w:rPr>
          <w:rFonts w:ascii="Arial" w:hAnsi="Arial" w:cs="Arial"/>
          <w:b/>
          <w:sz w:val="24"/>
          <w:szCs w:val="24"/>
        </w:rPr>
        <w:t xml:space="preserve">3) </w:t>
      </w:r>
      <w:r w:rsidR="00956D53">
        <w:rPr>
          <w:rFonts w:ascii="Arial" w:hAnsi="Arial" w:cs="Arial"/>
          <w:sz w:val="24"/>
          <w:szCs w:val="24"/>
        </w:rPr>
        <w:t>que en tal sentido, el A</w:t>
      </w:r>
      <w:r w:rsidR="005679BB" w:rsidRPr="005679BB">
        <w:rPr>
          <w:rFonts w:ascii="Arial" w:hAnsi="Arial" w:cs="Arial"/>
          <w:sz w:val="24"/>
          <w:szCs w:val="24"/>
        </w:rPr>
        <w:t>rtículo</w:t>
      </w:r>
      <w:r w:rsidR="005679BB">
        <w:rPr>
          <w:rFonts w:ascii="Arial" w:hAnsi="Arial" w:cs="Arial"/>
          <w:b/>
          <w:sz w:val="24"/>
          <w:szCs w:val="24"/>
        </w:rPr>
        <w:t xml:space="preserve"> </w:t>
      </w:r>
      <w:r w:rsidR="005679BB">
        <w:rPr>
          <w:rFonts w:ascii="Arial" w:hAnsi="Arial" w:cs="Arial"/>
          <w:sz w:val="24"/>
          <w:szCs w:val="24"/>
        </w:rPr>
        <w:t>107 del Decreto Ley 14.985, prevé que “</w:t>
      </w:r>
      <w:r w:rsidR="005679BB">
        <w:rPr>
          <w:rFonts w:ascii="Arial" w:hAnsi="Arial" w:cs="Arial"/>
          <w:i/>
          <w:sz w:val="24"/>
          <w:szCs w:val="24"/>
        </w:rPr>
        <w:t>l</w:t>
      </w:r>
      <w:r w:rsidRPr="00465D32">
        <w:rPr>
          <w:rFonts w:ascii="Arial" w:hAnsi="Arial" w:cs="Arial"/>
          <w:i/>
          <w:sz w:val="24"/>
          <w:szCs w:val="24"/>
        </w:rPr>
        <w:t xml:space="preserve">as personas que ocupan cargos de Enfermeras Universitarias (Escalafón </w:t>
      </w:r>
      <w:proofErr w:type="spellStart"/>
      <w:r w:rsidRPr="00465D32">
        <w:rPr>
          <w:rFonts w:ascii="Arial" w:hAnsi="Arial" w:cs="Arial"/>
          <w:i/>
          <w:sz w:val="24"/>
          <w:szCs w:val="24"/>
        </w:rPr>
        <w:t>AaB</w:t>
      </w:r>
      <w:proofErr w:type="spellEnd"/>
      <w:r w:rsidRPr="00465D32">
        <w:rPr>
          <w:rFonts w:ascii="Arial" w:hAnsi="Arial" w:cs="Arial"/>
          <w:i/>
          <w:sz w:val="24"/>
          <w:szCs w:val="24"/>
        </w:rPr>
        <w:t>) del Ministerio de Salud Pública, podrán acumular a su sueldo el de otro cargo que desempeñen en la Administración Pública, siempre que no exista superposición de horarios entre ambos cargos, de acuerdo a la reglamentación que dicte el Poder Ejecutivo</w:t>
      </w:r>
      <w:r w:rsidR="005679BB">
        <w:rPr>
          <w:rFonts w:ascii="Arial" w:hAnsi="Arial" w:cs="Arial"/>
          <w:i/>
          <w:sz w:val="24"/>
          <w:szCs w:val="24"/>
        </w:rPr>
        <w:t>”;</w:t>
      </w:r>
    </w:p>
    <w:p w:rsidR="00634909" w:rsidRDefault="00923E98" w:rsidP="00956D53">
      <w:pPr>
        <w:tabs>
          <w:tab w:val="left" w:pos="1843"/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23E9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 w:rsidR="00C26866">
        <w:rPr>
          <w:rFonts w:ascii="Arial" w:hAnsi="Arial" w:cs="Arial"/>
          <w:sz w:val="24"/>
          <w:szCs w:val="24"/>
        </w:rPr>
        <w:t xml:space="preserve"> sin pe</w:t>
      </w:r>
      <w:r w:rsidR="00956D53">
        <w:rPr>
          <w:rFonts w:ascii="Arial" w:hAnsi="Arial" w:cs="Arial"/>
          <w:sz w:val="24"/>
          <w:szCs w:val="24"/>
        </w:rPr>
        <w:t>rjuicio de las previsiones del A</w:t>
      </w:r>
      <w:r w:rsidR="00C26866">
        <w:rPr>
          <w:rFonts w:ascii="Arial" w:hAnsi="Arial" w:cs="Arial"/>
          <w:sz w:val="24"/>
          <w:szCs w:val="24"/>
        </w:rPr>
        <w:t>rtículo 594 de la Ley 19.355,</w:t>
      </w:r>
      <w:r>
        <w:rPr>
          <w:rFonts w:ascii="Arial" w:hAnsi="Arial" w:cs="Arial"/>
          <w:sz w:val="24"/>
          <w:szCs w:val="24"/>
        </w:rPr>
        <w:t xml:space="preserve"> el Decreto 459/983, de fecha </w:t>
      </w:r>
      <w:r w:rsidR="00956D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="00956D53">
        <w:rPr>
          <w:rFonts w:ascii="Arial" w:hAnsi="Arial" w:cs="Arial"/>
          <w:sz w:val="24"/>
          <w:szCs w:val="24"/>
        </w:rPr>
        <w:t>/12/</w:t>
      </w:r>
      <w:r>
        <w:rPr>
          <w:rFonts w:ascii="Arial" w:hAnsi="Arial" w:cs="Arial"/>
          <w:sz w:val="24"/>
          <w:szCs w:val="24"/>
        </w:rPr>
        <w:t xml:space="preserve">1983, reglamentario de la norma legislativa referida, prevé en su </w:t>
      </w:r>
      <w:r w:rsidR="00956D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 que </w:t>
      </w:r>
      <w:r w:rsidR="00634909">
        <w:rPr>
          <w:rFonts w:ascii="Arial" w:hAnsi="Arial" w:cs="Arial"/>
          <w:sz w:val="24"/>
          <w:szCs w:val="24"/>
        </w:rPr>
        <w:t>las únicas condiciones para la aprobación de la acumulación serán: a) la no superposición de horarios entre ambos cargos</w:t>
      </w:r>
      <w:r w:rsidR="00EB2E1B">
        <w:rPr>
          <w:rFonts w:ascii="Arial" w:hAnsi="Arial" w:cs="Arial"/>
          <w:sz w:val="24"/>
          <w:szCs w:val="24"/>
        </w:rPr>
        <w:t>,</w:t>
      </w:r>
      <w:r w:rsidR="00634909">
        <w:rPr>
          <w:rFonts w:ascii="Arial" w:hAnsi="Arial" w:cs="Arial"/>
          <w:sz w:val="24"/>
          <w:szCs w:val="24"/>
        </w:rPr>
        <w:t xml:space="preserve"> siempre que no se cause perjuicio al servicio respectivo;</w:t>
      </w:r>
      <w:r w:rsidR="00956D53">
        <w:rPr>
          <w:rFonts w:ascii="Arial" w:hAnsi="Arial" w:cs="Arial"/>
          <w:sz w:val="24"/>
          <w:szCs w:val="24"/>
        </w:rPr>
        <w:t xml:space="preserve"> y </w:t>
      </w:r>
      <w:r w:rsidR="00634909">
        <w:rPr>
          <w:rFonts w:ascii="Arial" w:hAnsi="Arial" w:cs="Arial"/>
          <w:sz w:val="24"/>
          <w:szCs w:val="24"/>
        </w:rPr>
        <w:t xml:space="preserve"> b) no superar 12 horas diarias de labor;</w:t>
      </w:r>
    </w:p>
    <w:p w:rsidR="00057557" w:rsidRDefault="00634909" w:rsidP="00956D53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634909">
        <w:rPr>
          <w:rFonts w:ascii="Arial" w:hAnsi="Arial" w:cs="Arial"/>
          <w:b/>
          <w:sz w:val="24"/>
          <w:szCs w:val="24"/>
        </w:rPr>
        <w:lastRenderedPageBreak/>
        <w:t>5)</w:t>
      </w:r>
      <w:r w:rsidR="00956D53">
        <w:rPr>
          <w:rFonts w:ascii="Arial" w:hAnsi="Arial" w:cs="Arial"/>
          <w:sz w:val="24"/>
          <w:szCs w:val="24"/>
        </w:rPr>
        <w:t xml:space="preserve"> que por su parte, el A</w:t>
      </w:r>
      <w:r>
        <w:rPr>
          <w:rFonts w:ascii="Arial" w:hAnsi="Arial" w:cs="Arial"/>
          <w:sz w:val="24"/>
          <w:szCs w:val="24"/>
        </w:rPr>
        <w:t>rtículo 279 de la Ley 18.996, prevé la incorporación “</w:t>
      </w:r>
      <w:r w:rsidRPr="00634909">
        <w:rPr>
          <w:rFonts w:ascii="Arial" w:hAnsi="Arial" w:cs="Arial"/>
          <w:i/>
          <w:sz w:val="24"/>
          <w:szCs w:val="24"/>
          <w:lang w:val="es-ES"/>
        </w:rPr>
        <w:t xml:space="preserve">a los profesionales de la salud del Inciso 29 "Administración de los Servicios de Salud del Estado", entendiendo por tales a aquellas personas que desempeñan funciones técnicas inherentes a los escalafones A y B, vinculadas en forma directa a la atención de la salud humana, al régimen de acumulación de cargos establecido en el </w:t>
      </w:r>
      <w:r w:rsidR="00956D53">
        <w:rPr>
          <w:rFonts w:ascii="Arial" w:hAnsi="Arial" w:cs="Arial"/>
          <w:i/>
          <w:sz w:val="24"/>
          <w:szCs w:val="24"/>
          <w:lang w:val="es-ES"/>
        </w:rPr>
        <w:t>A</w:t>
      </w:r>
      <w:r w:rsidRPr="00634909">
        <w:rPr>
          <w:rFonts w:ascii="Arial" w:hAnsi="Arial" w:cs="Arial"/>
          <w:i/>
          <w:sz w:val="24"/>
          <w:szCs w:val="24"/>
          <w:lang w:val="es-ES"/>
        </w:rPr>
        <w:t>rtículo 107 del Decreto-Ley Nº 14.985, de 28</w:t>
      </w:r>
      <w:r w:rsidR="00956D53">
        <w:rPr>
          <w:rFonts w:ascii="Arial" w:hAnsi="Arial" w:cs="Arial"/>
          <w:i/>
          <w:sz w:val="24"/>
          <w:szCs w:val="24"/>
          <w:lang w:val="es-ES"/>
        </w:rPr>
        <w:t>/12/</w:t>
      </w:r>
      <w:r w:rsidRPr="00634909">
        <w:rPr>
          <w:rFonts w:ascii="Arial" w:hAnsi="Arial" w:cs="Arial"/>
          <w:i/>
          <w:sz w:val="24"/>
          <w:szCs w:val="24"/>
          <w:lang w:val="es-ES"/>
        </w:rPr>
        <w:t>1979, siempre que dichos cargos pertenezcan al área de la atención a la salud humana.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634909">
        <w:rPr>
          <w:rFonts w:ascii="Arial" w:hAnsi="Arial" w:cs="Arial"/>
          <w:i/>
          <w:sz w:val="24"/>
          <w:szCs w:val="24"/>
          <w:lang w:val="es-ES"/>
        </w:rPr>
        <w:t>Dicha acumulación deberá contar con el visto bueno del Consejo de la Red Integrada de Efectores Públicos de Salud (RIEPS) y del Ministerio de Salud Pública</w:t>
      </w:r>
      <w:r>
        <w:rPr>
          <w:rFonts w:ascii="Arial" w:hAnsi="Arial" w:cs="Arial"/>
          <w:i/>
          <w:sz w:val="24"/>
          <w:szCs w:val="24"/>
          <w:lang w:val="es-ES"/>
        </w:rPr>
        <w:t>”;</w:t>
      </w:r>
    </w:p>
    <w:p w:rsidR="00EE016D" w:rsidRDefault="00FC1AAA" w:rsidP="00956D53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C1AAA">
        <w:rPr>
          <w:rFonts w:ascii="Arial" w:hAnsi="Arial" w:cs="Arial"/>
          <w:b/>
          <w:sz w:val="24"/>
          <w:szCs w:val="24"/>
          <w:lang w:val="es-ES"/>
        </w:rPr>
        <w:t>6)</w:t>
      </w:r>
      <w:r w:rsidR="00EB2E1B">
        <w:rPr>
          <w:rFonts w:ascii="Arial" w:hAnsi="Arial" w:cs="Arial"/>
          <w:sz w:val="24"/>
          <w:szCs w:val="24"/>
          <w:lang w:val="es-ES"/>
        </w:rPr>
        <w:t xml:space="preserve"> que </w:t>
      </w:r>
      <w:r>
        <w:rPr>
          <w:rFonts w:ascii="Arial" w:hAnsi="Arial" w:cs="Arial"/>
          <w:sz w:val="24"/>
          <w:szCs w:val="24"/>
          <w:lang w:val="es-ES"/>
        </w:rPr>
        <w:t>cabe tener presente que la</w:t>
      </w:r>
      <w:r w:rsidR="00125B23">
        <w:rPr>
          <w:rFonts w:ascii="Arial" w:hAnsi="Arial" w:cs="Arial"/>
          <w:sz w:val="24"/>
          <w:szCs w:val="24"/>
          <w:lang w:val="es-ES"/>
        </w:rPr>
        <w:t>s presentes contratacio</w:t>
      </w:r>
      <w:r>
        <w:rPr>
          <w:rFonts w:ascii="Arial" w:hAnsi="Arial" w:cs="Arial"/>
          <w:sz w:val="24"/>
          <w:szCs w:val="24"/>
          <w:lang w:val="es-ES"/>
        </w:rPr>
        <w:t>n</w:t>
      </w:r>
      <w:r w:rsidR="00125B23">
        <w:rPr>
          <w:rFonts w:ascii="Arial" w:hAnsi="Arial" w:cs="Arial"/>
          <w:sz w:val="24"/>
          <w:szCs w:val="24"/>
          <w:lang w:val="es-ES"/>
        </w:rPr>
        <w:t>es</w:t>
      </w:r>
      <w:r>
        <w:rPr>
          <w:rFonts w:ascii="Arial" w:hAnsi="Arial" w:cs="Arial"/>
          <w:sz w:val="24"/>
          <w:szCs w:val="24"/>
          <w:lang w:val="es-ES"/>
        </w:rPr>
        <w:t xml:space="preserve"> se ampara</w:t>
      </w:r>
      <w:r w:rsidR="00125B23">
        <w:rPr>
          <w:rFonts w:ascii="Arial" w:hAnsi="Arial" w:cs="Arial"/>
          <w:sz w:val="24"/>
          <w:szCs w:val="24"/>
          <w:lang w:val="es-ES"/>
        </w:rPr>
        <w:t>n</w:t>
      </w:r>
      <w:r w:rsidR="00EE016D">
        <w:rPr>
          <w:rFonts w:ascii="Arial" w:hAnsi="Arial" w:cs="Arial"/>
          <w:sz w:val="24"/>
          <w:szCs w:val="24"/>
          <w:lang w:val="es-ES"/>
        </w:rPr>
        <w:t xml:space="preserve"> en lo dispuesto por el </w:t>
      </w:r>
      <w:r w:rsidR="00956D53">
        <w:rPr>
          <w:rFonts w:ascii="Arial" w:hAnsi="Arial" w:cs="Arial"/>
          <w:sz w:val="24"/>
          <w:szCs w:val="24"/>
          <w:lang w:val="es-ES"/>
        </w:rPr>
        <w:t>A</w:t>
      </w:r>
      <w:r w:rsidR="00EE016D">
        <w:rPr>
          <w:rFonts w:ascii="Arial" w:hAnsi="Arial" w:cs="Arial"/>
          <w:sz w:val="24"/>
          <w:szCs w:val="24"/>
          <w:lang w:val="es-ES"/>
        </w:rPr>
        <w:t>rt</w:t>
      </w:r>
      <w:r w:rsidR="00956D53">
        <w:rPr>
          <w:rFonts w:ascii="Arial" w:hAnsi="Arial" w:cs="Arial"/>
          <w:sz w:val="24"/>
          <w:szCs w:val="24"/>
          <w:lang w:val="es-ES"/>
        </w:rPr>
        <w:t>ículo</w:t>
      </w:r>
      <w:r w:rsidR="00EE016D">
        <w:rPr>
          <w:rFonts w:ascii="Arial" w:hAnsi="Arial" w:cs="Arial"/>
          <w:sz w:val="24"/>
          <w:szCs w:val="24"/>
          <w:lang w:val="es-ES"/>
        </w:rPr>
        <w:t xml:space="preserve"> </w:t>
      </w:r>
      <w:r w:rsidR="00125B23">
        <w:rPr>
          <w:rFonts w:ascii="Arial" w:hAnsi="Arial" w:cs="Arial"/>
          <w:sz w:val="24"/>
          <w:szCs w:val="24"/>
        </w:rPr>
        <w:t xml:space="preserve">594 </w:t>
      </w:r>
      <w:r w:rsidR="00EE016D">
        <w:rPr>
          <w:rFonts w:ascii="Arial" w:hAnsi="Arial" w:cs="Arial"/>
          <w:sz w:val="24"/>
          <w:szCs w:val="24"/>
        </w:rPr>
        <w:t>de la Ley 1</w:t>
      </w:r>
      <w:r w:rsidR="00125B23">
        <w:rPr>
          <w:rFonts w:ascii="Arial" w:hAnsi="Arial" w:cs="Arial"/>
          <w:sz w:val="24"/>
          <w:szCs w:val="24"/>
        </w:rPr>
        <w:t>9.355</w:t>
      </w:r>
      <w:r w:rsidR="00EE016D">
        <w:rPr>
          <w:rFonts w:ascii="Arial" w:hAnsi="Arial" w:cs="Arial"/>
          <w:sz w:val="24"/>
          <w:szCs w:val="24"/>
        </w:rPr>
        <w:t>, por el cual se prevé que “</w:t>
      </w:r>
      <w:r w:rsidR="00125B23" w:rsidRPr="00125B23">
        <w:rPr>
          <w:rFonts w:ascii="Arial" w:hAnsi="Arial" w:cs="Arial"/>
          <w:i/>
          <w:sz w:val="24"/>
          <w:szCs w:val="24"/>
          <w:lang w:val="es-ES"/>
        </w:rPr>
        <w:t xml:space="preserve">En el Inciso 29 "Administración de los Servicios de Salud del Estado", los practicantes internos designados por concurso en contratos de función pública o contrataciones rentadas temporarias, podrán acumular a su sueldo las remuneraciones provenientes de otros empleos que desempeñen en la Administración Pública, hasta sesenta horas semanales de labor, siempre que no exista superposición total o parcial entre los mismos y cumplan con los demás requisitos establecidos en el </w:t>
      </w:r>
      <w:r w:rsidR="00956D53">
        <w:rPr>
          <w:rFonts w:ascii="Arial" w:hAnsi="Arial" w:cs="Arial"/>
          <w:i/>
          <w:sz w:val="24"/>
          <w:szCs w:val="24"/>
          <w:lang w:val="es-ES"/>
        </w:rPr>
        <w:t>A</w:t>
      </w:r>
      <w:r w:rsidR="00125B23" w:rsidRPr="00125B23">
        <w:rPr>
          <w:rFonts w:ascii="Arial" w:hAnsi="Arial" w:cs="Arial"/>
          <w:i/>
          <w:sz w:val="24"/>
          <w:szCs w:val="24"/>
          <w:lang w:val="es-ES"/>
        </w:rPr>
        <w:t xml:space="preserve">rtículo 650 de la Ley </w:t>
      </w:r>
      <w:r w:rsidR="00956D53">
        <w:rPr>
          <w:rFonts w:ascii="Arial" w:hAnsi="Arial" w:cs="Arial"/>
          <w:i/>
          <w:sz w:val="24"/>
          <w:szCs w:val="24"/>
          <w:lang w:val="es-ES"/>
        </w:rPr>
        <w:t xml:space="preserve">    </w:t>
      </w:r>
      <w:r w:rsidR="00125B23" w:rsidRPr="00125B23">
        <w:rPr>
          <w:rFonts w:ascii="Arial" w:hAnsi="Arial" w:cs="Arial"/>
          <w:i/>
          <w:sz w:val="24"/>
          <w:szCs w:val="24"/>
          <w:lang w:val="es-ES"/>
        </w:rPr>
        <w:t>Nº 16.1</w:t>
      </w:r>
      <w:r w:rsidR="00956D53">
        <w:rPr>
          <w:rFonts w:ascii="Arial" w:hAnsi="Arial" w:cs="Arial"/>
          <w:i/>
          <w:sz w:val="24"/>
          <w:szCs w:val="24"/>
          <w:lang w:val="es-ES"/>
        </w:rPr>
        <w:t>70, de 28/12/</w:t>
      </w:r>
      <w:r w:rsidR="00125B23" w:rsidRPr="00125B23">
        <w:rPr>
          <w:rFonts w:ascii="Arial" w:hAnsi="Arial" w:cs="Arial"/>
          <w:i/>
          <w:sz w:val="24"/>
          <w:szCs w:val="24"/>
          <w:lang w:val="es-ES"/>
        </w:rPr>
        <w:t>1990 y normas reglamentarias</w:t>
      </w:r>
      <w:r w:rsidR="00200B59">
        <w:rPr>
          <w:rFonts w:ascii="Arial" w:hAnsi="Arial" w:cs="Arial"/>
          <w:i/>
          <w:sz w:val="24"/>
          <w:szCs w:val="24"/>
        </w:rPr>
        <w:t>”</w:t>
      </w:r>
      <w:r w:rsidR="00200B59">
        <w:rPr>
          <w:rFonts w:ascii="Arial" w:hAnsi="Arial" w:cs="Arial"/>
          <w:sz w:val="24"/>
          <w:szCs w:val="24"/>
        </w:rPr>
        <w:t>;</w:t>
      </w:r>
    </w:p>
    <w:p w:rsidR="002A4FFB" w:rsidRDefault="00200B59" w:rsidP="00956D53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00B59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</w:t>
      </w:r>
      <w:r w:rsidR="002A4FFB">
        <w:rPr>
          <w:rFonts w:ascii="Arial" w:hAnsi="Arial" w:cs="Arial"/>
          <w:sz w:val="24"/>
          <w:szCs w:val="24"/>
        </w:rPr>
        <w:t xml:space="preserve"> de acuerdo a lo que consta en los antecedentes, l</w:t>
      </w:r>
      <w:r w:rsidR="00125B23">
        <w:rPr>
          <w:rFonts w:ascii="Arial" w:hAnsi="Arial" w:cs="Arial"/>
          <w:sz w:val="24"/>
          <w:szCs w:val="24"/>
        </w:rPr>
        <w:t>os Auxiliares de Enfermería</w:t>
      </w:r>
      <w:r w:rsidR="002A4FFB">
        <w:rPr>
          <w:rFonts w:ascii="Arial" w:hAnsi="Arial" w:cs="Arial"/>
          <w:sz w:val="24"/>
          <w:szCs w:val="24"/>
        </w:rPr>
        <w:t xml:space="preserve"> se desempeña</w:t>
      </w:r>
      <w:r w:rsidR="00125B23">
        <w:rPr>
          <w:rFonts w:ascii="Arial" w:hAnsi="Arial" w:cs="Arial"/>
          <w:sz w:val="24"/>
          <w:szCs w:val="24"/>
        </w:rPr>
        <w:t>n en dependencias de ASSE</w:t>
      </w:r>
      <w:r w:rsidR="002A4FFB">
        <w:rPr>
          <w:rFonts w:ascii="Arial" w:hAnsi="Arial" w:cs="Arial"/>
          <w:sz w:val="24"/>
          <w:szCs w:val="24"/>
        </w:rPr>
        <w:t xml:space="preserve"> (Escalafón D, Grado 3)</w:t>
      </w:r>
      <w:r w:rsidR="0002707D">
        <w:rPr>
          <w:rFonts w:ascii="Arial" w:hAnsi="Arial" w:cs="Arial"/>
          <w:sz w:val="24"/>
          <w:szCs w:val="24"/>
        </w:rPr>
        <w:t xml:space="preserve"> y se procedió a la acumulación con el cargo asimilado al Escalafón </w:t>
      </w:r>
      <w:r w:rsidR="00C26866">
        <w:rPr>
          <w:rFonts w:ascii="Arial" w:hAnsi="Arial" w:cs="Arial"/>
          <w:sz w:val="24"/>
          <w:szCs w:val="24"/>
        </w:rPr>
        <w:t>B</w:t>
      </w:r>
      <w:r w:rsidR="0002707D">
        <w:rPr>
          <w:rFonts w:ascii="Arial" w:hAnsi="Arial" w:cs="Arial"/>
          <w:sz w:val="24"/>
          <w:szCs w:val="24"/>
        </w:rPr>
        <w:t>, Grado 0</w:t>
      </w:r>
      <w:r w:rsidR="00C26866">
        <w:rPr>
          <w:rFonts w:ascii="Arial" w:hAnsi="Arial" w:cs="Arial"/>
          <w:sz w:val="24"/>
          <w:szCs w:val="24"/>
        </w:rPr>
        <w:t>7</w:t>
      </w:r>
      <w:r w:rsidR="0002707D">
        <w:rPr>
          <w:rFonts w:ascii="Arial" w:hAnsi="Arial" w:cs="Arial"/>
          <w:sz w:val="24"/>
          <w:szCs w:val="24"/>
        </w:rPr>
        <w:t xml:space="preserve">, por lo que </w:t>
      </w:r>
      <w:r w:rsidR="002A4FFB">
        <w:rPr>
          <w:rFonts w:ascii="Arial" w:hAnsi="Arial" w:cs="Arial"/>
          <w:sz w:val="24"/>
          <w:szCs w:val="24"/>
        </w:rPr>
        <w:t>se cumpliría con la previs</w:t>
      </w:r>
      <w:r w:rsidR="00956D53">
        <w:rPr>
          <w:rFonts w:ascii="Arial" w:hAnsi="Arial" w:cs="Arial"/>
          <w:sz w:val="24"/>
          <w:szCs w:val="24"/>
        </w:rPr>
        <w:t>ión específica prevista en los A</w:t>
      </w:r>
      <w:r w:rsidR="002A4FFB">
        <w:rPr>
          <w:rFonts w:ascii="Arial" w:hAnsi="Arial" w:cs="Arial"/>
          <w:sz w:val="24"/>
          <w:szCs w:val="24"/>
        </w:rPr>
        <w:t xml:space="preserve">rtículos 107 del Decreto Ley </w:t>
      </w:r>
      <w:r w:rsidR="00C26866">
        <w:rPr>
          <w:rFonts w:ascii="Arial" w:hAnsi="Arial" w:cs="Arial"/>
          <w:sz w:val="24"/>
          <w:szCs w:val="24"/>
        </w:rPr>
        <w:t>14.985,</w:t>
      </w:r>
      <w:r w:rsidR="0002707D">
        <w:rPr>
          <w:rFonts w:ascii="Arial" w:hAnsi="Arial" w:cs="Arial"/>
          <w:sz w:val="24"/>
          <w:szCs w:val="24"/>
        </w:rPr>
        <w:t xml:space="preserve"> 279 de la Ley 18.996</w:t>
      </w:r>
      <w:r w:rsidR="00C26866">
        <w:rPr>
          <w:rFonts w:ascii="Arial" w:hAnsi="Arial" w:cs="Arial"/>
          <w:sz w:val="24"/>
          <w:szCs w:val="24"/>
        </w:rPr>
        <w:t xml:space="preserve"> y 594 de la Ley 19.355</w:t>
      </w:r>
      <w:r w:rsidR="002A4FFB">
        <w:rPr>
          <w:rFonts w:ascii="Arial" w:hAnsi="Arial" w:cs="Arial"/>
          <w:sz w:val="24"/>
          <w:szCs w:val="24"/>
        </w:rPr>
        <w:t>;</w:t>
      </w:r>
    </w:p>
    <w:p w:rsidR="008C633C" w:rsidRPr="008C633C" w:rsidRDefault="008C633C" w:rsidP="00956D53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633C"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en ese sentido, </w:t>
      </w:r>
      <w:r w:rsidR="00956D53">
        <w:rPr>
          <w:rFonts w:ascii="Arial" w:hAnsi="Arial" w:cs="Arial"/>
          <w:sz w:val="24"/>
          <w:szCs w:val="24"/>
        </w:rPr>
        <w:t>resulta clara la expresión del A</w:t>
      </w:r>
      <w:r>
        <w:rPr>
          <w:rFonts w:ascii="Arial" w:hAnsi="Arial" w:cs="Arial"/>
          <w:sz w:val="24"/>
          <w:szCs w:val="24"/>
        </w:rPr>
        <w:t xml:space="preserve">rtículo 107 del Decreto Ley 14.985 al referir a </w:t>
      </w:r>
      <w:r>
        <w:rPr>
          <w:rFonts w:ascii="Arial" w:hAnsi="Arial" w:cs="Arial"/>
          <w:i/>
          <w:sz w:val="24"/>
          <w:szCs w:val="24"/>
        </w:rPr>
        <w:t>“l</w:t>
      </w:r>
      <w:r w:rsidRPr="00465D32">
        <w:rPr>
          <w:rFonts w:ascii="Arial" w:hAnsi="Arial" w:cs="Arial"/>
          <w:i/>
          <w:sz w:val="24"/>
          <w:szCs w:val="24"/>
        </w:rPr>
        <w:t xml:space="preserve">as personas que ocupan cargos de Enfermeras Universitarias (Escalafón </w:t>
      </w:r>
      <w:proofErr w:type="spellStart"/>
      <w:r w:rsidRPr="00465D32">
        <w:rPr>
          <w:rFonts w:ascii="Arial" w:hAnsi="Arial" w:cs="Arial"/>
          <w:i/>
          <w:sz w:val="24"/>
          <w:szCs w:val="24"/>
        </w:rPr>
        <w:t>AaB</w:t>
      </w:r>
      <w:proofErr w:type="spellEnd"/>
      <w:r w:rsidRPr="00465D32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i/>
          <w:sz w:val="24"/>
          <w:szCs w:val="24"/>
        </w:rPr>
        <w:t>”</w:t>
      </w:r>
      <w:r w:rsidR="00956D53">
        <w:rPr>
          <w:rFonts w:ascii="Arial" w:hAnsi="Arial" w:cs="Arial"/>
          <w:sz w:val="24"/>
          <w:szCs w:val="24"/>
        </w:rPr>
        <w:t>, así como del A</w:t>
      </w:r>
      <w:r>
        <w:rPr>
          <w:rFonts w:ascii="Arial" w:hAnsi="Arial" w:cs="Arial"/>
          <w:sz w:val="24"/>
          <w:szCs w:val="24"/>
        </w:rPr>
        <w:t xml:space="preserve">rtículo </w:t>
      </w:r>
      <w:r>
        <w:rPr>
          <w:rFonts w:ascii="Arial" w:hAnsi="Arial" w:cs="Arial"/>
          <w:sz w:val="24"/>
          <w:szCs w:val="24"/>
        </w:rPr>
        <w:lastRenderedPageBreak/>
        <w:t xml:space="preserve">279 de la Ley 18.996, al referir </w:t>
      </w:r>
      <w:r>
        <w:rPr>
          <w:rFonts w:ascii="Arial" w:hAnsi="Arial" w:cs="Arial"/>
          <w:i/>
          <w:sz w:val="24"/>
          <w:szCs w:val="24"/>
        </w:rPr>
        <w:t>“</w:t>
      </w:r>
      <w:r w:rsidRPr="00634909">
        <w:rPr>
          <w:rFonts w:ascii="Arial" w:hAnsi="Arial" w:cs="Arial"/>
          <w:i/>
          <w:sz w:val="24"/>
          <w:szCs w:val="24"/>
          <w:lang w:val="es-ES"/>
        </w:rPr>
        <w:t>a aquellas personas que desempeñan funciones técnicas inherentes a los escalafones A y B</w:t>
      </w:r>
      <w:r>
        <w:rPr>
          <w:rFonts w:ascii="Arial" w:hAnsi="Arial" w:cs="Arial"/>
          <w:i/>
          <w:sz w:val="24"/>
          <w:szCs w:val="24"/>
          <w:lang w:val="es-ES"/>
        </w:rPr>
        <w:t>”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2A4FFB" w:rsidRDefault="008C633C" w:rsidP="00956D53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2A4FFB" w:rsidRPr="002A4FFB">
        <w:rPr>
          <w:rFonts w:ascii="Arial" w:hAnsi="Arial" w:cs="Arial"/>
          <w:b/>
          <w:sz w:val="24"/>
          <w:szCs w:val="24"/>
        </w:rPr>
        <w:t>)</w:t>
      </w:r>
      <w:r w:rsidR="002A4FFB">
        <w:rPr>
          <w:rFonts w:ascii="Arial" w:hAnsi="Arial" w:cs="Arial"/>
          <w:sz w:val="24"/>
          <w:szCs w:val="24"/>
        </w:rPr>
        <w:t xml:space="preserve"> que </w:t>
      </w:r>
      <w:r w:rsidR="00C26866">
        <w:rPr>
          <w:rFonts w:ascii="Arial" w:hAnsi="Arial" w:cs="Arial"/>
          <w:sz w:val="24"/>
          <w:szCs w:val="24"/>
        </w:rPr>
        <w:t xml:space="preserve">en particular, se ha dado cumplimiento asimismo a las previsiones establecidas en el </w:t>
      </w:r>
      <w:r w:rsidR="00956D53">
        <w:rPr>
          <w:rFonts w:ascii="Arial" w:hAnsi="Arial" w:cs="Arial"/>
          <w:sz w:val="24"/>
          <w:szCs w:val="24"/>
          <w:lang w:val="es-ES"/>
        </w:rPr>
        <w:t>A</w:t>
      </w:r>
      <w:r w:rsidR="00C26866">
        <w:rPr>
          <w:rFonts w:ascii="Arial" w:hAnsi="Arial" w:cs="Arial"/>
          <w:sz w:val="24"/>
          <w:szCs w:val="24"/>
          <w:lang w:val="es-ES"/>
        </w:rPr>
        <w:t xml:space="preserve">rtículo </w:t>
      </w:r>
      <w:r w:rsidR="00C26866">
        <w:rPr>
          <w:rFonts w:ascii="Arial" w:hAnsi="Arial" w:cs="Arial"/>
          <w:sz w:val="24"/>
          <w:szCs w:val="24"/>
        </w:rPr>
        <w:t>594 de la Ley 19.355</w:t>
      </w:r>
      <w:r w:rsidR="0043744F">
        <w:rPr>
          <w:rFonts w:ascii="Arial" w:hAnsi="Arial" w:cs="Arial"/>
          <w:sz w:val="24"/>
          <w:szCs w:val="24"/>
        </w:rPr>
        <w:t>,</w:t>
      </w:r>
      <w:r w:rsidR="004E6BCB">
        <w:rPr>
          <w:rFonts w:ascii="Arial" w:hAnsi="Arial" w:cs="Arial"/>
          <w:sz w:val="24"/>
          <w:szCs w:val="24"/>
          <w:lang w:val="es-ES"/>
        </w:rPr>
        <w:t xml:space="preserve"> en tanto las acumulaciones referidas no superan el tope máximo establecido</w:t>
      </w:r>
      <w:r w:rsidR="0043744F">
        <w:rPr>
          <w:rFonts w:ascii="Arial" w:hAnsi="Arial" w:cs="Arial"/>
          <w:sz w:val="24"/>
          <w:szCs w:val="24"/>
          <w:lang w:val="es-ES"/>
        </w:rPr>
        <w:t xml:space="preserve"> </w:t>
      </w:r>
      <w:r w:rsidR="004E6BCB">
        <w:rPr>
          <w:rFonts w:ascii="Arial" w:hAnsi="Arial" w:cs="Arial"/>
          <w:sz w:val="24"/>
          <w:szCs w:val="24"/>
          <w:lang w:val="es-ES"/>
        </w:rPr>
        <w:t>de 60 horas semanales de labor;</w:t>
      </w:r>
    </w:p>
    <w:p w:rsidR="00306C28" w:rsidRDefault="00306C28" w:rsidP="00956D53">
      <w:pPr>
        <w:tabs>
          <w:tab w:val="left" w:pos="2268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306C28">
        <w:rPr>
          <w:rFonts w:ascii="Arial" w:hAnsi="Arial" w:cs="Arial"/>
          <w:b/>
          <w:sz w:val="24"/>
          <w:szCs w:val="24"/>
          <w:lang w:val="es-ES"/>
        </w:rPr>
        <w:t>10)</w:t>
      </w:r>
      <w:r>
        <w:rPr>
          <w:rFonts w:ascii="Arial" w:hAnsi="Arial" w:cs="Arial"/>
          <w:sz w:val="24"/>
          <w:szCs w:val="24"/>
          <w:lang w:val="es-ES"/>
        </w:rPr>
        <w:t xml:space="preserve"> que respecto a la situación relativa al cargo en el Escalafón </w:t>
      </w:r>
      <w:r w:rsidR="00C26866"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szCs w:val="24"/>
          <w:lang w:val="es-ES"/>
        </w:rPr>
        <w:t>, que en caso de marras no se haya materializado aún, sino que se trata del régimen</w:t>
      </w:r>
      <w:r w:rsidR="00C26866">
        <w:rPr>
          <w:rFonts w:ascii="Arial" w:hAnsi="Arial" w:cs="Arial"/>
          <w:sz w:val="24"/>
          <w:szCs w:val="24"/>
          <w:lang w:val="es-ES"/>
        </w:rPr>
        <w:t xml:space="preserve"> específico</w:t>
      </w:r>
      <w:r>
        <w:rPr>
          <w:rFonts w:ascii="Arial" w:hAnsi="Arial" w:cs="Arial"/>
          <w:sz w:val="24"/>
          <w:szCs w:val="24"/>
          <w:lang w:val="es-ES"/>
        </w:rPr>
        <w:t xml:space="preserve"> previsto en el </w:t>
      </w:r>
      <w:r w:rsidR="00956D53">
        <w:rPr>
          <w:rFonts w:ascii="Arial" w:hAnsi="Arial" w:cs="Arial"/>
          <w:sz w:val="24"/>
          <w:szCs w:val="24"/>
          <w:lang w:val="es-ES"/>
        </w:rPr>
        <w:t>A</w:t>
      </w:r>
      <w:r w:rsidR="00C26866">
        <w:rPr>
          <w:rFonts w:ascii="Arial" w:hAnsi="Arial" w:cs="Arial"/>
          <w:sz w:val="24"/>
          <w:szCs w:val="24"/>
          <w:lang w:val="es-ES"/>
        </w:rPr>
        <w:t xml:space="preserve">rtículo </w:t>
      </w:r>
      <w:r w:rsidR="00C26866">
        <w:rPr>
          <w:rFonts w:ascii="Arial" w:hAnsi="Arial" w:cs="Arial"/>
          <w:sz w:val="24"/>
          <w:szCs w:val="24"/>
        </w:rPr>
        <w:t>594 de la Ley 19.355</w:t>
      </w:r>
      <w:r>
        <w:rPr>
          <w:rFonts w:ascii="Arial" w:hAnsi="Arial" w:cs="Arial"/>
          <w:sz w:val="24"/>
          <w:szCs w:val="24"/>
        </w:rPr>
        <w:t>, se entiende que una int</w:t>
      </w:r>
      <w:r w:rsidR="00956D53">
        <w:rPr>
          <w:rFonts w:ascii="Arial" w:hAnsi="Arial" w:cs="Arial"/>
          <w:sz w:val="24"/>
          <w:szCs w:val="24"/>
        </w:rPr>
        <w:t>erpretación armónica de la normativa,</w:t>
      </w:r>
      <w:r>
        <w:rPr>
          <w:rFonts w:ascii="Arial" w:hAnsi="Arial" w:cs="Arial"/>
          <w:sz w:val="24"/>
          <w:szCs w:val="24"/>
        </w:rPr>
        <w:t xml:space="preserve"> resultaría </w:t>
      </w:r>
      <w:proofErr w:type="spellStart"/>
      <w:r>
        <w:rPr>
          <w:rFonts w:ascii="Arial" w:hAnsi="Arial" w:cs="Arial"/>
          <w:sz w:val="24"/>
          <w:szCs w:val="24"/>
        </w:rPr>
        <w:t>abarcativ</w:t>
      </w:r>
      <w:r w:rsidR="00956D53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 la situación prevista en el expediente remitido; </w:t>
      </w:r>
    </w:p>
    <w:p w:rsidR="007F1A91" w:rsidRPr="00C26866" w:rsidRDefault="00F11154" w:rsidP="00956D53">
      <w:pPr>
        <w:tabs>
          <w:tab w:val="left" w:pos="2268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F11154">
        <w:rPr>
          <w:rFonts w:ascii="Arial" w:hAnsi="Arial" w:cs="Arial"/>
          <w:b/>
          <w:sz w:val="24"/>
          <w:szCs w:val="24"/>
          <w:lang w:val="es-ES"/>
        </w:rPr>
        <w:t>1</w:t>
      </w:r>
      <w:r w:rsidR="00306C28">
        <w:rPr>
          <w:rFonts w:ascii="Arial" w:hAnsi="Arial" w:cs="Arial"/>
          <w:b/>
          <w:sz w:val="24"/>
          <w:szCs w:val="24"/>
          <w:lang w:val="es-ES"/>
        </w:rPr>
        <w:t>1</w:t>
      </w:r>
      <w:r w:rsidRPr="00F11154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la presente interpretación resulta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contest</w:t>
      </w:r>
      <w:r w:rsidR="00956D53">
        <w:rPr>
          <w:rFonts w:ascii="Arial" w:hAnsi="Arial" w:cs="Arial"/>
          <w:sz w:val="24"/>
          <w:szCs w:val="24"/>
          <w:lang w:val="es-ES"/>
        </w:rPr>
        <w:t>ativa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 los anteriores pronunciamientos realizados por este Tribunal sobre el punto, tal como fuera expresado</w:t>
      </w:r>
      <w:r w:rsidR="00956D53">
        <w:rPr>
          <w:rFonts w:ascii="Arial" w:hAnsi="Arial" w:cs="Arial"/>
          <w:sz w:val="24"/>
          <w:szCs w:val="24"/>
          <w:lang w:val="es-ES"/>
        </w:rPr>
        <w:t xml:space="preserve"> en Resolución de fecha 28/01/</w:t>
      </w:r>
      <w:r w:rsidR="00020200">
        <w:rPr>
          <w:rFonts w:ascii="Arial" w:hAnsi="Arial" w:cs="Arial"/>
          <w:sz w:val="24"/>
          <w:szCs w:val="24"/>
          <w:lang w:val="es-ES"/>
        </w:rPr>
        <w:t>2015</w:t>
      </w:r>
      <w:r w:rsidR="00C26866">
        <w:rPr>
          <w:rFonts w:ascii="Arial" w:hAnsi="Arial" w:cs="Arial"/>
          <w:sz w:val="24"/>
          <w:szCs w:val="24"/>
          <w:lang w:val="es-ES"/>
        </w:rPr>
        <w:t xml:space="preserve"> y 16</w:t>
      </w:r>
      <w:r w:rsidR="00956D53">
        <w:rPr>
          <w:rFonts w:ascii="Arial" w:hAnsi="Arial" w:cs="Arial"/>
          <w:sz w:val="24"/>
          <w:szCs w:val="24"/>
          <w:lang w:val="es-ES"/>
        </w:rPr>
        <w:t>/03/</w:t>
      </w:r>
      <w:r w:rsidR="00C26866">
        <w:rPr>
          <w:rFonts w:ascii="Arial" w:hAnsi="Arial" w:cs="Arial"/>
          <w:sz w:val="24"/>
          <w:szCs w:val="24"/>
          <w:lang w:val="es-ES"/>
        </w:rPr>
        <w:t>2016</w:t>
      </w:r>
      <w:r w:rsidR="007F1A91">
        <w:rPr>
          <w:rFonts w:ascii="Arial" w:hAnsi="Arial" w:cs="Arial"/>
          <w:sz w:val="24"/>
          <w:szCs w:val="24"/>
        </w:rPr>
        <w:t>;</w:t>
      </w:r>
    </w:p>
    <w:p w:rsidR="00FF2A14" w:rsidRPr="00BF0E42" w:rsidRDefault="00FF2A14" w:rsidP="00956D53">
      <w:pPr>
        <w:tabs>
          <w:tab w:val="left" w:pos="2268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BF0E42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ATENTO: </w:t>
      </w:r>
      <w:r w:rsidRPr="00BF0E42">
        <w:rPr>
          <w:rFonts w:ascii="Arial" w:hAnsi="Arial" w:cs="Arial"/>
          <w:sz w:val="24"/>
          <w:szCs w:val="24"/>
          <w:lang w:val="es-MX" w:eastAsia="es-ES"/>
        </w:rPr>
        <w:t>a lo precedentemente expuesto;</w:t>
      </w:r>
    </w:p>
    <w:p w:rsidR="00FF2A14" w:rsidRPr="00BF0E42" w:rsidRDefault="00FF2A14" w:rsidP="00BF0E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BF0E42"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7F1A91" w:rsidRDefault="00956D53" w:rsidP="00956D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1) </w:t>
      </w:r>
      <w:r w:rsidR="007F1A91">
        <w:rPr>
          <w:rFonts w:ascii="Arial" w:hAnsi="Arial" w:cs="Arial"/>
          <w:sz w:val="24"/>
          <w:szCs w:val="24"/>
          <w:lang w:val="es-ES" w:eastAsia="es-ES"/>
        </w:rPr>
        <w:t>Evacuar la consulta en los términos de los presente Considerando;</w:t>
      </w:r>
    </w:p>
    <w:p w:rsidR="00FF2A14" w:rsidRPr="00BF0E42" w:rsidRDefault="00956D53" w:rsidP="00956D5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2) </w:t>
      </w:r>
      <w:r w:rsidR="007F1A91">
        <w:rPr>
          <w:rFonts w:ascii="Arial" w:hAnsi="Arial" w:cs="Arial"/>
          <w:sz w:val="24"/>
          <w:szCs w:val="24"/>
          <w:lang w:val="es-ES" w:eastAsia="es-ES"/>
        </w:rPr>
        <w:t xml:space="preserve">Comunicar al Contador </w:t>
      </w:r>
      <w:r w:rsidR="008277C1">
        <w:rPr>
          <w:rFonts w:ascii="Arial" w:hAnsi="Arial" w:cs="Arial"/>
          <w:sz w:val="24"/>
          <w:szCs w:val="24"/>
          <w:lang w:val="es-ES" w:eastAsia="es-ES"/>
        </w:rPr>
        <w:t xml:space="preserve">Delegado de </w:t>
      </w:r>
      <w:r w:rsidR="007F1A91">
        <w:rPr>
          <w:rFonts w:ascii="Arial" w:hAnsi="Arial" w:cs="Arial"/>
          <w:sz w:val="24"/>
          <w:szCs w:val="24"/>
          <w:lang w:val="es-ES" w:eastAsia="es-ES"/>
        </w:rPr>
        <w:t>la Administración de los Servicios de Salud del Estado;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y</w:t>
      </w:r>
    </w:p>
    <w:p w:rsidR="00FF2A14" w:rsidRDefault="00956D53" w:rsidP="00956D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lang w:val="es-ES" w:eastAsia="es-ES"/>
        </w:rPr>
        <w:t xml:space="preserve">3) </w:t>
      </w:r>
      <w:r w:rsidR="00FF2A14" w:rsidRPr="00BF0E42">
        <w:rPr>
          <w:rFonts w:ascii="Arial" w:hAnsi="Arial" w:cs="Arial"/>
          <w:sz w:val="24"/>
          <w:szCs w:val="24"/>
          <w:lang w:val="es-ES" w:eastAsia="es-ES"/>
        </w:rPr>
        <w:t>Devolver los antecedentes.</w:t>
      </w:r>
    </w:p>
    <w:p w:rsidR="00956D53" w:rsidRDefault="00956D53" w:rsidP="00956D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956D53" w:rsidRPr="00BF0E42" w:rsidRDefault="00956D53" w:rsidP="00956D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 w:eastAsia="es-ES"/>
        </w:rPr>
        <w:t>lc</w:t>
      </w:r>
      <w:proofErr w:type="spellEnd"/>
      <w:proofErr w:type="gramEnd"/>
    </w:p>
    <w:p w:rsidR="00FF2A14" w:rsidRPr="00BF0E42" w:rsidRDefault="00FF2A14" w:rsidP="007F1A91">
      <w:pPr>
        <w:spacing w:after="0" w:line="360" w:lineRule="auto"/>
        <w:ind w:left="425"/>
        <w:jc w:val="right"/>
        <w:rPr>
          <w:rFonts w:ascii="Arial" w:hAnsi="Arial" w:cs="Arial"/>
          <w:b/>
          <w:bCs/>
          <w:sz w:val="24"/>
          <w:szCs w:val="24"/>
        </w:rPr>
      </w:pPr>
    </w:p>
    <w:p w:rsidR="00FF2A14" w:rsidRPr="007F1A91" w:rsidRDefault="00FF2A14" w:rsidP="007F1A91">
      <w:pPr>
        <w:spacing w:after="0" w:line="360" w:lineRule="auto"/>
        <w:ind w:left="425"/>
        <w:jc w:val="right"/>
        <w:rPr>
          <w:rFonts w:ascii="Arial" w:hAnsi="Arial" w:cs="Arial"/>
          <w:bCs/>
          <w:sz w:val="24"/>
          <w:szCs w:val="24"/>
        </w:rPr>
      </w:pPr>
    </w:p>
    <w:sectPr w:rsidR="00FF2A14" w:rsidRPr="007F1A91" w:rsidSect="00BF0498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83" w:rsidRDefault="00935983" w:rsidP="00935983">
      <w:pPr>
        <w:spacing w:after="0" w:line="240" w:lineRule="auto"/>
      </w:pPr>
      <w:r>
        <w:separator/>
      </w:r>
    </w:p>
  </w:endnote>
  <w:endnote w:type="continuationSeparator" w:id="0">
    <w:p w:rsidR="00935983" w:rsidRDefault="00935983" w:rsidP="0093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94399"/>
      <w:docPartObj>
        <w:docPartGallery w:val="Page Numbers (Bottom of Page)"/>
        <w:docPartUnique/>
      </w:docPartObj>
    </w:sdtPr>
    <w:sdtEndPr/>
    <w:sdtContent>
      <w:p w:rsidR="00935983" w:rsidRDefault="009359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498" w:rsidRPr="00BF0498">
          <w:rPr>
            <w:noProof/>
            <w:lang w:val="es-ES"/>
          </w:rPr>
          <w:t>4</w:t>
        </w:r>
        <w:r>
          <w:fldChar w:fldCharType="end"/>
        </w:r>
      </w:p>
    </w:sdtContent>
  </w:sdt>
  <w:p w:rsidR="00935983" w:rsidRDefault="009359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83" w:rsidRDefault="00935983" w:rsidP="00935983">
      <w:pPr>
        <w:spacing w:after="0" w:line="240" w:lineRule="auto"/>
      </w:pPr>
      <w:r>
        <w:separator/>
      </w:r>
    </w:p>
  </w:footnote>
  <w:footnote w:type="continuationSeparator" w:id="0">
    <w:p w:rsidR="00935983" w:rsidRDefault="00935983" w:rsidP="0093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5F3B"/>
    <w:multiLevelType w:val="hybridMultilevel"/>
    <w:tmpl w:val="42A2ADCA"/>
    <w:lvl w:ilvl="0" w:tplc="DB3C1F54">
      <w:start w:val="4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/>
      </w:rPr>
    </w:lvl>
  </w:abstractNum>
  <w:abstractNum w:abstractNumId="1">
    <w:nsid w:val="66260DEA"/>
    <w:multiLevelType w:val="hybridMultilevel"/>
    <w:tmpl w:val="2A9ABD3A"/>
    <w:lvl w:ilvl="0" w:tplc="15084B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/>
      </w:rPr>
    </w:lvl>
  </w:abstractNum>
  <w:abstractNum w:abstractNumId="2">
    <w:nsid w:val="6BE9161F"/>
    <w:multiLevelType w:val="hybridMultilevel"/>
    <w:tmpl w:val="970ADA8A"/>
    <w:lvl w:ilvl="0" w:tplc="0C0A0011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4"/>
    <w:rsid w:val="00020200"/>
    <w:rsid w:val="0002707D"/>
    <w:rsid w:val="00057557"/>
    <w:rsid w:val="000B07F9"/>
    <w:rsid w:val="00125B23"/>
    <w:rsid w:val="001A17DE"/>
    <w:rsid w:val="002008D5"/>
    <w:rsid w:val="00200B59"/>
    <w:rsid w:val="00235BB6"/>
    <w:rsid w:val="002A4FFB"/>
    <w:rsid w:val="00306C28"/>
    <w:rsid w:val="00336DF9"/>
    <w:rsid w:val="00367B32"/>
    <w:rsid w:val="00390B86"/>
    <w:rsid w:val="0043744F"/>
    <w:rsid w:val="00465D32"/>
    <w:rsid w:val="004822F5"/>
    <w:rsid w:val="004E4BB3"/>
    <w:rsid w:val="004E6BCB"/>
    <w:rsid w:val="005679BB"/>
    <w:rsid w:val="005F3BA2"/>
    <w:rsid w:val="00634909"/>
    <w:rsid w:val="007453A1"/>
    <w:rsid w:val="00795ABB"/>
    <w:rsid w:val="007D0B4F"/>
    <w:rsid w:val="007F1A91"/>
    <w:rsid w:val="00821CC0"/>
    <w:rsid w:val="008277C1"/>
    <w:rsid w:val="00833997"/>
    <w:rsid w:val="00851E27"/>
    <w:rsid w:val="0087750C"/>
    <w:rsid w:val="008C633C"/>
    <w:rsid w:val="00923E98"/>
    <w:rsid w:val="00935983"/>
    <w:rsid w:val="00956D53"/>
    <w:rsid w:val="009D449A"/>
    <w:rsid w:val="00A25665"/>
    <w:rsid w:val="00A56172"/>
    <w:rsid w:val="00B9119D"/>
    <w:rsid w:val="00BC5F9B"/>
    <w:rsid w:val="00BF0498"/>
    <w:rsid w:val="00BF0E42"/>
    <w:rsid w:val="00C26866"/>
    <w:rsid w:val="00E70FDC"/>
    <w:rsid w:val="00E90828"/>
    <w:rsid w:val="00EB2E1B"/>
    <w:rsid w:val="00EE016D"/>
    <w:rsid w:val="00F11154"/>
    <w:rsid w:val="00FC1AAA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93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98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93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983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93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983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93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983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No</vt:lpstr>
    </vt:vector>
  </TitlesOfParts>
  <Company>Tribunal de Cuentas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No</dc:title>
  <dc:creator>Dr. Farinha</dc:creator>
  <cp:lastModifiedBy>Tribunal1</cp:lastModifiedBy>
  <cp:revision>7</cp:revision>
  <cp:lastPrinted>2016-11-25T18:03:00Z</cp:lastPrinted>
  <dcterms:created xsi:type="dcterms:W3CDTF">2016-11-25T17:44:00Z</dcterms:created>
  <dcterms:modified xsi:type="dcterms:W3CDTF">2016-11-28T17:23:00Z</dcterms:modified>
</cp:coreProperties>
</file>