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2E9" w:rsidRPr="000402E9" w:rsidRDefault="00894C21" w:rsidP="000402E9">
      <w:pPr>
        <w:tabs>
          <w:tab w:val="center" w:pos="4253"/>
        </w:tabs>
        <w:suppressAutoHyphens/>
        <w:jc w:val="right"/>
        <w:rPr>
          <w:rFonts w:ascii="Arial" w:hAnsi="Arial" w:cs="Arial"/>
          <w:sz w:val="28"/>
          <w:szCs w:val="28"/>
          <w:lang w:val="es-ES_tradnl"/>
        </w:rPr>
      </w:pPr>
      <w:r>
        <w:rPr>
          <w:szCs w:val="24"/>
        </w:rPr>
        <w:t xml:space="preserve">                                                                  </w:t>
      </w:r>
      <w:r w:rsidR="000402E9" w:rsidRPr="000402E9">
        <w:rPr>
          <w:rFonts w:ascii="Arial" w:hAnsi="Arial" w:cs="Arial"/>
          <w:sz w:val="28"/>
          <w:szCs w:val="28"/>
          <w:lang w:val="es-ES_tradnl"/>
        </w:rPr>
        <w:t>RES. 61/17</w:t>
      </w:r>
    </w:p>
    <w:p w:rsidR="000402E9" w:rsidRDefault="000402E9" w:rsidP="000402E9">
      <w:pPr>
        <w:tabs>
          <w:tab w:val="center" w:pos="4253"/>
        </w:tabs>
        <w:suppressAutoHyphens/>
        <w:jc w:val="right"/>
        <w:rPr>
          <w:rFonts w:ascii="Arial" w:hAnsi="Arial" w:cs="Arial"/>
          <w:b w:val="0"/>
          <w:lang w:val="es-ES_tradnl"/>
        </w:rPr>
      </w:pPr>
    </w:p>
    <w:p w:rsidR="000402E9" w:rsidRPr="000402E9" w:rsidRDefault="000402E9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0402E9">
        <w:rPr>
          <w:rFonts w:ascii="Arial" w:hAnsi="Arial" w:cs="Arial"/>
          <w:lang w:val="es-ES_tradnl"/>
        </w:rPr>
        <w:t>RESOLUCION ADOPTADA POR EL</w:t>
      </w:r>
    </w:p>
    <w:p w:rsidR="000402E9" w:rsidRPr="000402E9" w:rsidRDefault="000402E9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0402E9" w:rsidRPr="000402E9" w:rsidRDefault="000402E9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0402E9">
        <w:rPr>
          <w:rFonts w:ascii="Arial" w:hAnsi="Arial" w:cs="Arial"/>
          <w:lang w:val="es-ES_tradnl"/>
        </w:rPr>
        <w:t>TRIBUNAL DE CUENTAS</w:t>
      </w:r>
    </w:p>
    <w:p w:rsidR="000402E9" w:rsidRPr="000402E9" w:rsidRDefault="000402E9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0402E9" w:rsidRPr="000402E9" w:rsidRDefault="000402E9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0402E9">
        <w:rPr>
          <w:rFonts w:ascii="Arial" w:hAnsi="Arial" w:cs="Arial"/>
          <w:lang w:val="es-ES_tradnl"/>
        </w:rPr>
        <w:t>EN SESION DE FECHA 11 DE ENERO DE 2017</w:t>
      </w:r>
    </w:p>
    <w:p w:rsidR="000402E9" w:rsidRPr="000402E9" w:rsidRDefault="000402E9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</w:p>
    <w:p w:rsidR="000402E9" w:rsidRPr="00BC4428" w:rsidRDefault="000402E9">
      <w:pPr>
        <w:tabs>
          <w:tab w:val="center" w:pos="4253"/>
        </w:tabs>
        <w:suppressAutoHyphens/>
        <w:jc w:val="center"/>
        <w:rPr>
          <w:rFonts w:ascii="Arial" w:hAnsi="Arial" w:cs="Arial"/>
          <w:lang w:val="es-UY"/>
        </w:rPr>
      </w:pPr>
      <w:r w:rsidRPr="00BC4428">
        <w:rPr>
          <w:rFonts w:ascii="Arial" w:hAnsi="Arial" w:cs="Arial"/>
          <w:lang w:val="es-UY"/>
        </w:rPr>
        <w:t xml:space="preserve">(E. E. Nº </w:t>
      </w:r>
      <w:r w:rsidRPr="000402E9">
        <w:rPr>
          <w:rFonts w:ascii="Arial" w:hAnsi="Arial" w:cs="Arial"/>
          <w:bCs/>
          <w:szCs w:val="24"/>
        </w:rPr>
        <w:t>2016-17-1-0007004</w:t>
      </w:r>
      <w:r w:rsidRPr="00BC4428">
        <w:rPr>
          <w:rFonts w:ascii="Arial" w:hAnsi="Arial" w:cs="Arial"/>
          <w:lang w:val="es-UY"/>
        </w:rPr>
        <w:t xml:space="preserve">, </w:t>
      </w:r>
      <w:proofErr w:type="spellStart"/>
      <w:r w:rsidRPr="00BC4428">
        <w:rPr>
          <w:rFonts w:ascii="Arial" w:hAnsi="Arial" w:cs="Arial"/>
          <w:lang w:val="es-UY"/>
        </w:rPr>
        <w:t>Ent</w:t>
      </w:r>
      <w:proofErr w:type="spellEnd"/>
      <w:r w:rsidRPr="00BC4428">
        <w:rPr>
          <w:rFonts w:ascii="Arial" w:hAnsi="Arial" w:cs="Arial"/>
          <w:lang w:val="es-UY"/>
        </w:rPr>
        <w:t xml:space="preserve">. N° </w:t>
      </w:r>
      <w:r w:rsidRPr="000402E9">
        <w:rPr>
          <w:rFonts w:ascii="Arial" w:hAnsi="Arial" w:cs="Arial"/>
          <w:szCs w:val="24"/>
        </w:rPr>
        <w:t>6544/16</w:t>
      </w:r>
      <w:r w:rsidRPr="00BC4428">
        <w:rPr>
          <w:rFonts w:ascii="Arial" w:hAnsi="Arial" w:cs="Arial"/>
          <w:lang w:val="es-UY"/>
        </w:rPr>
        <w:t>)</w:t>
      </w:r>
    </w:p>
    <w:p w:rsidR="000402E9" w:rsidRPr="00BC4428" w:rsidRDefault="000402E9">
      <w:pPr>
        <w:tabs>
          <w:tab w:val="center" w:pos="4253"/>
        </w:tabs>
        <w:suppressAutoHyphens/>
        <w:jc w:val="center"/>
        <w:rPr>
          <w:rFonts w:ascii="Arial" w:hAnsi="Arial" w:cs="Arial"/>
          <w:lang w:val="es-UY"/>
        </w:rPr>
      </w:pPr>
    </w:p>
    <w:p w:rsidR="00894C21" w:rsidRDefault="00894C21" w:rsidP="00894C21">
      <w:pPr>
        <w:pStyle w:val="Ttulo"/>
        <w:jc w:val="both"/>
        <w:rPr>
          <w:rFonts w:cs="Arial"/>
          <w:b w:val="0"/>
          <w:bCs/>
          <w:u w:val="none"/>
          <w:lang w:val="es-ES_tradnl"/>
        </w:rPr>
      </w:pPr>
    </w:p>
    <w:p w:rsidR="00894C21" w:rsidRDefault="00894C21" w:rsidP="000402E9">
      <w:pPr>
        <w:pStyle w:val="Ttulo8"/>
        <w:numPr>
          <w:ilvl w:val="0"/>
          <w:numId w:val="0"/>
        </w:numPr>
        <w:ind w:firstLine="851"/>
      </w:pPr>
      <w:r>
        <w:rPr>
          <w:szCs w:val="24"/>
        </w:rPr>
        <w:t xml:space="preserve">VISTO: </w:t>
      </w:r>
      <w:r>
        <w:rPr>
          <w:b w:val="0"/>
          <w:szCs w:val="24"/>
        </w:rPr>
        <w:t>las actuaciones remitidas por la Intendencia de Maldonado  relacionadas con la</w:t>
      </w:r>
      <w:r w:rsidR="00C51A7D">
        <w:rPr>
          <w:b w:val="0"/>
          <w:szCs w:val="24"/>
        </w:rPr>
        <w:t xml:space="preserve"> reiteración del gasto emergente de la </w:t>
      </w:r>
      <w:r>
        <w:rPr>
          <w:b w:val="0"/>
        </w:rPr>
        <w:t xml:space="preserve"> </w:t>
      </w:r>
      <w:r>
        <w:rPr>
          <w:b w:val="0"/>
          <w:szCs w:val="24"/>
        </w:rPr>
        <w:t xml:space="preserve">Licitación  Pública </w:t>
      </w:r>
      <w:r w:rsidR="00DB732E">
        <w:rPr>
          <w:b w:val="0"/>
          <w:szCs w:val="24"/>
        </w:rPr>
        <w:t xml:space="preserve">  </w:t>
      </w:r>
      <w:r>
        <w:rPr>
          <w:b w:val="0"/>
          <w:szCs w:val="24"/>
        </w:rPr>
        <w:t xml:space="preserve">Nº 04/2016 convocada para la prestación de servicio de limpieza y barrido manual de Punta del Este, por el período de un año, prorrogable a opción de la Intendencia por períodos de un año; </w:t>
      </w:r>
    </w:p>
    <w:p w:rsidR="00894C21" w:rsidRPr="00C51A7D" w:rsidRDefault="00894C21" w:rsidP="000402E9">
      <w:pPr>
        <w:spacing w:line="360" w:lineRule="auto"/>
        <w:ind w:firstLine="851"/>
        <w:jc w:val="both"/>
        <w:rPr>
          <w:rFonts w:ascii="Arial" w:hAnsi="Arial" w:cs="Arial"/>
          <w:bCs/>
          <w:color w:val="auto"/>
          <w:szCs w:val="24"/>
          <w:lang w:val="es-MX"/>
        </w:rPr>
      </w:pPr>
      <w:r>
        <w:rPr>
          <w:rFonts w:ascii="Arial" w:hAnsi="Arial" w:cs="Arial"/>
          <w:szCs w:val="24"/>
        </w:rPr>
        <w:t xml:space="preserve">RESULTANDO: </w:t>
      </w:r>
      <w:r w:rsidRPr="000B0D98">
        <w:rPr>
          <w:rFonts w:ascii="Arial" w:hAnsi="Arial" w:cs="Arial"/>
        </w:rPr>
        <w:t>1)</w:t>
      </w:r>
      <w:r w:rsidRPr="00C51A7D">
        <w:rPr>
          <w:rFonts w:ascii="Arial" w:hAnsi="Arial" w:cs="Arial"/>
          <w:b w:val="0"/>
        </w:rPr>
        <w:t xml:space="preserve"> que </w:t>
      </w:r>
      <w:r w:rsidR="00C51A7D" w:rsidRPr="00C51A7D">
        <w:rPr>
          <w:rFonts w:ascii="Arial" w:hAnsi="Arial" w:cs="Arial"/>
          <w:b w:val="0"/>
        </w:rPr>
        <w:t xml:space="preserve">previos los trámites de estilo,  con fecha </w:t>
      </w:r>
      <w:r w:rsidRPr="00C51A7D">
        <w:rPr>
          <w:b w:val="0"/>
          <w:bCs/>
          <w:color w:val="auto"/>
          <w:szCs w:val="24"/>
          <w:lang w:val="es-MX"/>
        </w:rPr>
        <w:t xml:space="preserve"> </w:t>
      </w:r>
      <w:r w:rsidRPr="00C51A7D">
        <w:rPr>
          <w:rFonts w:ascii="Arial" w:hAnsi="Arial" w:cs="Arial"/>
          <w:b w:val="0"/>
          <w:bCs/>
          <w:color w:val="auto"/>
          <w:szCs w:val="24"/>
          <w:lang w:val="es-MX"/>
        </w:rPr>
        <w:t xml:space="preserve">19/05/16, </w:t>
      </w:r>
      <w:r w:rsidR="00D96549">
        <w:rPr>
          <w:rFonts w:ascii="Arial" w:hAnsi="Arial" w:cs="Arial"/>
          <w:b w:val="0"/>
          <w:bCs/>
          <w:color w:val="auto"/>
          <w:szCs w:val="24"/>
          <w:lang w:val="es-MX"/>
        </w:rPr>
        <w:t xml:space="preserve"> se llevó a cabo el </w:t>
      </w:r>
      <w:r w:rsidR="00DB732E">
        <w:rPr>
          <w:rFonts w:ascii="Arial" w:hAnsi="Arial" w:cs="Arial"/>
          <w:b w:val="0"/>
          <w:bCs/>
          <w:color w:val="auto"/>
          <w:szCs w:val="24"/>
          <w:lang w:val="es-MX"/>
        </w:rPr>
        <w:t>A</w:t>
      </w:r>
      <w:r w:rsidR="00D96549">
        <w:rPr>
          <w:rFonts w:ascii="Arial" w:hAnsi="Arial" w:cs="Arial"/>
          <w:b w:val="0"/>
          <w:bCs/>
          <w:color w:val="auto"/>
          <w:szCs w:val="24"/>
          <w:lang w:val="es-MX"/>
        </w:rPr>
        <w:t xml:space="preserve">cto de </w:t>
      </w:r>
      <w:r w:rsidR="00DB732E">
        <w:rPr>
          <w:rFonts w:ascii="Arial" w:hAnsi="Arial" w:cs="Arial"/>
          <w:b w:val="0"/>
          <w:bCs/>
          <w:color w:val="auto"/>
          <w:szCs w:val="24"/>
          <w:lang w:val="es-MX"/>
        </w:rPr>
        <w:t>A</w:t>
      </w:r>
      <w:r w:rsidR="00D96549">
        <w:rPr>
          <w:rFonts w:ascii="Arial" w:hAnsi="Arial" w:cs="Arial"/>
          <w:b w:val="0"/>
          <w:bCs/>
          <w:color w:val="auto"/>
          <w:szCs w:val="24"/>
          <w:lang w:val="es-MX"/>
        </w:rPr>
        <w:t xml:space="preserve">pertura de ofertas, recibiéndose </w:t>
      </w:r>
      <w:r w:rsidRPr="00C51A7D">
        <w:rPr>
          <w:rFonts w:ascii="Arial" w:hAnsi="Arial" w:cs="Arial"/>
          <w:b w:val="0"/>
          <w:bCs/>
          <w:color w:val="auto"/>
          <w:szCs w:val="24"/>
          <w:lang w:val="es-MX"/>
        </w:rPr>
        <w:t xml:space="preserve">10 </w:t>
      </w:r>
      <w:r w:rsidR="00D96549">
        <w:rPr>
          <w:rFonts w:ascii="Arial" w:hAnsi="Arial" w:cs="Arial"/>
          <w:b w:val="0"/>
          <w:bCs/>
          <w:color w:val="auto"/>
          <w:szCs w:val="24"/>
          <w:lang w:val="es-MX"/>
        </w:rPr>
        <w:t xml:space="preserve">propuestas </w:t>
      </w:r>
      <w:r w:rsidRPr="00C51A7D">
        <w:rPr>
          <w:rFonts w:ascii="Arial" w:hAnsi="Arial" w:cs="Arial"/>
          <w:b w:val="0"/>
          <w:bCs/>
          <w:color w:val="auto"/>
          <w:szCs w:val="24"/>
          <w:lang w:val="es-MX"/>
        </w:rPr>
        <w:t xml:space="preserve">: </w:t>
      </w:r>
      <w:proofErr w:type="spellStart"/>
      <w:r w:rsidRPr="00C51A7D">
        <w:rPr>
          <w:rFonts w:ascii="Arial" w:hAnsi="Arial" w:cs="Arial"/>
          <w:b w:val="0"/>
          <w:bCs/>
          <w:color w:val="auto"/>
          <w:szCs w:val="24"/>
          <w:lang w:val="es-MX"/>
        </w:rPr>
        <w:t>Partry</w:t>
      </w:r>
      <w:proofErr w:type="spellEnd"/>
      <w:r w:rsidRPr="00C51A7D">
        <w:rPr>
          <w:rFonts w:ascii="Arial" w:hAnsi="Arial" w:cs="Arial"/>
          <w:b w:val="0"/>
          <w:bCs/>
          <w:color w:val="auto"/>
          <w:szCs w:val="24"/>
          <w:lang w:val="es-MX"/>
        </w:rPr>
        <w:t xml:space="preserve"> S.A.,  Equipos y Servicios Ltda., </w:t>
      </w:r>
      <w:proofErr w:type="spellStart"/>
      <w:r w:rsidRPr="00C51A7D">
        <w:rPr>
          <w:rFonts w:ascii="Arial" w:hAnsi="Arial" w:cs="Arial"/>
          <w:b w:val="0"/>
          <w:bCs/>
          <w:color w:val="auto"/>
          <w:szCs w:val="24"/>
          <w:lang w:val="es-MX"/>
        </w:rPr>
        <w:t>Zahl</w:t>
      </w:r>
      <w:proofErr w:type="spellEnd"/>
      <w:r w:rsidRPr="00C51A7D">
        <w:rPr>
          <w:rFonts w:ascii="Arial" w:hAnsi="Arial" w:cs="Arial"/>
          <w:b w:val="0"/>
          <w:bCs/>
          <w:color w:val="auto"/>
          <w:szCs w:val="24"/>
          <w:lang w:val="es-MX"/>
        </w:rPr>
        <w:t xml:space="preserve"> S.R.L., </w:t>
      </w:r>
      <w:proofErr w:type="spellStart"/>
      <w:r w:rsidR="00D96549">
        <w:rPr>
          <w:rFonts w:ascii="Arial" w:hAnsi="Arial" w:cs="Arial"/>
          <w:b w:val="0"/>
          <w:bCs/>
          <w:color w:val="auto"/>
          <w:szCs w:val="24"/>
          <w:lang w:val="es-MX"/>
        </w:rPr>
        <w:t>Taym</w:t>
      </w:r>
      <w:proofErr w:type="spellEnd"/>
      <w:r w:rsidR="00D96549">
        <w:rPr>
          <w:rFonts w:ascii="Arial" w:hAnsi="Arial" w:cs="Arial"/>
          <w:b w:val="0"/>
          <w:bCs/>
          <w:color w:val="auto"/>
          <w:szCs w:val="24"/>
          <w:lang w:val="es-MX"/>
        </w:rPr>
        <w:t xml:space="preserve"> Uruguay  S.A.,</w:t>
      </w:r>
      <w:r w:rsidRPr="00C51A7D">
        <w:rPr>
          <w:rFonts w:ascii="Arial" w:hAnsi="Arial" w:cs="Arial"/>
          <w:b w:val="0"/>
          <w:bCs/>
          <w:color w:val="auto"/>
          <w:szCs w:val="24"/>
          <w:lang w:val="es-MX"/>
        </w:rPr>
        <w:t xml:space="preserve"> </w:t>
      </w:r>
      <w:proofErr w:type="spellStart"/>
      <w:r w:rsidRPr="00C51A7D">
        <w:rPr>
          <w:rFonts w:ascii="Arial" w:hAnsi="Arial" w:cs="Arial"/>
          <w:b w:val="0"/>
          <w:bCs/>
          <w:color w:val="auto"/>
          <w:szCs w:val="24"/>
          <w:lang w:val="es-MX"/>
        </w:rPr>
        <w:t>Cleannet</w:t>
      </w:r>
      <w:proofErr w:type="spellEnd"/>
      <w:r w:rsidRPr="00C51A7D">
        <w:rPr>
          <w:rFonts w:ascii="Arial" w:hAnsi="Arial" w:cs="Arial"/>
          <w:b w:val="0"/>
          <w:bCs/>
          <w:color w:val="auto"/>
          <w:szCs w:val="24"/>
          <w:lang w:val="es-MX"/>
        </w:rPr>
        <w:t xml:space="preserve"> Uruguay S.A., Danubio Bonilla e Hijos S.R.L., </w:t>
      </w:r>
      <w:proofErr w:type="spellStart"/>
      <w:r w:rsidRPr="00C51A7D">
        <w:rPr>
          <w:rFonts w:ascii="Arial" w:hAnsi="Arial" w:cs="Arial"/>
          <w:b w:val="0"/>
          <w:bCs/>
          <w:color w:val="auto"/>
          <w:szCs w:val="24"/>
          <w:lang w:val="es-MX"/>
        </w:rPr>
        <w:t>Caferr</w:t>
      </w:r>
      <w:proofErr w:type="spellEnd"/>
      <w:r w:rsidRPr="00C51A7D">
        <w:rPr>
          <w:rFonts w:ascii="Arial" w:hAnsi="Arial" w:cs="Arial"/>
          <w:b w:val="0"/>
          <w:bCs/>
          <w:color w:val="auto"/>
          <w:szCs w:val="24"/>
          <w:lang w:val="es-MX"/>
        </w:rPr>
        <w:t xml:space="preserve"> S.R.L., Rosana Suárez (Liben S.A.),  Danilo Salazar (Atanor)</w:t>
      </w:r>
      <w:r w:rsidR="00D96549">
        <w:rPr>
          <w:rFonts w:ascii="Arial" w:hAnsi="Arial" w:cs="Arial"/>
          <w:b w:val="0"/>
          <w:bCs/>
          <w:color w:val="auto"/>
          <w:szCs w:val="24"/>
          <w:lang w:val="es-MX"/>
        </w:rPr>
        <w:t xml:space="preserve"> y </w:t>
      </w:r>
      <w:r w:rsidRPr="00C51A7D">
        <w:rPr>
          <w:rFonts w:ascii="Arial" w:hAnsi="Arial" w:cs="Arial"/>
          <w:b w:val="0"/>
          <w:bCs/>
          <w:color w:val="auto"/>
          <w:szCs w:val="24"/>
          <w:lang w:val="es-MX"/>
        </w:rPr>
        <w:t xml:space="preserve"> Roberto Sanabria y Diego </w:t>
      </w:r>
      <w:proofErr w:type="spellStart"/>
      <w:r w:rsidRPr="00C51A7D">
        <w:rPr>
          <w:rFonts w:ascii="Arial" w:hAnsi="Arial" w:cs="Arial"/>
          <w:b w:val="0"/>
          <w:bCs/>
          <w:color w:val="auto"/>
          <w:szCs w:val="24"/>
          <w:lang w:val="es-MX"/>
        </w:rPr>
        <w:t>Grieco</w:t>
      </w:r>
      <w:proofErr w:type="spellEnd"/>
      <w:r w:rsidRPr="00C51A7D">
        <w:rPr>
          <w:rFonts w:ascii="Arial" w:hAnsi="Arial" w:cs="Arial"/>
          <w:bCs/>
          <w:color w:val="auto"/>
          <w:szCs w:val="24"/>
          <w:lang w:val="es-MX"/>
        </w:rPr>
        <w:t xml:space="preserve">;  </w:t>
      </w:r>
    </w:p>
    <w:p w:rsidR="00894C21" w:rsidRDefault="00D96549" w:rsidP="000B0D98">
      <w:pPr>
        <w:pStyle w:val="Textoindependiente2"/>
        <w:ind w:firstLine="2835"/>
        <w:rPr>
          <w:bCs w:val="0"/>
          <w:color w:val="auto"/>
          <w:szCs w:val="24"/>
          <w:lang w:val="es-MX"/>
        </w:rPr>
      </w:pPr>
      <w:r>
        <w:rPr>
          <w:b/>
          <w:bCs w:val="0"/>
          <w:color w:val="auto"/>
          <w:szCs w:val="24"/>
          <w:lang w:val="es-MX"/>
        </w:rPr>
        <w:t>2</w:t>
      </w:r>
      <w:r w:rsidR="00894C21">
        <w:rPr>
          <w:b/>
          <w:bCs w:val="0"/>
          <w:color w:val="auto"/>
          <w:szCs w:val="24"/>
          <w:lang w:val="es-MX"/>
        </w:rPr>
        <w:t>)</w:t>
      </w:r>
      <w:r w:rsidR="00894C21">
        <w:rPr>
          <w:bCs w:val="0"/>
          <w:color w:val="auto"/>
          <w:szCs w:val="24"/>
          <w:lang w:val="es-MX"/>
        </w:rPr>
        <w:t xml:space="preserve"> </w:t>
      </w:r>
      <w:r w:rsidR="00894C21">
        <w:rPr>
          <w:color w:val="auto"/>
          <w:szCs w:val="24"/>
          <w:lang w:val="es-MX"/>
        </w:rPr>
        <w:t>que la Comisión Asesora de Adjud</w:t>
      </w:r>
      <w:r w:rsidR="00894C21">
        <w:rPr>
          <w:bCs w:val="0"/>
          <w:color w:val="auto"/>
          <w:szCs w:val="24"/>
          <w:lang w:val="es-MX"/>
        </w:rPr>
        <w:t xml:space="preserve">icaciones con </w:t>
      </w:r>
      <w:r w:rsidR="00894C21">
        <w:rPr>
          <w:bCs w:val="0"/>
          <w:szCs w:val="24"/>
        </w:rPr>
        <w:t>fecha 24/08/16 emit</w:t>
      </w:r>
      <w:r>
        <w:rPr>
          <w:bCs w:val="0"/>
          <w:szCs w:val="24"/>
        </w:rPr>
        <w:t xml:space="preserve">ió </w:t>
      </w:r>
      <w:r w:rsidR="00894C21">
        <w:rPr>
          <w:bCs w:val="0"/>
          <w:szCs w:val="24"/>
        </w:rPr>
        <w:t>dictamen, sugiriendo adjudi</w:t>
      </w:r>
      <w:r>
        <w:rPr>
          <w:bCs w:val="0"/>
          <w:szCs w:val="24"/>
        </w:rPr>
        <w:t>car el llamado conforme el informe técnico</w:t>
      </w:r>
      <w:r w:rsidR="00894C21">
        <w:rPr>
          <w:bCs w:val="0"/>
          <w:szCs w:val="24"/>
        </w:rPr>
        <w:t xml:space="preserve">, a la firma Liben S.A. (Rosana Suárez) por un precio mensual del servicio de $ 1:280.000 IVA incluido, precio mensual del servicio especial de verano $ 122.000 IVA incluido, precio mensual limpieza avenidas $ 427.000 IVA incluido, precio hora servicio especial barrido diurna $ 380 IVA incluido, precio hora servicio especial barrido nocturna $ 455 IVA incluido, precio de </w:t>
      </w:r>
      <w:proofErr w:type="spellStart"/>
      <w:r w:rsidR="00894C21">
        <w:rPr>
          <w:bCs w:val="0"/>
          <w:szCs w:val="24"/>
        </w:rPr>
        <w:t>hidrolavado</w:t>
      </w:r>
      <w:proofErr w:type="spellEnd"/>
      <w:r w:rsidR="00894C21">
        <w:rPr>
          <w:bCs w:val="0"/>
          <w:szCs w:val="24"/>
        </w:rPr>
        <w:t xml:space="preserve"> de 1.000 m2 de vereda y/o calzada $ 160.000 IVA incluido;      </w:t>
      </w:r>
    </w:p>
    <w:p w:rsidR="00894C21" w:rsidRDefault="00D96549" w:rsidP="000B0D98">
      <w:pPr>
        <w:pStyle w:val="Textoindependiente2"/>
        <w:ind w:firstLine="2835"/>
        <w:rPr>
          <w:bCs w:val="0"/>
        </w:rPr>
      </w:pPr>
      <w:r>
        <w:rPr>
          <w:b/>
          <w:lang w:val="es-MX"/>
        </w:rPr>
        <w:t>3</w:t>
      </w:r>
      <w:r w:rsidR="00894C21">
        <w:rPr>
          <w:b/>
          <w:bCs w:val="0"/>
          <w:lang w:val="es-MX"/>
        </w:rPr>
        <w:t xml:space="preserve">) </w:t>
      </w:r>
      <w:r w:rsidR="00894C21">
        <w:t>que</w:t>
      </w:r>
      <w:r w:rsidR="00894C21">
        <w:rPr>
          <w:bCs w:val="0"/>
        </w:rPr>
        <w:t xml:space="preserve"> por Resolución Nº 06437/2016 de fecha 13/09/16, el Intendente dispuso la adjudicación, ad referéndum de la </w:t>
      </w:r>
      <w:r w:rsidR="00894C21">
        <w:rPr>
          <w:bCs w:val="0"/>
        </w:rPr>
        <w:lastRenderedPageBreak/>
        <w:t>intervención de este Tribunal, conforme lo sugerido por la C.A.A., por el período de un año;</w:t>
      </w:r>
    </w:p>
    <w:p w:rsidR="00D96549" w:rsidRDefault="00D96549" w:rsidP="000B0D98">
      <w:pPr>
        <w:spacing w:line="360" w:lineRule="auto"/>
        <w:ind w:firstLine="2835"/>
        <w:jc w:val="both"/>
        <w:rPr>
          <w:rFonts w:ascii="Arial" w:hAnsi="Arial" w:cs="Arial"/>
          <w:b w:val="0"/>
          <w:spacing w:val="-3"/>
          <w:szCs w:val="24"/>
          <w:lang w:val="es-ES_tradnl"/>
        </w:rPr>
      </w:pPr>
      <w:r>
        <w:rPr>
          <w:rFonts w:ascii="Arial" w:hAnsi="Arial" w:cs="Arial"/>
          <w:spacing w:val="-3"/>
          <w:szCs w:val="24"/>
          <w:lang w:val="es-ES_tradnl"/>
        </w:rPr>
        <w:t xml:space="preserve">4) </w:t>
      </w:r>
      <w:r>
        <w:rPr>
          <w:rFonts w:ascii="Arial" w:hAnsi="Arial" w:cs="Arial"/>
          <w:b w:val="0"/>
          <w:spacing w:val="-3"/>
          <w:szCs w:val="24"/>
          <w:lang w:val="es-ES_tradnl"/>
        </w:rPr>
        <w:t>que, en</w:t>
      </w:r>
      <w:r w:rsidR="00967FDC">
        <w:rPr>
          <w:rFonts w:ascii="Arial" w:hAnsi="Arial" w:cs="Arial"/>
          <w:b w:val="0"/>
          <w:spacing w:val="-3"/>
          <w:szCs w:val="24"/>
          <w:lang w:val="es-ES_tradnl"/>
        </w:rPr>
        <w:t xml:space="preserve"> </w:t>
      </w:r>
      <w:r w:rsidR="00DB732E">
        <w:rPr>
          <w:rFonts w:ascii="Arial" w:hAnsi="Arial" w:cs="Arial"/>
          <w:b w:val="0"/>
          <w:spacing w:val="-3"/>
          <w:szCs w:val="24"/>
          <w:lang w:val="es-ES_tradnl"/>
        </w:rPr>
        <w:t>S</w:t>
      </w:r>
      <w:r w:rsidR="00967FDC">
        <w:rPr>
          <w:rFonts w:ascii="Arial" w:hAnsi="Arial" w:cs="Arial"/>
          <w:b w:val="0"/>
          <w:spacing w:val="-3"/>
          <w:szCs w:val="24"/>
          <w:lang w:val="es-ES_tradnl"/>
        </w:rPr>
        <w:t>esión de fecha 03/11/16 este T</w:t>
      </w:r>
      <w:r>
        <w:rPr>
          <w:rFonts w:ascii="Arial" w:hAnsi="Arial" w:cs="Arial"/>
          <w:b w:val="0"/>
          <w:spacing w:val="-3"/>
          <w:szCs w:val="24"/>
          <w:lang w:val="es-ES_tradnl"/>
        </w:rPr>
        <w:t>ribunal observó el gasto en virtud de:</w:t>
      </w:r>
    </w:p>
    <w:p w:rsidR="00D96549" w:rsidRDefault="00D96549" w:rsidP="000402E9">
      <w:pPr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0B0D98">
        <w:rPr>
          <w:rFonts w:ascii="Arial" w:hAnsi="Arial" w:cs="Arial"/>
          <w:spacing w:val="-3"/>
          <w:szCs w:val="24"/>
          <w:lang w:val="es-ES_tradnl"/>
        </w:rPr>
        <w:t>4.1)</w:t>
      </w:r>
      <w:r w:rsidR="00894C21">
        <w:rPr>
          <w:rFonts w:ascii="Arial" w:hAnsi="Arial" w:cs="Arial"/>
          <w:spacing w:val="-3"/>
          <w:szCs w:val="24"/>
          <w:lang w:val="es-ES_tradnl"/>
        </w:rPr>
        <w:tab/>
      </w:r>
      <w:r>
        <w:rPr>
          <w:rFonts w:ascii="Arial" w:hAnsi="Arial" w:cs="Arial"/>
          <w:b w:val="0"/>
          <w:bCs/>
          <w:szCs w:val="24"/>
        </w:rPr>
        <w:t xml:space="preserve">que en el caso, si bien </w:t>
      </w:r>
      <w:r>
        <w:rPr>
          <w:rFonts w:ascii="Arial" w:hAnsi="Arial" w:cs="Arial"/>
          <w:b w:val="0"/>
          <w:szCs w:val="24"/>
        </w:rPr>
        <w:t>para la ponderación de las ofertas el Pliego establece los factores que se tendrán en cuenta para evaluarlas, así como el máximo porcentaje a asignarles  no se establecieron previamente en los Pliegos franjas de ponderación objetiva dentro de los máximos fijados para cada factor;</w:t>
      </w:r>
    </w:p>
    <w:p w:rsidR="00D96549" w:rsidRPr="00640F23" w:rsidRDefault="00D96549" w:rsidP="000402E9">
      <w:pPr>
        <w:spacing w:line="360" w:lineRule="auto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szCs w:val="24"/>
        </w:rPr>
        <w:t>4.2</w:t>
      </w:r>
      <w:r w:rsidRPr="00640F23">
        <w:rPr>
          <w:rFonts w:ascii="Arial" w:hAnsi="Arial" w:cs="Arial"/>
          <w:szCs w:val="24"/>
        </w:rPr>
        <w:t xml:space="preserve">) </w:t>
      </w:r>
      <w:r>
        <w:rPr>
          <w:rFonts w:ascii="Arial" w:hAnsi="Arial" w:cs="Arial"/>
          <w:b w:val="0"/>
          <w:szCs w:val="24"/>
        </w:rPr>
        <w:t>que no se dio cumplimiento a lo dispuesto en el Art</w:t>
      </w:r>
      <w:r w:rsidR="00DB732E">
        <w:rPr>
          <w:rFonts w:ascii="Arial" w:hAnsi="Arial" w:cs="Arial"/>
          <w:b w:val="0"/>
          <w:szCs w:val="24"/>
        </w:rPr>
        <w:t>ículo</w:t>
      </w:r>
      <w:r>
        <w:rPr>
          <w:rFonts w:ascii="Arial" w:hAnsi="Arial" w:cs="Arial"/>
          <w:b w:val="0"/>
          <w:szCs w:val="24"/>
        </w:rPr>
        <w:t xml:space="preserve"> 51 del T.O.C.A.F. al no haberse publicado el llamado en el Diario Oficial;  </w:t>
      </w:r>
    </w:p>
    <w:p w:rsidR="00D96549" w:rsidRDefault="00D96549" w:rsidP="000402E9">
      <w:pPr>
        <w:spacing w:line="360" w:lineRule="auto"/>
        <w:jc w:val="both"/>
        <w:rPr>
          <w:rFonts w:ascii="Arial" w:hAnsi="Arial" w:cs="Arial"/>
          <w:bCs/>
        </w:rPr>
      </w:pPr>
      <w:r w:rsidRPr="000B0D98">
        <w:rPr>
          <w:rFonts w:ascii="Arial" w:hAnsi="Arial" w:cs="Arial"/>
          <w:szCs w:val="24"/>
        </w:rPr>
        <w:t>4.3</w:t>
      </w:r>
      <w:r>
        <w:rPr>
          <w:rFonts w:ascii="Arial" w:hAnsi="Arial" w:cs="Arial"/>
        </w:rPr>
        <w:t>)</w:t>
      </w:r>
      <w:r>
        <w:rPr>
          <w:rFonts w:ascii="Arial" w:hAnsi="Arial" w:cs="Arial"/>
          <w:b w:val="0"/>
        </w:rPr>
        <w:t xml:space="preserve"> </w:t>
      </w:r>
      <w:r>
        <w:rPr>
          <w:rFonts w:ascii="Arial" w:hAnsi="Arial" w:cs="Arial"/>
          <w:b w:val="0"/>
          <w:szCs w:val="24"/>
        </w:rPr>
        <w:t>que de acuerdo al monto de la contratación, que puede extenderse hasta la finalización del período de gobierno,</w:t>
      </w:r>
      <w:r w:rsidRPr="006D101E">
        <w:rPr>
          <w:rFonts w:ascii="Arial" w:hAnsi="Arial" w:cs="Arial"/>
          <w:b w:val="0"/>
          <w:szCs w:val="24"/>
        </w:rPr>
        <w:t xml:space="preserve"> </w:t>
      </w:r>
      <w:r>
        <w:rPr>
          <w:rFonts w:ascii="Arial" w:hAnsi="Arial" w:cs="Arial"/>
          <w:b w:val="0"/>
          <w:szCs w:val="24"/>
        </w:rPr>
        <w:t>no se dio cumplimiento a lo dispuesto por el Art</w:t>
      </w:r>
      <w:r w:rsidR="00DB732E">
        <w:rPr>
          <w:rFonts w:ascii="Arial" w:hAnsi="Arial" w:cs="Arial"/>
          <w:b w:val="0"/>
          <w:szCs w:val="24"/>
        </w:rPr>
        <w:t>ículo</w:t>
      </w:r>
      <w:r>
        <w:rPr>
          <w:rFonts w:ascii="Arial" w:hAnsi="Arial" w:cs="Arial"/>
          <w:b w:val="0"/>
          <w:szCs w:val="24"/>
        </w:rPr>
        <w:t xml:space="preserve"> 67 del T.O.C.A.F., al no otorgarse vista a los oferentes del pronunciamiento de la C.A.A. antes  de la adjudicación;  </w:t>
      </w:r>
      <w:r>
        <w:rPr>
          <w:rFonts w:ascii="Arial" w:hAnsi="Arial" w:cs="Arial"/>
          <w:bCs/>
        </w:rPr>
        <w:t xml:space="preserve">                                  </w:t>
      </w:r>
    </w:p>
    <w:p w:rsidR="000A27EF" w:rsidRDefault="00D96549" w:rsidP="000402E9">
      <w:pPr>
        <w:tabs>
          <w:tab w:val="left" w:pos="1843"/>
        </w:tabs>
        <w:spacing w:line="360" w:lineRule="auto"/>
        <w:jc w:val="both"/>
        <w:rPr>
          <w:rFonts w:ascii="Arial" w:hAnsi="Arial" w:cs="Arial"/>
          <w:b w:val="0"/>
          <w:spacing w:val="-3"/>
        </w:rPr>
      </w:pPr>
      <w:r>
        <w:rPr>
          <w:rFonts w:ascii="Arial" w:hAnsi="Arial" w:cs="Arial"/>
          <w:szCs w:val="24"/>
        </w:rPr>
        <w:t>4.4)</w:t>
      </w:r>
      <w:r>
        <w:rPr>
          <w:rFonts w:ascii="Arial" w:hAnsi="Arial" w:cs="Arial"/>
          <w:b w:val="0"/>
          <w:bCs/>
          <w:szCs w:val="24"/>
        </w:rPr>
        <w:t xml:space="preserve"> </w:t>
      </w:r>
      <w:r>
        <w:rPr>
          <w:rFonts w:ascii="Arial" w:hAnsi="Arial" w:cs="Arial"/>
          <w:b w:val="0"/>
          <w:spacing w:val="-3"/>
        </w:rPr>
        <w:t>que no se dio cumplim</w:t>
      </w:r>
      <w:r w:rsidR="00011967">
        <w:rPr>
          <w:rFonts w:ascii="Arial" w:hAnsi="Arial" w:cs="Arial"/>
          <w:b w:val="0"/>
          <w:spacing w:val="-3"/>
        </w:rPr>
        <w:t>iento a lo dispuesto por el Artículo</w:t>
      </w:r>
      <w:r>
        <w:rPr>
          <w:rFonts w:ascii="Arial" w:hAnsi="Arial" w:cs="Arial"/>
          <w:b w:val="0"/>
          <w:spacing w:val="-3"/>
        </w:rPr>
        <w:t xml:space="preserve"> 15 del T.O.C.A.F., al comprometerse un gasto sin disponibilidad presu</w:t>
      </w:r>
      <w:r w:rsidR="000A27EF">
        <w:rPr>
          <w:rFonts w:ascii="Arial" w:hAnsi="Arial" w:cs="Arial"/>
          <w:b w:val="0"/>
          <w:spacing w:val="-3"/>
        </w:rPr>
        <w:t>puestal;</w:t>
      </w:r>
    </w:p>
    <w:p w:rsidR="000A27EF" w:rsidRPr="000A27EF" w:rsidRDefault="000A27EF" w:rsidP="000B0D98">
      <w:pPr>
        <w:tabs>
          <w:tab w:val="left" w:pos="1843"/>
        </w:tabs>
        <w:spacing w:line="360" w:lineRule="auto"/>
        <w:ind w:firstLine="2835"/>
        <w:jc w:val="both"/>
        <w:rPr>
          <w:rFonts w:ascii="Arial" w:hAnsi="Arial" w:cs="Arial"/>
          <w:b w:val="0"/>
          <w:spacing w:val="-3"/>
        </w:rPr>
      </w:pPr>
      <w:r>
        <w:rPr>
          <w:rFonts w:ascii="Arial" w:hAnsi="Arial" w:cs="Arial"/>
          <w:spacing w:val="-3"/>
        </w:rPr>
        <w:t xml:space="preserve">5) </w:t>
      </w:r>
      <w:r>
        <w:rPr>
          <w:rFonts w:ascii="Arial" w:hAnsi="Arial" w:cs="Arial"/>
          <w:b w:val="0"/>
          <w:spacing w:val="-3"/>
        </w:rPr>
        <w:t xml:space="preserve">que por Resolución Nº 08645/2016 de fecha 29/11/16 el Intendente reitera el gasto </w:t>
      </w:r>
      <w:r w:rsidR="00327116">
        <w:rPr>
          <w:rFonts w:ascii="Arial" w:hAnsi="Arial" w:cs="Arial"/>
          <w:b w:val="0"/>
          <w:spacing w:val="-3"/>
        </w:rPr>
        <w:t xml:space="preserve">  expresando que no se ha verificado apartamiento a lo dispuesto por el </w:t>
      </w:r>
      <w:r w:rsidR="00011967">
        <w:rPr>
          <w:rFonts w:ascii="Arial" w:hAnsi="Arial" w:cs="Arial"/>
          <w:b w:val="0"/>
          <w:spacing w:val="-3"/>
        </w:rPr>
        <w:t>A</w:t>
      </w:r>
      <w:r w:rsidR="00327116">
        <w:rPr>
          <w:rFonts w:ascii="Arial" w:hAnsi="Arial" w:cs="Arial"/>
          <w:b w:val="0"/>
          <w:spacing w:val="-3"/>
        </w:rPr>
        <w:t xml:space="preserve">rtículo 48 </w:t>
      </w:r>
      <w:r w:rsidR="00011967">
        <w:rPr>
          <w:rFonts w:ascii="Arial" w:hAnsi="Arial" w:cs="Arial"/>
          <w:b w:val="0"/>
          <w:spacing w:val="-3"/>
        </w:rPr>
        <w:t>L</w:t>
      </w:r>
      <w:r w:rsidR="00327116">
        <w:rPr>
          <w:rFonts w:ascii="Arial" w:hAnsi="Arial" w:cs="Arial"/>
          <w:b w:val="0"/>
          <w:spacing w:val="-3"/>
        </w:rPr>
        <w:t xml:space="preserve">iteral C) del TOCAF dado que en el Pliego se establecieron los criterios objetivos que sirvieron de base para la adjudicación; que la publicación en el Diario Oficial se </w:t>
      </w:r>
      <w:r w:rsidR="00967FDC">
        <w:rPr>
          <w:rFonts w:ascii="Arial" w:hAnsi="Arial" w:cs="Arial"/>
          <w:b w:val="0"/>
          <w:spacing w:val="-3"/>
        </w:rPr>
        <w:t>llev</w:t>
      </w:r>
      <w:r w:rsidR="00327116">
        <w:rPr>
          <w:rFonts w:ascii="Arial" w:hAnsi="Arial" w:cs="Arial"/>
          <w:b w:val="0"/>
          <w:spacing w:val="-3"/>
        </w:rPr>
        <w:t xml:space="preserve">ó </w:t>
      </w:r>
      <w:r w:rsidR="00967FDC">
        <w:rPr>
          <w:rFonts w:ascii="Arial" w:hAnsi="Arial" w:cs="Arial"/>
          <w:b w:val="0"/>
          <w:spacing w:val="-3"/>
        </w:rPr>
        <w:t xml:space="preserve"> a cabo, lo que consta en Actuación 23 del Expediente; que la vista previa (Art</w:t>
      </w:r>
      <w:r w:rsidR="00011967">
        <w:rPr>
          <w:rFonts w:ascii="Arial" w:hAnsi="Arial" w:cs="Arial"/>
          <w:b w:val="0"/>
          <w:spacing w:val="-3"/>
        </w:rPr>
        <w:t>ículo</w:t>
      </w:r>
      <w:r w:rsidR="00967FDC">
        <w:rPr>
          <w:rFonts w:ascii="Arial" w:hAnsi="Arial" w:cs="Arial"/>
          <w:b w:val="0"/>
          <w:spacing w:val="-3"/>
        </w:rPr>
        <w:t xml:space="preserve"> 67 del TOCAF) no corresponde que se cumpla por cuanto el contrato es por un año, siendo eventuales las prórrogas previstas y que el gasto se encuentra previsto en el programa económico-financiero aprobado en el Presupuesto departamental por lo que, si bien al momento del compromiso el rubro carecía de disponibilidad, se dotará al mismo con los recursos necesarios para su </w:t>
      </w:r>
      <w:proofErr w:type="spellStart"/>
      <w:r w:rsidR="00967FDC">
        <w:rPr>
          <w:rFonts w:ascii="Arial" w:hAnsi="Arial" w:cs="Arial"/>
          <w:b w:val="0"/>
          <w:spacing w:val="-3"/>
        </w:rPr>
        <w:t>efectivización</w:t>
      </w:r>
      <w:proofErr w:type="spellEnd"/>
      <w:r w:rsidR="00967FDC">
        <w:rPr>
          <w:rFonts w:ascii="Arial" w:hAnsi="Arial" w:cs="Arial"/>
          <w:b w:val="0"/>
          <w:spacing w:val="-3"/>
        </w:rPr>
        <w:t>;</w:t>
      </w:r>
      <w:r w:rsidR="00327116">
        <w:rPr>
          <w:rFonts w:ascii="Arial" w:hAnsi="Arial" w:cs="Arial"/>
          <w:b w:val="0"/>
          <w:spacing w:val="-3"/>
        </w:rPr>
        <w:t xml:space="preserve">   </w:t>
      </w:r>
    </w:p>
    <w:p w:rsidR="000402E9" w:rsidRDefault="000A27EF" w:rsidP="000402E9">
      <w:pPr>
        <w:tabs>
          <w:tab w:val="left" w:pos="1843"/>
        </w:tabs>
        <w:spacing w:line="360" w:lineRule="auto"/>
        <w:ind w:firstLine="851"/>
        <w:jc w:val="both"/>
        <w:rPr>
          <w:rFonts w:ascii="Arial" w:hAnsi="Arial" w:cs="Arial"/>
          <w:b w:val="0"/>
          <w:color w:val="auto"/>
          <w:szCs w:val="24"/>
          <w:lang w:val="es-MX"/>
        </w:rPr>
      </w:pPr>
      <w:r w:rsidRPr="000A27EF">
        <w:rPr>
          <w:rFonts w:ascii="Arial" w:hAnsi="Arial" w:cs="Arial"/>
          <w:color w:val="auto"/>
          <w:szCs w:val="24"/>
        </w:rPr>
        <w:lastRenderedPageBreak/>
        <w:t xml:space="preserve"> </w:t>
      </w:r>
      <w:r w:rsidRPr="000A27EF">
        <w:rPr>
          <w:rFonts w:ascii="Arial" w:eastAsia="Calibri" w:hAnsi="Arial" w:cs="Arial"/>
          <w:bCs/>
          <w:color w:val="auto"/>
          <w:szCs w:val="24"/>
          <w:lang w:eastAsia="en-US"/>
        </w:rPr>
        <w:t>CONSIDERANDO:</w:t>
      </w:r>
      <w:r w:rsidRPr="000A27EF">
        <w:rPr>
          <w:rFonts w:ascii="Arial" w:eastAsia="Calibri" w:hAnsi="Arial" w:cs="Arial"/>
          <w:b w:val="0"/>
          <w:color w:val="auto"/>
          <w:szCs w:val="24"/>
          <w:lang w:eastAsia="en-US"/>
        </w:rPr>
        <w:t xml:space="preserve"> </w:t>
      </w:r>
      <w:r w:rsidRPr="000A27EF">
        <w:rPr>
          <w:rFonts w:ascii="Arial" w:hAnsi="Arial" w:cs="Arial"/>
          <w:color w:val="auto"/>
          <w:szCs w:val="24"/>
          <w:lang w:val="es-MX"/>
        </w:rPr>
        <w:t>1)</w:t>
      </w:r>
      <w:r w:rsidRPr="000A27EF">
        <w:rPr>
          <w:rFonts w:ascii="Arial" w:hAnsi="Arial" w:cs="Arial"/>
          <w:b w:val="0"/>
          <w:color w:val="auto"/>
          <w:szCs w:val="24"/>
          <w:lang w:val="es-MX"/>
        </w:rPr>
        <w:t xml:space="preserve"> que el Art</w:t>
      </w:r>
      <w:r w:rsidR="000402E9">
        <w:rPr>
          <w:rFonts w:ascii="Arial" w:hAnsi="Arial" w:cs="Arial"/>
          <w:b w:val="0"/>
          <w:color w:val="auto"/>
          <w:szCs w:val="24"/>
          <w:lang w:val="es-MX"/>
        </w:rPr>
        <w:t>ículo</w:t>
      </w:r>
      <w:r w:rsidRPr="000A27EF">
        <w:rPr>
          <w:rFonts w:ascii="Arial" w:hAnsi="Arial" w:cs="Arial"/>
          <w:b w:val="0"/>
          <w:color w:val="auto"/>
          <w:szCs w:val="24"/>
          <w:lang w:val="es-MX"/>
        </w:rPr>
        <w:t xml:space="preserve"> 475 de la Ley 17.296 establece que los Ordenadores de gastos y pagos, al ejercer la facultad de insistencia o reiteración que les acuerda el Literal B) del Artículo 211 de la Constitución de la República, deben hacerlo en forma fundada,  expresando de manera detallada los motivos que justifican a su juicio seguir el curso del gasto del pago;                                </w:t>
      </w:r>
      <w:r w:rsidR="000402E9">
        <w:rPr>
          <w:rFonts w:ascii="Arial" w:hAnsi="Arial" w:cs="Arial"/>
          <w:b w:val="0"/>
          <w:color w:val="auto"/>
          <w:szCs w:val="24"/>
          <w:lang w:val="es-MX"/>
        </w:rPr>
        <w:t xml:space="preserve">      </w:t>
      </w:r>
    </w:p>
    <w:p w:rsidR="000A27EF" w:rsidRPr="000402E9" w:rsidRDefault="000402E9" w:rsidP="000402E9">
      <w:pPr>
        <w:tabs>
          <w:tab w:val="left" w:pos="1843"/>
          <w:tab w:val="left" w:pos="3119"/>
        </w:tabs>
        <w:spacing w:line="360" w:lineRule="auto"/>
        <w:ind w:firstLine="851"/>
        <w:jc w:val="both"/>
        <w:rPr>
          <w:rFonts w:ascii="Arial" w:hAnsi="Arial" w:cs="Arial"/>
          <w:b w:val="0"/>
          <w:bCs/>
          <w:color w:val="auto"/>
          <w:szCs w:val="24"/>
        </w:rPr>
      </w:pPr>
      <w:r>
        <w:rPr>
          <w:rFonts w:ascii="Arial" w:hAnsi="Arial" w:cs="Arial"/>
          <w:b w:val="0"/>
          <w:color w:val="auto"/>
          <w:szCs w:val="24"/>
          <w:lang w:val="es-MX"/>
        </w:rPr>
        <w:t xml:space="preserve">                                      </w:t>
      </w:r>
      <w:r w:rsidR="000A27EF" w:rsidRPr="000A27EF">
        <w:rPr>
          <w:rFonts w:ascii="Arial" w:hAnsi="Arial" w:cs="Arial"/>
          <w:color w:val="auto"/>
          <w:szCs w:val="24"/>
          <w:lang w:val="es-MX"/>
        </w:rPr>
        <w:t>2)</w:t>
      </w:r>
      <w:r w:rsidR="000A27EF" w:rsidRPr="000A27EF">
        <w:rPr>
          <w:rFonts w:ascii="Arial" w:hAnsi="Arial" w:cs="Arial"/>
          <w:b w:val="0"/>
          <w:color w:val="auto"/>
          <w:szCs w:val="24"/>
          <w:lang w:val="es-MX"/>
        </w:rPr>
        <w:t xml:space="preserve"> que los argumentos de la Administración no enervan las observaciones formuladas oportunamente por este Tribunal,</w:t>
      </w:r>
      <w:r w:rsidR="00967FDC">
        <w:rPr>
          <w:rFonts w:ascii="Arial" w:hAnsi="Arial" w:cs="Arial"/>
          <w:b w:val="0"/>
          <w:color w:val="auto"/>
          <w:szCs w:val="24"/>
          <w:lang w:val="es-MX"/>
        </w:rPr>
        <w:t xml:space="preserve"> excepción hecha de la publicación en el Diario Oficial, </w:t>
      </w:r>
      <w:r w:rsidR="000A27EF" w:rsidRPr="000A27EF">
        <w:rPr>
          <w:rFonts w:ascii="Arial" w:hAnsi="Arial" w:cs="Arial"/>
          <w:b w:val="0"/>
          <w:color w:val="auto"/>
          <w:szCs w:val="24"/>
          <w:lang w:val="es-MX"/>
        </w:rPr>
        <w:t xml:space="preserve"> manteniéndose incambiadas las</w:t>
      </w:r>
      <w:r w:rsidR="00967FDC">
        <w:rPr>
          <w:rFonts w:ascii="Arial" w:hAnsi="Arial" w:cs="Arial"/>
          <w:b w:val="0"/>
          <w:color w:val="auto"/>
          <w:szCs w:val="24"/>
          <w:lang w:val="es-MX"/>
        </w:rPr>
        <w:t xml:space="preserve"> restantes </w:t>
      </w:r>
      <w:r w:rsidR="000A27EF" w:rsidRPr="000A27EF">
        <w:rPr>
          <w:rFonts w:ascii="Arial" w:hAnsi="Arial" w:cs="Arial"/>
          <w:b w:val="0"/>
          <w:color w:val="auto"/>
          <w:szCs w:val="24"/>
          <w:lang w:val="es-MX"/>
        </w:rPr>
        <w:t xml:space="preserve">circunstancias de índole legal que ameritaron </w:t>
      </w:r>
      <w:r w:rsidR="00967FDC">
        <w:rPr>
          <w:rFonts w:ascii="Arial" w:hAnsi="Arial" w:cs="Arial"/>
          <w:b w:val="0"/>
          <w:color w:val="auto"/>
          <w:szCs w:val="24"/>
          <w:lang w:val="es-MX"/>
        </w:rPr>
        <w:t>la observación de referencia</w:t>
      </w:r>
      <w:r w:rsidR="000A27EF" w:rsidRPr="000A27EF">
        <w:rPr>
          <w:rFonts w:ascii="Arial" w:hAnsi="Arial" w:cs="Arial"/>
          <w:b w:val="0"/>
          <w:color w:val="auto"/>
          <w:szCs w:val="24"/>
          <w:lang w:val="es-MX"/>
        </w:rPr>
        <w:t xml:space="preserve">; </w:t>
      </w:r>
    </w:p>
    <w:p w:rsidR="000A27EF" w:rsidRPr="000A27EF" w:rsidRDefault="000A27EF" w:rsidP="000402E9">
      <w:pPr>
        <w:spacing w:line="360" w:lineRule="auto"/>
        <w:ind w:firstLine="851"/>
        <w:jc w:val="both"/>
        <w:rPr>
          <w:rFonts w:ascii="Arial" w:hAnsi="Arial" w:cs="Arial"/>
          <w:b w:val="0"/>
          <w:color w:val="auto"/>
          <w:szCs w:val="22"/>
          <w:lang w:val="es-MX"/>
        </w:rPr>
      </w:pPr>
      <w:r w:rsidRPr="000A27EF">
        <w:rPr>
          <w:rFonts w:ascii="Arial" w:hAnsi="Arial" w:cs="Arial"/>
          <w:bCs/>
          <w:color w:val="auto"/>
          <w:szCs w:val="24"/>
        </w:rPr>
        <w:t xml:space="preserve">ATENTO: </w:t>
      </w:r>
      <w:r w:rsidRPr="000A27EF">
        <w:rPr>
          <w:rFonts w:ascii="Arial" w:hAnsi="Arial" w:cs="Arial"/>
          <w:b w:val="0"/>
          <w:color w:val="auto"/>
          <w:szCs w:val="24"/>
        </w:rPr>
        <w:t>a lo expuesto y a lo dispuesto por los Art</w:t>
      </w:r>
      <w:r w:rsidR="000402E9">
        <w:rPr>
          <w:rFonts w:ascii="Arial" w:hAnsi="Arial" w:cs="Arial"/>
          <w:b w:val="0"/>
          <w:color w:val="auto"/>
          <w:szCs w:val="24"/>
        </w:rPr>
        <w:t>ículo</w:t>
      </w:r>
      <w:r w:rsidRPr="000A27EF">
        <w:rPr>
          <w:rFonts w:ascii="Arial" w:hAnsi="Arial" w:cs="Arial"/>
          <w:b w:val="0"/>
          <w:color w:val="auto"/>
          <w:szCs w:val="24"/>
        </w:rPr>
        <w:t xml:space="preserve"> 211 </w:t>
      </w:r>
      <w:r w:rsidR="000402E9">
        <w:rPr>
          <w:rFonts w:ascii="Arial" w:hAnsi="Arial" w:cs="Arial"/>
          <w:b w:val="0"/>
          <w:color w:val="auto"/>
          <w:szCs w:val="24"/>
        </w:rPr>
        <w:t>L</w:t>
      </w:r>
      <w:r w:rsidRPr="000A27EF">
        <w:rPr>
          <w:rFonts w:ascii="Arial" w:hAnsi="Arial" w:cs="Arial"/>
          <w:b w:val="0"/>
          <w:color w:val="auto"/>
          <w:szCs w:val="24"/>
        </w:rPr>
        <w:t>iteral B) de la Constitución de la República</w:t>
      </w:r>
      <w:r w:rsidRPr="000A27EF">
        <w:rPr>
          <w:rFonts w:ascii="Arial" w:hAnsi="Arial" w:cs="Arial"/>
          <w:b w:val="0"/>
          <w:color w:val="auto"/>
          <w:szCs w:val="22"/>
          <w:lang w:val="es-MX"/>
        </w:rPr>
        <w:t>;</w:t>
      </w:r>
    </w:p>
    <w:p w:rsidR="000A27EF" w:rsidRPr="000A27EF" w:rsidRDefault="000A27EF" w:rsidP="000402E9">
      <w:pPr>
        <w:keepNext/>
        <w:spacing w:line="360" w:lineRule="auto"/>
        <w:jc w:val="center"/>
        <w:outlineLvl w:val="0"/>
        <w:rPr>
          <w:rFonts w:ascii="Arial" w:hAnsi="Arial" w:cs="Arial"/>
          <w:color w:val="auto"/>
          <w:szCs w:val="22"/>
          <w:lang w:val="es-MX"/>
        </w:rPr>
      </w:pPr>
      <w:r w:rsidRPr="000A27EF">
        <w:rPr>
          <w:rFonts w:ascii="Arial" w:hAnsi="Arial" w:cs="Arial"/>
          <w:color w:val="auto"/>
          <w:szCs w:val="22"/>
          <w:lang w:val="es-MX"/>
        </w:rPr>
        <w:t>EL TRIBUNAL ACUERDA</w:t>
      </w:r>
    </w:p>
    <w:p w:rsidR="000A27EF" w:rsidRDefault="000A27EF" w:rsidP="000402E9">
      <w:pPr>
        <w:numPr>
          <w:ilvl w:val="0"/>
          <w:numId w:val="3"/>
        </w:numPr>
        <w:tabs>
          <w:tab w:val="clear" w:pos="360"/>
          <w:tab w:val="num" w:pos="284"/>
        </w:tabs>
        <w:spacing w:line="360" w:lineRule="auto"/>
        <w:ind w:left="0" w:firstLine="0"/>
        <w:jc w:val="both"/>
        <w:rPr>
          <w:rFonts w:ascii="Arial" w:hAnsi="Arial" w:cs="Arial"/>
          <w:b w:val="0"/>
          <w:color w:val="auto"/>
          <w:szCs w:val="22"/>
          <w:lang w:val="es-MX"/>
        </w:rPr>
      </w:pPr>
      <w:r w:rsidRPr="000A27EF">
        <w:rPr>
          <w:rFonts w:ascii="Arial" w:hAnsi="Arial" w:cs="Arial"/>
          <w:b w:val="0"/>
          <w:color w:val="auto"/>
          <w:szCs w:val="22"/>
          <w:lang w:val="es-MX"/>
        </w:rPr>
        <w:t xml:space="preserve">Mantener la observación del gasto formulada en </w:t>
      </w:r>
      <w:r w:rsidR="000402E9">
        <w:rPr>
          <w:rFonts w:ascii="Arial" w:hAnsi="Arial" w:cs="Arial"/>
          <w:b w:val="0"/>
          <w:color w:val="auto"/>
          <w:szCs w:val="22"/>
          <w:lang w:val="es-MX"/>
        </w:rPr>
        <w:t>S</w:t>
      </w:r>
      <w:r w:rsidRPr="000A27EF">
        <w:rPr>
          <w:rFonts w:ascii="Arial" w:hAnsi="Arial" w:cs="Arial"/>
          <w:b w:val="0"/>
          <w:color w:val="auto"/>
          <w:szCs w:val="22"/>
          <w:lang w:val="es-MX"/>
        </w:rPr>
        <w:t xml:space="preserve">esión de fecha </w:t>
      </w:r>
      <w:r w:rsidR="00967FDC">
        <w:rPr>
          <w:rFonts w:ascii="Arial" w:hAnsi="Arial" w:cs="Arial"/>
          <w:b w:val="0"/>
          <w:color w:val="auto"/>
          <w:szCs w:val="22"/>
          <w:lang w:val="es-MX"/>
        </w:rPr>
        <w:t>03/11/16</w:t>
      </w:r>
      <w:r w:rsidRPr="000A27EF">
        <w:rPr>
          <w:rFonts w:ascii="Arial" w:hAnsi="Arial" w:cs="Arial"/>
          <w:b w:val="0"/>
          <w:color w:val="auto"/>
          <w:szCs w:val="22"/>
          <w:lang w:val="es-MX"/>
        </w:rPr>
        <w:t>;</w:t>
      </w:r>
    </w:p>
    <w:p w:rsidR="00DE741B" w:rsidRPr="000A27EF" w:rsidRDefault="00DE741B" w:rsidP="000402E9">
      <w:pPr>
        <w:numPr>
          <w:ilvl w:val="0"/>
          <w:numId w:val="3"/>
        </w:numPr>
        <w:tabs>
          <w:tab w:val="clear" w:pos="360"/>
          <w:tab w:val="num" w:pos="284"/>
        </w:tabs>
        <w:spacing w:line="360" w:lineRule="auto"/>
        <w:ind w:left="0" w:firstLine="0"/>
        <w:jc w:val="both"/>
        <w:rPr>
          <w:rFonts w:ascii="Arial" w:hAnsi="Arial" w:cs="Arial"/>
          <w:b w:val="0"/>
          <w:color w:val="auto"/>
          <w:szCs w:val="22"/>
          <w:lang w:val="es-MX"/>
        </w:rPr>
      </w:pPr>
      <w:r>
        <w:rPr>
          <w:rFonts w:ascii="Arial" w:hAnsi="Arial" w:cs="Arial"/>
          <w:b w:val="0"/>
          <w:color w:val="auto"/>
          <w:szCs w:val="22"/>
          <w:lang w:val="es-MX"/>
        </w:rPr>
        <w:t>Comunicar</w:t>
      </w:r>
      <w:bookmarkStart w:id="0" w:name="_GoBack"/>
      <w:bookmarkEnd w:id="0"/>
      <w:r>
        <w:rPr>
          <w:rFonts w:ascii="Arial" w:hAnsi="Arial" w:cs="Arial"/>
          <w:b w:val="0"/>
          <w:color w:val="auto"/>
          <w:szCs w:val="22"/>
          <w:lang w:val="es-MX"/>
        </w:rPr>
        <w:t xml:space="preserve"> a la Intendencia de Maldonado;</w:t>
      </w:r>
    </w:p>
    <w:p w:rsidR="000A27EF" w:rsidRPr="000A27EF" w:rsidRDefault="000A27EF" w:rsidP="000402E9">
      <w:pPr>
        <w:numPr>
          <w:ilvl w:val="0"/>
          <w:numId w:val="3"/>
        </w:numPr>
        <w:tabs>
          <w:tab w:val="clear" w:pos="360"/>
          <w:tab w:val="num" w:pos="284"/>
        </w:tabs>
        <w:spacing w:line="360" w:lineRule="auto"/>
        <w:ind w:left="0" w:firstLine="0"/>
        <w:jc w:val="both"/>
        <w:rPr>
          <w:rFonts w:ascii="Arial" w:hAnsi="Arial" w:cs="Arial"/>
          <w:b w:val="0"/>
          <w:color w:val="auto"/>
          <w:szCs w:val="22"/>
          <w:lang w:val="es-MX"/>
        </w:rPr>
      </w:pPr>
      <w:r w:rsidRPr="000A27EF">
        <w:rPr>
          <w:rFonts w:ascii="Arial" w:hAnsi="Arial" w:cs="Arial"/>
          <w:b w:val="0"/>
          <w:color w:val="auto"/>
          <w:szCs w:val="22"/>
          <w:lang w:val="es-MX"/>
        </w:rPr>
        <w:t>D</w:t>
      </w:r>
      <w:r w:rsidR="00A47351">
        <w:rPr>
          <w:rFonts w:ascii="Arial" w:hAnsi="Arial" w:cs="Arial"/>
          <w:b w:val="0"/>
          <w:color w:val="auto"/>
          <w:szCs w:val="22"/>
          <w:lang w:val="es-MX"/>
        </w:rPr>
        <w:t>enunci</w:t>
      </w:r>
      <w:r w:rsidRPr="000A27EF">
        <w:rPr>
          <w:rFonts w:ascii="Arial" w:hAnsi="Arial" w:cs="Arial"/>
          <w:b w:val="0"/>
          <w:color w:val="auto"/>
          <w:szCs w:val="22"/>
          <w:lang w:val="es-MX"/>
        </w:rPr>
        <w:t>ar a la Junta Departamental de Maldonado</w:t>
      </w:r>
      <w:r w:rsidR="00BC4428">
        <w:rPr>
          <w:rFonts w:ascii="Arial" w:hAnsi="Arial" w:cs="Arial"/>
          <w:b w:val="0"/>
          <w:color w:val="auto"/>
          <w:szCs w:val="22"/>
          <w:lang w:val="es-MX"/>
        </w:rPr>
        <w:t>.</w:t>
      </w:r>
      <w:r w:rsidRPr="000A27EF">
        <w:rPr>
          <w:rFonts w:ascii="Arial" w:hAnsi="Arial" w:cs="Arial"/>
          <w:b w:val="0"/>
          <w:color w:val="auto"/>
          <w:szCs w:val="22"/>
          <w:lang w:val="es-MX"/>
        </w:rPr>
        <w:t xml:space="preserve"> </w:t>
      </w:r>
    </w:p>
    <w:p w:rsidR="000A27EF" w:rsidRDefault="000A27EF" w:rsidP="000A27EF">
      <w:pPr>
        <w:spacing w:line="360" w:lineRule="auto"/>
        <w:jc w:val="both"/>
        <w:rPr>
          <w:rFonts w:ascii="Arial" w:hAnsi="Arial" w:cs="Arial"/>
          <w:b w:val="0"/>
          <w:color w:val="auto"/>
          <w:sz w:val="20"/>
        </w:rPr>
      </w:pPr>
    </w:p>
    <w:p w:rsidR="000402E9" w:rsidRDefault="000402E9" w:rsidP="000A27EF">
      <w:pPr>
        <w:spacing w:line="360" w:lineRule="auto"/>
        <w:jc w:val="both"/>
        <w:rPr>
          <w:rFonts w:ascii="Arial" w:hAnsi="Arial" w:cs="Arial"/>
          <w:b w:val="0"/>
          <w:color w:val="auto"/>
          <w:sz w:val="20"/>
        </w:rPr>
      </w:pPr>
    </w:p>
    <w:p w:rsidR="000402E9" w:rsidRDefault="000402E9" w:rsidP="000A27EF">
      <w:pPr>
        <w:spacing w:line="360" w:lineRule="auto"/>
        <w:jc w:val="both"/>
        <w:rPr>
          <w:rFonts w:ascii="Arial" w:hAnsi="Arial" w:cs="Arial"/>
          <w:b w:val="0"/>
          <w:color w:val="auto"/>
          <w:sz w:val="20"/>
        </w:rPr>
      </w:pPr>
    </w:p>
    <w:p w:rsidR="000402E9" w:rsidRPr="000402E9" w:rsidRDefault="000402E9" w:rsidP="000A27EF">
      <w:pPr>
        <w:spacing w:line="360" w:lineRule="auto"/>
        <w:jc w:val="both"/>
        <w:rPr>
          <w:rFonts w:ascii="Arial" w:hAnsi="Arial" w:cs="Arial"/>
          <w:b w:val="0"/>
          <w:color w:val="auto"/>
          <w:szCs w:val="24"/>
        </w:rPr>
      </w:pPr>
      <w:proofErr w:type="spellStart"/>
      <w:proofErr w:type="gramStart"/>
      <w:r w:rsidRPr="000402E9">
        <w:rPr>
          <w:rFonts w:ascii="Arial" w:hAnsi="Arial" w:cs="Arial"/>
          <w:b w:val="0"/>
          <w:color w:val="auto"/>
          <w:szCs w:val="24"/>
        </w:rPr>
        <w:t>bf</w:t>
      </w:r>
      <w:proofErr w:type="spellEnd"/>
      <w:proofErr w:type="gramEnd"/>
    </w:p>
    <w:sectPr w:rsidR="000402E9" w:rsidRPr="000402E9" w:rsidSect="003B6F33">
      <w:footerReference w:type="default" r:id="rId8"/>
      <w:pgSz w:w="11906" w:h="16838" w:code="9"/>
      <w:pgMar w:top="3402" w:right="1701" w:bottom="1134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967" w:rsidRDefault="00011967" w:rsidP="00011967">
      <w:r>
        <w:separator/>
      </w:r>
    </w:p>
  </w:endnote>
  <w:endnote w:type="continuationSeparator" w:id="0">
    <w:p w:rsidR="00011967" w:rsidRDefault="00011967" w:rsidP="00011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5747107"/>
      <w:docPartObj>
        <w:docPartGallery w:val="Page Numbers (Bottom of Page)"/>
        <w:docPartUnique/>
      </w:docPartObj>
    </w:sdtPr>
    <w:sdtEndPr/>
    <w:sdtContent>
      <w:p w:rsidR="00011967" w:rsidRDefault="00011967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741B">
          <w:rPr>
            <w:noProof/>
          </w:rPr>
          <w:t>3</w:t>
        </w:r>
        <w:r>
          <w:fldChar w:fldCharType="end"/>
        </w:r>
      </w:p>
    </w:sdtContent>
  </w:sdt>
  <w:p w:rsidR="00011967" w:rsidRDefault="0001196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967" w:rsidRDefault="00011967" w:rsidP="00011967">
      <w:r>
        <w:separator/>
      </w:r>
    </w:p>
  </w:footnote>
  <w:footnote w:type="continuationSeparator" w:id="0">
    <w:p w:rsidR="00011967" w:rsidRDefault="00011967" w:rsidP="00011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576"/>
    <w:multiLevelType w:val="hybridMultilevel"/>
    <w:tmpl w:val="F572CA9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076B92"/>
    <w:multiLevelType w:val="singleLevel"/>
    <w:tmpl w:val="F56CB3F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>
    <w:nsid w:val="426E43C0"/>
    <w:multiLevelType w:val="hybridMultilevel"/>
    <w:tmpl w:val="793450BE"/>
    <w:lvl w:ilvl="0" w:tplc="21B0A4FE">
      <w:start w:val="1"/>
      <w:numFmt w:val="upperRoman"/>
      <w:pStyle w:val="Ttulo8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16E"/>
    <w:rsid w:val="00011967"/>
    <w:rsid w:val="000402E9"/>
    <w:rsid w:val="000A27EF"/>
    <w:rsid w:val="000B0D98"/>
    <w:rsid w:val="00174127"/>
    <w:rsid w:val="00327116"/>
    <w:rsid w:val="003B6F33"/>
    <w:rsid w:val="005725D2"/>
    <w:rsid w:val="00894C21"/>
    <w:rsid w:val="00967FDC"/>
    <w:rsid w:val="00A47351"/>
    <w:rsid w:val="00BC4428"/>
    <w:rsid w:val="00C16E97"/>
    <w:rsid w:val="00C51A7D"/>
    <w:rsid w:val="00D1316E"/>
    <w:rsid w:val="00D83309"/>
    <w:rsid w:val="00D96549"/>
    <w:rsid w:val="00DB732E"/>
    <w:rsid w:val="00DE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C21"/>
    <w:pPr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894C21"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894C21"/>
    <w:pPr>
      <w:keepNext/>
      <w:numPr>
        <w:numId w:val="1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894C21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894C21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character" w:styleId="Hipervnculo">
    <w:name w:val="Hyperlink"/>
    <w:semiHidden/>
    <w:rsid w:val="00894C21"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semiHidden/>
    <w:rsid w:val="00894C21"/>
    <w:pPr>
      <w:spacing w:line="360" w:lineRule="auto"/>
      <w:jc w:val="both"/>
    </w:pPr>
    <w:rPr>
      <w:rFonts w:ascii="Arial" w:hAnsi="Arial" w:cs="Arial"/>
      <w:b w:val="0"/>
      <w:bCs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894C21"/>
    <w:rPr>
      <w:rFonts w:ascii="Arial" w:eastAsia="Times New Roman" w:hAnsi="Arial" w:cs="Arial"/>
      <w:bCs/>
      <w:color w:val="000000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894C21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894C21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Subttulo">
    <w:name w:val="Subtitle"/>
    <w:basedOn w:val="Normal"/>
    <w:link w:val="SubttuloCar"/>
    <w:qFormat/>
    <w:rsid w:val="00894C21"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rsid w:val="00894C21"/>
    <w:rPr>
      <w:rFonts w:ascii="Arial" w:eastAsia="Times New Roman" w:hAnsi="Arial" w:cs="Arial"/>
      <w:b/>
      <w:color w:val="000000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01196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11967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01196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11967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C21"/>
    <w:pPr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894C21"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894C21"/>
    <w:pPr>
      <w:keepNext/>
      <w:numPr>
        <w:numId w:val="1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894C21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894C21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character" w:styleId="Hipervnculo">
    <w:name w:val="Hyperlink"/>
    <w:semiHidden/>
    <w:rsid w:val="00894C21"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semiHidden/>
    <w:rsid w:val="00894C21"/>
    <w:pPr>
      <w:spacing w:line="360" w:lineRule="auto"/>
      <w:jc w:val="both"/>
    </w:pPr>
    <w:rPr>
      <w:rFonts w:ascii="Arial" w:hAnsi="Arial" w:cs="Arial"/>
      <w:b w:val="0"/>
      <w:bCs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894C21"/>
    <w:rPr>
      <w:rFonts w:ascii="Arial" w:eastAsia="Times New Roman" w:hAnsi="Arial" w:cs="Arial"/>
      <w:bCs/>
      <w:color w:val="000000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894C21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894C21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Subttulo">
    <w:name w:val="Subtitle"/>
    <w:basedOn w:val="Normal"/>
    <w:link w:val="SubttuloCar"/>
    <w:qFormat/>
    <w:rsid w:val="00894C21"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rsid w:val="00894C21"/>
    <w:rPr>
      <w:rFonts w:ascii="Arial" w:eastAsia="Times New Roman" w:hAnsi="Arial" w:cs="Arial"/>
      <w:b/>
      <w:color w:val="000000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01196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11967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01196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11967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6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2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706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2</cp:revision>
  <cp:lastPrinted>2017-01-31T16:50:00Z</cp:lastPrinted>
  <dcterms:created xsi:type="dcterms:W3CDTF">2017-01-31T18:20:00Z</dcterms:created>
  <dcterms:modified xsi:type="dcterms:W3CDTF">2017-01-31T18:20:00Z</dcterms:modified>
</cp:coreProperties>
</file>