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24F" w:rsidRPr="00786EEB" w:rsidRDefault="001A324F" w:rsidP="00DB5020">
      <w:pPr>
        <w:tabs>
          <w:tab w:val="center" w:pos="4253"/>
        </w:tabs>
        <w:suppressAutoHyphens/>
        <w:jc w:val="right"/>
        <w:rPr>
          <w:b/>
          <w:sz w:val="28"/>
          <w:szCs w:val="28"/>
          <w:lang w:val="es-ES_tradnl"/>
        </w:rPr>
      </w:pPr>
      <w:r w:rsidRPr="00786EEB">
        <w:rPr>
          <w:b/>
          <w:sz w:val="28"/>
          <w:szCs w:val="28"/>
          <w:lang w:val="es-ES_tradnl"/>
        </w:rPr>
        <w:t xml:space="preserve">RES. </w:t>
      </w:r>
      <w:r>
        <w:rPr>
          <w:b/>
          <w:sz w:val="28"/>
          <w:szCs w:val="28"/>
          <w:lang w:val="es-ES_tradnl"/>
        </w:rPr>
        <w:t>3842</w:t>
      </w:r>
      <w:r w:rsidRPr="00786EEB">
        <w:rPr>
          <w:b/>
          <w:sz w:val="28"/>
          <w:szCs w:val="28"/>
          <w:lang w:val="es-ES_tradnl"/>
        </w:rPr>
        <w:t>/16</w:t>
      </w:r>
    </w:p>
    <w:p w:rsidR="00DB5020" w:rsidRDefault="00DB5020" w:rsidP="001A324F">
      <w:pPr>
        <w:tabs>
          <w:tab w:val="center" w:pos="4253"/>
        </w:tabs>
        <w:suppressAutoHyphens/>
        <w:jc w:val="right"/>
        <w:rPr>
          <w:b/>
          <w:lang w:val="es-ES_tradnl"/>
        </w:rPr>
      </w:pPr>
    </w:p>
    <w:p w:rsidR="001A324F" w:rsidRPr="001A324F" w:rsidRDefault="001A324F">
      <w:pPr>
        <w:tabs>
          <w:tab w:val="center" w:pos="4253"/>
        </w:tabs>
        <w:suppressAutoHyphens/>
        <w:jc w:val="center"/>
        <w:rPr>
          <w:b/>
          <w:lang w:val="es-ES_tradnl"/>
        </w:rPr>
      </w:pPr>
      <w:r w:rsidRPr="001A324F">
        <w:rPr>
          <w:b/>
          <w:lang w:val="es-ES_tradnl"/>
        </w:rPr>
        <w:t>RESOLUCION ADOPTADA POR EL</w:t>
      </w:r>
    </w:p>
    <w:p w:rsidR="001A324F" w:rsidRPr="001A324F" w:rsidRDefault="001A324F">
      <w:pPr>
        <w:tabs>
          <w:tab w:val="left" w:pos="-720"/>
        </w:tabs>
        <w:suppressAutoHyphens/>
        <w:jc w:val="center"/>
        <w:rPr>
          <w:b/>
          <w:lang w:val="es-ES_tradnl"/>
        </w:rPr>
      </w:pPr>
    </w:p>
    <w:p w:rsidR="001A324F" w:rsidRPr="001A324F" w:rsidRDefault="001A324F">
      <w:pPr>
        <w:tabs>
          <w:tab w:val="center" w:pos="4253"/>
        </w:tabs>
        <w:suppressAutoHyphens/>
        <w:jc w:val="center"/>
        <w:rPr>
          <w:b/>
          <w:lang w:val="es-ES_tradnl"/>
        </w:rPr>
      </w:pPr>
      <w:r w:rsidRPr="001A324F">
        <w:rPr>
          <w:b/>
          <w:lang w:val="es-ES_tradnl"/>
        </w:rPr>
        <w:t>TRIBUNAL DE CUENTAS</w:t>
      </w:r>
    </w:p>
    <w:p w:rsidR="001A324F" w:rsidRPr="001A324F" w:rsidRDefault="001A324F">
      <w:pPr>
        <w:tabs>
          <w:tab w:val="left" w:pos="-720"/>
        </w:tabs>
        <w:suppressAutoHyphens/>
        <w:jc w:val="center"/>
        <w:rPr>
          <w:b/>
          <w:lang w:val="es-ES_tradnl"/>
        </w:rPr>
      </w:pPr>
    </w:p>
    <w:p w:rsidR="001A324F" w:rsidRPr="001A324F" w:rsidRDefault="001A324F">
      <w:pPr>
        <w:tabs>
          <w:tab w:val="center" w:pos="4253"/>
        </w:tabs>
        <w:suppressAutoHyphens/>
        <w:jc w:val="center"/>
        <w:rPr>
          <w:b/>
          <w:lang w:val="es-ES_tradnl"/>
        </w:rPr>
      </w:pPr>
      <w:r w:rsidRPr="001A324F">
        <w:rPr>
          <w:b/>
          <w:lang w:val="es-ES_tradnl"/>
        </w:rPr>
        <w:t>EN SESION DE FECHA 3 DE NOVIEMBRE DE 2016</w:t>
      </w:r>
    </w:p>
    <w:p w:rsidR="001A324F" w:rsidRPr="001A324F" w:rsidRDefault="001A324F">
      <w:pPr>
        <w:tabs>
          <w:tab w:val="center" w:pos="4253"/>
        </w:tabs>
        <w:suppressAutoHyphens/>
        <w:jc w:val="center"/>
        <w:rPr>
          <w:b/>
          <w:lang w:val="es-ES_tradnl"/>
        </w:rPr>
      </w:pPr>
    </w:p>
    <w:p w:rsidR="001A324F" w:rsidRPr="001A324F" w:rsidRDefault="001A324F">
      <w:pPr>
        <w:tabs>
          <w:tab w:val="center" w:pos="4253"/>
        </w:tabs>
        <w:suppressAutoHyphens/>
        <w:jc w:val="center"/>
        <w:rPr>
          <w:b/>
          <w:lang w:val="en-US"/>
        </w:rPr>
      </w:pPr>
      <w:r w:rsidRPr="001A324F">
        <w:rPr>
          <w:b/>
          <w:lang w:val="en-US"/>
        </w:rPr>
        <w:t xml:space="preserve">(E. E. Nº </w:t>
      </w:r>
      <w:r w:rsidRPr="001A324F">
        <w:rPr>
          <w:b/>
          <w:lang w:val="es-MX"/>
        </w:rPr>
        <w:t>2016- 17- 1 - 0004484</w:t>
      </w:r>
      <w:r w:rsidRPr="001A324F">
        <w:rPr>
          <w:b/>
          <w:lang w:val="en-US"/>
        </w:rPr>
        <w:t xml:space="preserve">, </w:t>
      </w:r>
      <w:proofErr w:type="spellStart"/>
      <w:proofErr w:type="gramStart"/>
      <w:r w:rsidRPr="001A324F">
        <w:rPr>
          <w:b/>
          <w:lang w:val="en-US"/>
        </w:rPr>
        <w:t>Ent</w:t>
      </w:r>
      <w:proofErr w:type="spellEnd"/>
      <w:proofErr w:type="gramEnd"/>
      <w:r w:rsidRPr="001A324F">
        <w:rPr>
          <w:b/>
          <w:lang w:val="en-US"/>
        </w:rPr>
        <w:t xml:space="preserve">. N° </w:t>
      </w:r>
      <w:r w:rsidRPr="001A324F">
        <w:rPr>
          <w:b/>
          <w:lang w:val="es-MX"/>
        </w:rPr>
        <w:t>5401/16</w:t>
      </w:r>
      <w:r w:rsidRPr="001A324F">
        <w:rPr>
          <w:b/>
          <w:lang w:val="en-US"/>
        </w:rPr>
        <w:t>)</w:t>
      </w:r>
    </w:p>
    <w:p w:rsidR="001A324F" w:rsidRDefault="001A324F">
      <w:pPr>
        <w:tabs>
          <w:tab w:val="center" w:pos="4253"/>
        </w:tabs>
        <w:suppressAutoHyphens/>
        <w:jc w:val="center"/>
        <w:rPr>
          <w:b/>
          <w:lang w:val="en-US"/>
        </w:rPr>
      </w:pPr>
    </w:p>
    <w:p w:rsidR="001A324F" w:rsidRDefault="001A324F" w:rsidP="001A324F">
      <w:pPr>
        <w:tabs>
          <w:tab w:val="center" w:pos="4253"/>
        </w:tabs>
        <w:suppressAutoHyphens/>
        <w:jc w:val="right"/>
        <w:rPr>
          <w:spacing w:val="-3"/>
          <w:lang w:val="en-US"/>
        </w:rPr>
      </w:pPr>
    </w:p>
    <w:p w:rsidR="00910F55" w:rsidRDefault="00910F55" w:rsidP="001A324F">
      <w:pPr>
        <w:spacing w:line="360" w:lineRule="auto"/>
        <w:ind w:firstLine="851"/>
        <w:jc w:val="both"/>
        <w:rPr>
          <w:rFonts w:ascii="Times New Roman" w:hAnsi="Times New Roman" w:cs="Times New Roman"/>
          <w:lang w:val="es-MX"/>
        </w:rPr>
      </w:pPr>
      <w:r>
        <w:rPr>
          <w:b/>
          <w:bCs/>
          <w:lang w:val="es-MX"/>
        </w:rPr>
        <w:t>VISTO:</w:t>
      </w:r>
      <w:r>
        <w:rPr>
          <w:lang w:val="es-MX"/>
        </w:rPr>
        <w:t xml:space="preserve"> las actuaciones remitidas por la Administración Nacional de Puertos relacionadas con la Licitación Pública </w:t>
      </w:r>
      <w:r w:rsidRPr="00225A02">
        <w:rPr>
          <w:lang w:val="es-MX"/>
        </w:rPr>
        <w:t>N° 17.406</w:t>
      </w:r>
      <w:r>
        <w:rPr>
          <w:rFonts w:ascii="Times New Roman" w:hAnsi="Times New Roman" w:cs="Times New Roman"/>
          <w:lang w:val="es-MX"/>
        </w:rPr>
        <w:t xml:space="preserve">, </w:t>
      </w:r>
      <w:r>
        <w:rPr>
          <w:lang w:val="es-MX"/>
        </w:rPr>
        <w:t xml:space="preserve">para la realización del </w:t>
      </w:r>
      <w:proofErr w:type="gramStart"/>
      <w:r>
        <w:rPr>
          <w:lang w:val="es-MX"/>
        </w:rPr>
        <w:t>proyecto</w:t>
      </w:r>
      <w:proofErr w:type="gramEnd"/>
      <w:r>
        <w:rPr>
          <w:lang w:val="es-MX"/>
        </w:rPr>
        <w:t xml:space="preserve"> </w:t>
      </w:r>
      <w:r>
        <w:t>ejecutivo y la construcción de nuevas pasarelas fijas en los muelles de cabotaje y unión,  incluidas las mangas móviles en el Puerto de Colonia</w:t>
      </w:r>
      <w:r>
        <w:rPr>
          <w:rFonts w:ascii="Times New Roman" w:hAnsi="Times New Roman" w:cs="Times New Roman"/>
        </w:rPr>
        <w:t>;</w:t>
      </w:r>
    </w:p>
    <w:p w:rsidR="00910F55" w:rsidRDefault="00910F55" w:rsidP="001A324F">
      <w:pPr>
        <w:pStyle w:val="Textoindependiente"/>
        <w:ind w:firstLine="851"/>
        <w:rPr>
          <w:rFonts w:ascii="Arial" w:hAnsi="Arial" w:cs="Arial"/>
          <w:lang w:val="es-ES_tradnl"/>
        </w:rPr>
      </w:pPr>
      <w:r>
        <w:rPr>
          <w:rFonts w:ascii="Arial" w:hAnsi="Arial" w:cs="Arial"/>
          <w:b/>
          <w:bCs/>
          <w:lang w:val="es-ES_tradnl"/>
        </w:rPr>
        <w:t xml:space="preserve">RESULTANDO: 1) </w:t>
      </w:r>
      <w:r>
        <w:rPr>
          <w:rFonts w:ascii="Arial" w:hAnsi="Arial" w:cs="Arial"/>
          <w:lang w:val="es-ES_tradnl"/>
        </w:rPr>
        <w:t>que por Resolución de Directorio Nº 75/3.760 del 10/2/15, se dispuso aprobar el Pliego de Condiciones que regiría el llamado;</w:t>
      </w:r>
    </w:p>
    <w:p w:rsidR="006A054A" w:rsidRDefault="00910F55" w:rsidP="006A054A">
      <w:pPr>
        <w:pStyle w:val="Textoindependiente"/>
        <w:ind w:firstLine="2835"/>
        <w:rPr>
          <w:rFonts w:ascii="Arial" w:hAnsi="Arial" w:cs="Arial"/>
          <w:lang w:val="es-ES_tradnl"/>
        </w:rPr>
      </w:pPr>
      <w:r>
        <w:rPr>
          <w:rFonts w:ascii="Arial" w:hAnsi="Arial" w:cs="Arial"/>
          <w:b/>
          <w:bCs/>
          <w:lang w:val="es-ES_tradnl"/>
        </w:rPr>
        <w:t>2)</w:t>
      </w:r>
      <w:r>
        <w:rPr>
          <w:rFonts w:ascii="Arial" w:hAnsi="Arial" w:cs="Arial"/>
          <w:lang w:val="es-ES_tradnl"/>
        </w:rPr>
        <w:t xml:space="preserve"> que se efectuó la publicación del llamado en la página web de compras estatales con fecha 26/3/15, con antelación suficiente, y en el Diario Oficial el 6/4/15; </w:t>
      </w:r>
    </w:p>
    <w:p w:rsidR="006A054A" w:rsidRDefault="00910F55" w:rsidP="006A054A">
      <w:pPr>
        <w:pStyle w:val="Textoindependiente"/>
        <w:ind w:firstLine="2835"/>
        <w:rPr>
          <w:rFonts w:ascii="Arial" w:hAnsi="Arial" w:cs="Arial"/>
          <w:lang w:val="es-MX"/>
        </w:rPr>
      </w:pPr>
      <w:r>
        <w:rPr>
          <w:rFonts w:ascii="Arial" w:hAnsi="Arial" w:cs="Arial"/>
          <w:b/>
          <w:bCs/>
          <w:lang w:val="es-MX"/>
        </w:rPr>
        <w:t>3)</w:t>
      </w:r>
      <w:r>
        <w:rPr>
          <w:rFonts w:ascii="Arial" w:hAnsi="Arial" w:cs="Arial"/>
          <w:lang w:val="es-MX"/>
        </w:rPr>
        <w:t xml:space="preserve"> que por Resolución Nº 369/3.784 del 15/7/15, el Directorio dispuso el llamado. En el mismo se expresa que el Registro Nacional de Empresas de Obras Públicas requiere de una Resolución fundada de la máxima jerarquía de la repartición estatal que promueve el llamado para calificar a empresas del exterior, por lo que se procede en ese sentido;</w:t>
      </w:r>
    </w:p>
    <w:p w:rsidR="00910F55" w:rsidRPr="006A054A" w:rsidRDefault="00910F55" w:rsidP="006A054A">
      <w:pPr>
        <w:pStyle w:val="Textoindependiente"/>
        <w:ind w:firstLine="2835"/>
        <w:rPr>
          <w:rFonts w:ascii="Arial" w:hAnsi="Arial" w:cs="Arial"/>
          <w:lang w:val="es-ES_tradnl"/>
        </w:rPr>
      </w:pPr>
      <w:r>
        <w:rPr>
          <w:b/>
          <w:bCs/>
          <w:lang w:val="es-MX"/>
        </w:rPr>
        <w:t>4)</w:t>
      </w:r>
      <w:r>
        <w:rPr>
          <w:lang w:val="es-MX"/>
        </w:rPr>
        <w:t xml:space="preserve"> </w:t>
      </w:r>
      <w:r w:rsidRPr="006A054A">
        <w:rPr>
          <w:rFonts w:ascii="Arial" w:hAnsi="Arial" w:cs="Arial"/>
          <w:lang w:val="es-MX"/>
        </w:rPr>
        <w:t xml:space="preserve">que luego de disponer una prórroga, se celebró el </w:t>
      </w:r>
      <w:r w:rsidR="00225A02">
        <w:rPr>
          <w:rFonts w:ascii="Arial" w:hAnsi="Arial" w:cs="Arial"/>
          <w:lang w:val="es-MX"/>
        </w:rPr>
        <w:t>A</w:t>
      </w:r>
      <w:r w:rsidRPr="006A054A">
        <w:rPr>
          <w:rFonts w:ascii="Arial" w:hAnsi="Arial" w:cs="Arial"/>
          <w:lang w:val="es-MX"/>
        </w:rPr>
        <w:t xml:space="preserve">cto de </w:t>
      </w:r>
      <w:r w:rsidR="00225A02">
        <w:rPr>
          <w:rFonts w:ascii="Arial" w:hAnsi="Arial" w:cs="Arial"/>
          <w:lang w:val="es-MX"/>
        </w:rPr>
        <w:t>A</w:t>
      </w:r>
      <w:r w:rsidRPr="006A054A">
        <w:rPr>
          <w:rFonts w:ascii="Arial" w:hAnsi="Arial" w:cs="Arial"/>
          <w:lang w:val="es-MX"/>
        </w:rPr>
        <w:t xml:space="preserve">pertura con fecha 17/7/15, al que se presentaron  siete oferentes: </w:t>
      </w:r>
      <w:proofErr w:type="spellStart"/>
      <w:r w:rsidRPr="006A054A">
        <w:rPr>
          <w:rFonts w:ascii="Arial" w:hAnsi="Arial" w:cs="Arial"/>
          <w:lang w:val="es-MX"/>
        </w:rPr>
        <w:t>Tecnocyl</w:t>
      </w:r>
      <w:proofErr w:type="spellEnd"/>
      <w:r w:rsidRPr="006A054A">
        <w:rPr>
          <w:rFonts w:ascii="Arial" w:hAnsi="Arial" w:cs="Arial"/>
          <w:lang w:val="es-MX"/>
        </w:rPr>
        <w:t xml:space="preserve"> S.A. y Julio Daniel </w:t>
      </w:r>
      <w:proofErr w:type="spellStart"/>
      <w:r w:rsidRPr="006A054A">
        <w:rPr>
          <w:rFonts w:ascii="Arial" w:hAnsi="Arial" w:cs="Arial"/>
          <w:lang w:val="es-MX"/>
        </w:rPr>
        <w:t>Gotta</w:t>
      </w:r>
      <w:proofErr w:type="spellEnd"/>
      <w:r w:rsidRPr="006A054A">
        <w:rPr>
          <w:rFonts w:ascii="Arial" w:hAnsi="Arial" w:cs="Arial"/>
          <w:lang w:val="es-MX"/>
        </w:rPr>
        <w:t xml:space="preserve"> Rodríguez (Consorcio DMI – </w:t>
      </w:r>
      <w:proofErr w:type="spellStart"/>
      <w:r w:rsidRPr="006A054A">
        <w:rPr>
          <w:rFonts w:ascii="Arial" w:hAnsi="Arial" w:cs="Arial"/>
          <w:lang w:val="es-MX"/>
        </w:rPr>
        <w:t>Tecnocyl</w:t>
      </w:r>
      <w:proofErr w:type="spellEnd"/>
      <w:r w:rsidRPr="006A054A">
        <w:rPr>
          <w:rFonts w:ascii="Arial" w:hAnsi="Arial" w:cs="Arial"/>
          <w:lang w:val="es-MX"/>
        </w:rPr>
        <w:t xml:space="preserve"> en formación), Ingeniería Pacífico S.A., </w:t>
      </w:r>
      <w:proofErr w:type="spellStart"/>
      <w:r w:rsidRPr="006A054A">
        <w:rPr>
          <w:rFonts w:ascii="Arial" w:hAnsi="Arial" w:cs="Arial"/>
          <w:lang w:val="es-MX"/>
        </w:rPr>
        <w:t>Teyma</w:t>
      </w:r>
      <w:proofErr w:type="spellEnd"/>
      <w:r w:rsidRPr="006A054A">
        <w:rPr>
          <w:rFonts w:ascii="Arial" w:hAnsi="Arial" w:cs="Arial"/>
          <w:lang w:val="es-MX"/>
        </w:rPr>
        <w:t xml:space="preserve"> Uruguay S.A., Construcciones e Instalaciones Electromecánicas S.A., </w:t>
      </w:r>
      <w:proofErr w:type="spellStart"/>
      <w:r w:rsidRPr="006A054A">
        <w:rPr>
          <w:rFonts w:ascii="Arial" w:hAnsi="Arial" w:cs="Arial"/>
          <w:lang w:val="es-MX"/>
        </w:rPr>
        <w:t>Stiler</w:t>
      </w:r>
      <w:proofErr w:type="spellEnd"/>
      <w:r w:rsidRPr="006A054A">
        <w:rPr>
          <w:rFonts w:ascii="Arial" w:hAnsi="Arial" w:cs="Arial"/>
          <w:lang w:val="es-MX"/>
        </w:rPr>
        <w:t xml:space="preserve"> S.A., Compañía Sudamericana de Empresas Eléctricas, Mecánicas y de Obras Públicas S.A. (SACEEM), y </w:t>
      </w:r>
      <w:proofErr w:type="spellStart"/>
      <w:r w:rsidRPr="006A054A">
        <w:rPr>
          <w:rFonts w:ascii="Arial" w:hAnsi="Arial" w:cs="Arial"/>
          <w:lang w:val="es-MX"/>
        </w:rPr>
        <w:t>Ebital</w:t>
      </w:r>
      <w:proofErr w:type="spellEnd"/>
      <w:r w:rsidRPr="006A054A">
        <w:rPr>
          <w:rFonts w:ascii="Arial" w:hAnsi="Arial" w:cs="Arial"/>
          <w:lang w:val="es-MX"/>
        </w:rPr>
        <w:t xml:space="preserve"> </w:t>
      </w:r>
      <w:r w:rsidRPr="006A054A">
        <w:rPr>
          <w:rFonts w:ascii="Arial" w:hAnsi="Arial" w:cs="Arial"/>
          <w:lang w:val="es-MX"/>
        </w:rPr>
        <w:lastRenderedPageBreak/>
        <w:t>S.A. En el acta labrada, se deja constancia de ciertos recaudos presentados por los oferentes, indicando asimismo los documentos faltantes;</w:t>
      </w:r>
    </w:p>
    <w:p w:rsidR="00910F55" w:rsidRDefault="00910F55" w:rsidP="006A054A">
      <w:pPr>
        <w:spacing w:line="360" w:lineRule="auto"/>
        <w:ind w:firstLine="2835"/>
        <w:jc w:val="both"/>
        <w:rPr>
          <w:lang w:val="es-MX"/>
        </w:rPr>
      </w:pPr>
      <w:r>
        <w:rPr>
          <w:b/>
          <w:bCs/>
          <w:lang w:val="es-MX"/>
        </w:rPr>
        <w:t>5)</w:t>
      </w:r>
      <w:r>
        <w:rPr>
          <w:lang w:val="es-MX"/>
        </w:rPr>
        <w:t xml:space="preserve"> que surge la presentación de recaudos por parte de los oferentes, entre los días 20 y 23/7/15</w:t>
      </w:r>
      <w:r w:rsidR="001A324F">
        <w:rPr>
          <w:lang w:val="es-MX"/>
        </w:rPr>
        <w:t xml:space="preserve"> (</w:t>
      </w:r>
      <w:r>
        <w:rPr>
          <w:lang w:val="es-MX"/>
        </w:rPr>
        <w:t>certificado del BSE, constancia de voto);</w:t>
      </w:r>
    </w:p>
    <w:p w:rsidR="00910F55" w:rsidRDefault="00910F55" w:rsidP="006A054A">
      <w:pPr>
        <w:spacing w:line="360" w:lineRule="auto"/>
        <w:ind w:firstLine="2835"/>
        <w:jc w:val="both"/>
        <w:rPr>
          <w:color w:val="FF0000"/>
          <w:lang w:val="es-MX"/>
        </w:rPr>
      </w:pPr>
      <w:r>
        <w:rPr>
          <w:b/>
          <w:bCs/>
          <w:lang w:val="es-MX"/>
        </w:rPr>
        <w:t>6)</w:t>
      </w:r>
      <w:r>
        <w:rPr>
          <w:lang w:val="es-MX"/>
        </w:rPr>
        <w:t xml:space="preserve"> que con fecha 3/8/15, la Jefa de Unidad, cursó pase a la </w:t>
      </w:r>
      <w:r>
        <w:rPr>
          <w:lang w:val="es-ES_tradnl"/>
        </w:rPr>
        <w:t xml:space="preserve">Comisión Asesora para el estudio de los obrados, dejando constancia que se exhibieron copias de credenciales cívicas y votos por parte de los oferentes, siendo que en el caso de </w:t>
      </w:r>
      <w:proofErr w:type="spellStart"/>
      <w:r>
        <w:rPr>
          <w:lang w:val="es-ES_tradnl"/>
        </w:rPr>
        <w:t>Tecnocyl</w:t>
      </w:r>
      <w:proofErr w:type="spellEnd"/>
      <w:r>
        <w:rPr>
          <w:lang w:val="es-ES_tradnl"/>
        </w:rPr>
        <w:t xml:space="preserve"> S.A. y </w:t>
      </w:r>
      <w:proofErr w:type="spellStart"/>
      <w:r>
        <w:rPr>
          <w:lang w:val="es-ES_tradnl"/>
        </w:rPr>
        <w:t>Stiler</w:t>
      </w:r>
      <w:proofErr w:type="spellEnd"/>
      <w:r>
        <w:rPr>
          <w:lang w:val="es-ES_tradnl"/>
        </w:rPr>
        <w:t xml:space="preserve"> S.A., se repusieron montepíos notariales;</w:t>
      </w:r>
    </w:p>
    <w:p w:rsidR="00910F55" w:rsidRDefault="00910F55" w:rsidP="006A054A">
      <w:pPr>
        <w:spacing w:line="360" w:lineRule="auto"/>
        <w:ind w:firstLine="2835"/>
        <w:jc w:val="both"/>
        <w:rPr>
          <w:lang w:val="es-MX"/>
        </w:rPr>
      </w:pPr>
      <w:r>
        <w:rPr>
          <w:b/>
          <w:bCs/>
          <w:lang w:val="es-MX"/>
        </w:rPr>
        <w:t>7)</w:t>
      </w:r>
      <w:r>
        <w:rPr>
          <w:lang w:val="es-MX"/>
        </w:rPr>
        <w:t xml:space="preserve"> que se incluye un informe en los obrados, refiriendo a que el mismo se realizó por la  Comisión Asesora, sin perjuicio de lo cual no luce firma de quienes suscriben el mismo, ni identificación de sus autores. Tampoco luce fecha de realización. En dicho documento, se efectúa el siguiente análisis:</w:t>
      </w:r>
    </w:p>
    <w:p w:rsidR="00910F55" w:rsidRDefault="00910F55" w:rsidP="001A324F">
      <w:pPr>
        <w:spacing w:line="360" w:lineRule="auto"/>
        <w:jc w:val="both"/>
        <w:rPr>
          <w:lang w:val="es-MX"/>
        </w:rPr>
      </w:pPr>
      <w:r>
        <w:rPr>
          <w:lang w:val="es-MX"/>
        </w:rPr>
        <w:t xml:space="preserve">I.- </w:t>
      </w:r>
      <w:r>
        <w:rPr>
          <w:u w:val="single"/>
          <w:lang w:val="es-MX"/>
        </w:rPr>
        <w:t>Análisis de admisibilidad</w:t>
      </w:r>
      <w:r>
        <w:rPr>
          <w:lang w:val="es-MX"/>
        </w:rPr>
        <w:t>.</w:t>
      </w:r>
    </w:p>
    <w:p w:rsidR="00910F55" w:rsidRDefault="00910F55" w:rsidP="001A324F">
      <w:pPr>
        <w:spacing w:line="360" w:lineRule="auto"/>
        <w:jc w:val="both"/>
        <w:rPr>
          <w:lang w:val="es-MX"/>
        </w:rPr>
      </w:pPr>
      <w:r>
        <w:rPr>
          <w:lang w:val="es-MX"/>
        </w:rPr>
        <w:t>Se realiza cuadro para analizar los documentos presentados por los oferentes (Art</w:t>
      </w:r>
      <w:r w:rsidR="00225A02">
        <w:rPr>
          <w:lang w:val="es-MX"/>
        </w:rPr>
        <w:t>ículo</w:t>
      </w:r>
      <w:r>
        <w:rPr>
          <w:lang w:val="es-MX"/>
        </w:rPr>
        <w:t xml:space="preserve"> 28 PCP). Del mismo surge que todos cumplen con los documentos necesarios, con excepción de:</w:t>
      </w:r>
    </w:p>
    <w:p w:rsidR="00910F55" w:rsidRDefault="00910F55" w:rsidP="001A324F">
      <w:pPr>
        <w:spacing w:line="360" w:lineRule="auto"/>
        <w:jc w:val="both"/>
        <w:rPr>
          <w:lang w:val="es-MX"/>
        </w:rPr>
      </w:pPr>
      <w:r w:rsidRPr="006A054A">
        <w:rPr>
          <w:b/>
          <w:lang w:val="es-MX"/>
        </w:rPr>
        <w:t>a)</w:t>
      </w:r>
      <w:r>
        <w:rPr>
          <w:lang w:val="es-MX"/>
        </w:rPr>
        <w:t xml:space="preserve"> </w:t>
      </w:r>
      <w:proofErr w:type="spellStart"/>
      <w:r>
        <w:rPr>
          <w:lang w:val="es-MX"/>
        </w:rPr>
        <w:t>Tecnocyl</w:t>
      </w:r>
      <w:proofErr w:type="spellEnd"/>
      <w:r>
        <w:rPr>
          <w:lang w:val="es-MX"/>
        </w:rPr>
        <w:t xml:space="preserve"> – </w:t>
      </w:r>
      <w:proofErr w:type="spellStart"/>
      <w:r>
        <w:rPr>
          <w:lang w:val="es-MX"/>
        </w:rPr>
        <w:t>Gotta</w:t>
      </w:r>
      <w:proofErr w:type="spellEnd"/>
      <w:r>
        <w:rPr>
          <w:lang w:val="es-MX"/>
        </w:rPr>
        <w:t xml:space="preserve">: no presentó estados contables de tres </w:t>
      </w:r>
      <w:r w:rsidR="00225A02">
        <w:rPr>
          <w:lang w:val="es-MX"/>
        </w:rPr>
        <w:t>E</w:t>
      </w:r>
      <w:r>
        <w:rPr>
          <w:lang w:val="es-MX"/>
        </w:rPr>
        <w:t>jercicios auditados (Art</w:t>
      </w:r>
      <w:r w:rsidR="00225A02">
        <w:rPr>
          <w:lang w:val="es-MX"/>
        </w:rPr>
        <w:t>ículo</w:t>
      </w:r>
      <w:r>
        <w:rPr>
          <w:lang w:val="es-MX"/>
        </w:rPr>
        <w:t xml:space="preserve"> 29.2 PCP)</w:t>
      </w:r>
      <w:r w:rsidR="006A054A">
        <w:rPr>
          <w:lang w:val="es-MX"/>
        </w:rPr>
        <w:t>;</w:t>
      </w:r>
    </w:p>
    <w:p w:rsidR="00910F55" w:rsidRDefault="00910F55" w:rsidP="001A324F">
      <w:pPr>
        <w:spacing w:line="360" w:lineRule="auto"/>
        <w:jc w:val="both"/>
        <w:rPr>
          <w:lang w:val="es-MX"/>
        </w:rPr>
      </w:pPr>
      <w:r w:rsidRPr="006A054A">
        <w:rPr>
          <w:b/>
          <w:lang w:val="es-MX"/>
        </w:rPr>
        <w:t>b)</w:t>
      </w:r>
      <w:r>
        <w:rPr>
          <w:lang w:val="es-MX"/>
        </w:rPr>
        <w:t xml:space="preserve"> Ingeniería Pacífico S.A.: no presentó estados contables, dictamen de capacidad económico-financiera, capacidad de financiación bancaria, propuesta técnica de determinados planes que se requerían</w:t>
      </w:r>
      <w:r w:rsidR="006A054A">
        <w:rPr>
          <w:lang w:val="es-MX"/>
        </w:rPr>
        <w:t>;</w:t>
      </w:r>
    </w:p>
    <w:p w:rsidR="00910F55" w:rsidRDefault="00910F55" w:rsidP="001A324F">
      <w:pPr>
        <w:spacing w:line="360" w:lineRule="auto"/>
        <w:jc w:val="both"/>
        <w:rPr>
          <w:lang w:val="es-MX"/>
        </w:rPr>
      </w:pPr>
      <w:r>
        <w:rPr>
          <w:lang w:val="es-MX"/>
        </w:rPr>
        <w:t xml:space="preserve">Se expresa que se designó por Carta de Servicio Nº 4625/2015 al Arq. Fernando </w:t>
      </w:r>
      <w:proofErr w:type="spellStart"/>
      <w:r>
        <w:rPr>
          <w:lang w:val="es-MX"/>
        </w:rPr>
        <w:t>Waltier</w:t>
      </w:r>
      <w:proofErr w:type="spellEnd"/>
      <w:r>
        <w:rPr>
          <w:lang w:val="es-MX"/>
        </w:rPr>
        <w:t xml:space="preserve"> en calidad de técnico para la evaluación de las ofertas</w:t>
      </w:r>
      <w:r w:rsidR="006A054A">
        <w:rPr>
          <w:lang w:val="es-MX"/>
        </w:rPr>
        <w:t>;</w:t>
      </w:r>
    </w:p>
    <w:p w:rsidR="00910F55" w:rsidRDefault="00910F55" w:rsidP="001A324F">
      <w:pPr>
        <w:spacing w:line="360" w:lineRule="auto"/>
        <w:jc w:val="both"/>
        <w:rPr>
          <w:lang w:val="es-MX"/>
        </w:rPr>
      </w:pPr>
      <w:r>
        <w:rPr>
          <w:lang w:val="es-MX"/>
        </w:rPr>
        <w:t xml:space="preserve">A continuación, se efectúa el estudio de cada una de las ofertas presentadas, concluyendo que sólo las presentadas por las firmas </w:t>
      </w:r>
      <w:proofErr w:type="spellStart"/>
      <w:r>
        <w:rPr>
          <w:lang w:val="es-MX"/>
        </w:rPr>
        <w:t>Teyma</w:t>
      </w:r>
      <w:proofErr w:type="spellEnd"/>
      <w:r>
        <w:rPr>
          <w:lang w:val="es-MX"/>
        </w:rPr>
        <w:t xml:space="preserve"> Uruguay S.A., Construcciones e Instalaciones Electromecánicas S.A. (CIEMSA), </w:t>
      </w:r>
      <w:proofErr w:type="spellStart"/>
      <w:r>
        <w:rPr>
          <w:lang w:val="es-MX"/>
        </w:rPr>
        <w:t>Stiler</w:t>
      </w:r>
      <w:proofErr w:type="spellEnd"/>
      <w:r>
        <w:rPr>
          <w:lang w:val="es-MX"/>
        </w:rPr>
        <w:t xml:space="preserve"> S.A., </w:t>
      </w:r>
      <w:r>
        <w:rPr>
          <w:lang w:val="es-MX"/>
        </w:rPr>
        <w:lastRenderedPageBreak/>
        <w:t xml:space="preserve">Compañía Sudamericana de Empresas Eléctricas, Mecánicas y de Obras Públicas S.A. (SACEEM) y </w:t>
      </w:r>
      <w:proofErr w:type="spellStart"/>
      <w:r>
        <w:rPr>
          <w:lang w:val="es-MX"/>
        </w:rPr>
        <w:t>Ebital</w:t>
      </w:r>
      <w:proofErr w:type="spellEnd"/>
      <w:r>
        <w:rPr>
          <w:lang w:val="es-MX"/>
        </w:rPr>
        <w:t xml:space="preserve"> S.A., pueden ser consideradas para su adjudicación</w:t>
      </w:r>
      <w:r w:rsidR="00795CA1">
        <w:rPr>
          <w:lang w:val="es-MX"/>
        </w:rPr>
        <w:t>;</w:t>
      </w:r>
      <w:r>
        <w:rPr>
          <w:lang w:val="es-MX"/>
        </w:rPr>
        <w:t xml:space="preserve"> </w:t>
      </w:r>
    </w:p>
    <w:p w:rsidR="00910F55" w:rsidRDefault="00910F55" w:rsidP="001A324F">
      <w:pPr>
        <w:spacing w:line="360" w:lineRule="auto"/>
        <w:jc w:val="both"/>
        <w:rPr>
          <w:lang w:val="es-MX"/>
        </w:rPr>
      </w:pPr>
      <w:r>
        <w:rPr>
          <w:lang w:val="es-MX"/>
        </w:rPr>
        <w:t xml:space="preserve">II.- </w:t>
      </w:r>
      <w:r>
        <w:rPr>
          <w:u w:val="single"/>
          <w:lang w:val="es-MX"/>
        </w:rPr>
        <w:t>Análisis económico de las ofertas</w:t>
      </w:r>
      <w:r>
        <w:rPr>
          <w:lang w:val="es-MX"/>
        </w:rPr>
        <w:t>.</w:t>
      </w:r>
    </w:p>
    <w:p w:rsidR="00910F55" w:rsidRDefault="00910F55" w:rsidP="001A324F">
      <w:pPr>
        <w:spacing w:line="360" w:lineRule="auto"/>
        <w:jc w:val="both"/>
        <w:rPr>
          <w:lang w:val="es-MX"/>
        </w:rPr>
      </w:pPr>
      <w:r>
        <w:rPr>
          <w:lang w:val="es-MX"/>
        </w:rPr>
        <w:t>Se efectúa el siguiente cuadro de precios:</w:t>
      </w:r>
    </w:p>
    <w:p w:rsidR="001A324F" w:rsidRDefault="001A324F" w:rsidP="001A324F">
      <w:pPr>
        <w:spacing w:line="360" w:lineRule="auto"/>
        <w:jc w:val="both"/>
        <w:rPr>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4961"/>
      </w:tblGrid>
      <w:tr w:rsidR="00910F55" w:rsidTr="00795CA1">
        <w:tc>
          <w:tcPr>
            <w:tcW w:w="3828" w:type="dxa"/>
          </w:tcPr>
          <w:p w:rsidR="00910F55" w:rsidRDefault="00910F55">
            <w:pPr>
              <w:spacing w:line="360" w:lineRule="auto"/>
              <w:jc w:val="center"/>
              <w:rPr>
                <w:b/>
                <w:bCs/>
                <w:lang w:val="es-MX"/>
              </w:rPr>
            </w:pPr>
            <w:r>
              <w:rPr>
                <w:b/>
                <w:bCs/>
                <w:sz w:val="22"/>
                <w:szCs w:val="22"/>
                <w:lang w:val="es-MX"/>
              </w:rPr>
              <w:t>OFERENTE</w:t>
            </w:r>
          </w:p>
        </w:tc>
        <w:tc>
          <w:tcPr>
            <w:tcW w:w="4961" w:type="dxa"/>
          </w:tcPr>
          <w:p w:rsidR="00910F55" w:rsidRDefault="00910F55">
            <w:pPr>
              <w:spacing w:line="360" w:lineRule="auto"/>
              <w:jc w:val="center"/>
              <w:rPr>
                <w:b/>
                <w:bCs/>
                <w:lang w:val="es-MX"/>
              </w:rPr>
            </w:pPr>
            <w:r>
              <w:rPr>
                <w:b/>
                <w:bCs/>
                <w:sz w:val="22"/>
                <w:szCs w:val="22"/>
                <w:lang w:val="es-MX"/>
              </w:rPr>
              <w:t xml:space="preserve">PRECIO COMPARATIVO </w:t>
            </w:r>
          </w:p>
          <w:p w:rsidR="00910F55" w:rsidRDefault="00910F55">
            <w:pPr>
              <w:spacing w:line="360" w:lineRule="auto"/>
              <w:jc w:val="center"/>
              <w:rPr>
                <w:b/>
                <w:bCs/>
                <w:lang w:val="es-MX"/>
              </w:rPr>
            </w:pPr>
            <w:r>
              <w:rPr>
                <w:b/>
                <w:bCs/>
                <w:sz w:val="22"/>
                <w:szCs w:val="22"/>
                <w:lang w:val="es-MX"/>
              </w:rPr>
              <w:t>(mano de obra imponible y mangas incluidas)</w:t>
            </w:r>
          </w:p>
        </w:tc>
      </w:tr>
      <w:tr w:rsidR="00910F55" w:rsidTr="00795CA1">
        <w:tc>
          <w:tcPr>
            <w:tcW w:w="3828" w:type="dxa"/>
          </w:tcPr>
          <w:p w:rsidR="00910F55" w:rsidRDefault="00910F55">
            <w:pPr>
              <w:spacing w:line="360" w:lineRule="auto"/>
              <w:jc w:val="center"/>
              <w:rPr>
                <w:lang w:val="es-MX"/>
              </w:rPr>
            </w:pPr>
            <w:proofErr w:type="spellStart"/>
            <w:r>
              <w:rPr>
                <w:sz w:val="22"/>
                <w:szCs w:val="22"/>
                <w:lang w:val="es-MX"/>
              </w:rPr>
              <w:t>Tecnocyl</w:t>
            </w:r>
            <w:proofErr w:type="spellEnd"/>
            <w:r>
              <w:rPr>
                <w:sz w:val="22"/>
                <w:szCs w:val="22"/>
                <w:lang w:val="es-MX"/>
              </w:rPr>
              <w:t xml:space="preserve"> – </w:t>
            </w:r>
            <w:proofErr w:type="spellStart"/>
            <w:r>
              <w:rPr>
                <w:sz w:val="22"/>
                <w:szCs w:val="22"/>
                <w:lang w:val="es-MX"/>
              </w:rPr>
              <w:t>Gotta</w:t>
            </w:r>
            <w:proofErr w:type="spellEnd"/>
          </w:p>
        </w:tc>
        <w:tc>
          <w:tcPr>
            <w:tcW w:w="4961" w:type="dxa"/>
          </w:tcPr>
          <w:p w:rsidR="00910F55" w:rsidRDefault="00910F55">
            <w:pPr>
              <w:spacing w:line="360" w:lineRule="auto"/>
              <w:jc w:val="center"/>
              <w:rPr>
                <w:lang w:val="es-MX"/>
              </w:rPr>
            </w:pPr>
            <w:r>
              <w:rPr>
                <w:sz w:val="22"/>
                <w:szCs w:val="22"/>
                <w:lang w:val="es-MX"/>
              </w:rPr>
              <w:t>$ 225:854.742</w:t>
            </w:r>
          </w:p>
        </w:tc>
      </w:tr>
      <w:tr w:rsidR="00910F55" w:rsidTr="00795CA1">
        <w:tc>
          <w:tcPr>
            <w:tcW w:w="3828" w:type="dxa"/>
          </w:tcPr>
          <w:p w:rsidR="00910F55" w:rsidRDefault="00910F55">
            <w:pPr>
              <w:spacing w:line="360" w:lineRule="auto"/>
              <w:jc w:val="center"/>
              <w:rPr>
                <w:lang w:val="es-MX"/>
              </w:rPr>
            </w:pPr>
            <w:r>
              <w:rPr>
                <w:sz w:val="22"/>
                <w:szCs w:val="22"/>
                <w:lang w:val="es-MX"/>
              </w:rPr>
              <w:t>Ingeniería Pacífico</w:t>
            </w:r>
          </w:p>
        </w:tc>
        <w:tc>
          <w:tcPr>
            <w:tcW w:w="4961" w:type="dxa"/>
          </w:tcPr>
          <w:p w:rsidR="00910F55" w:rsidRDefault="00910F55">
            <w:pPr>
              <w:spacing w:line="360" w:lineRule="auto"/>
              <w:jc w:val="center"/>
              <w:rPr>
                <w:lang w:val="es-MX"/>
              </w:rPr>
            </w:pPr>
            <w:r>
              <w:rPr>
                <w:sz w:val="22"/>
                <w:szCs w:val="22"/>
                <w:lang w:val="es-MX"/>
              </w:rPr>
              <w:t>$ 174:418.735</w:t>
            </w:r>
          </w:p>
        </w:tc>
      </w:tr>
      <w:tr w:rsidR="00910F55" w:rsidTr="00795CA1">
        <w:tc>
          <w:tcPr>
            <w:tcW w:w="3828" w:type="dxa"/>
          </w:tcPr>
          <w:p w:rsidR="00910F55" w:rsidRDefault="00910F55">
            <w:pPr>
              <w:spacing w:line="360" w:lineRule="auto"/>
              <w:jc w:val="center"/>
              <w:rPr>
                <w:lang w:val="es-MX"/>
              </w:rPr>
            </w:pPr>
            <w:proofErr w:type="spellStart"/>
            <w:r>
              <w:rPr>
                <w:sz w:val="22"/>
                <w:szCs w:val="22"/>
                <w:lang w:val="es-MX"/>
              </w:rPr>
              <w:t>Teyma</w:t>
            </w:r>
            <w:proofErr w:type="spellEnd"/>
            <w:r>
              <w:rPr>
                <w:sz w:val="22"/>
                <w:szCs w:val="22"/>
                <w:lang w:val="es-MX"/>
              </w:rPr>
              <w:t xml:space="preserve"> Uruguay</w:t>
            </w:r>
          </w:p>
        </w:tc>
        <w:tc>
          <w:tcPr>
            <w:tcW w:w="4961" w:type="dxa"/>
          </w:tcPr>
          <w:p w:rsidR="00910F55" w:rsidRDefault="00910F55">
            <w:pPr>
              <w:spacing w:line="360" w:lineRule="auto"/>
              <w:jc w:val="center"/>
              <w:rPr>
                <w:lang w:val="es-MX"/>
              </w:rPr>
            </w:pPr>
            <w:r>
              <w:rPr>
                <w:sz w:val="22"/>
                <w:szCs w:val="22"/>
                <w:lang w:val="es-MX"/>
              </w:rPr>
              <w:t>$ 186:662.395</w:t>
            </w:r>
          </w:p>
        </w:tc>
      </w:tr>
      <w:tr w:rsidR="00910F55" w:rsidTr="00795CA1">
        <w:tc>
          <w:tcPr>
            <w:tcW w:w="3828" w:type="dxa"/>
          </w:tcPr>
          <w:p w:rsidR="00910F55" w:rsidRDefault="00910F55">
            <w:pPr>
              <w:spacing w:line="360" w:lineRule="auto"/>
              <w:jc w:val="center"/>
              <w:rPr>
                <w:lang w:val="es-MX"/>
              </w:rPr>
            </w:pPr>
            <w:proofErr w:type="spellStart"/>
            <w:r>
              <w:rPr>
                <w:sz w:val="22"/>
                <w:szCs w:val="22"/>
                <w:lang w:val="es-MX"/>
              </w:rPr>
              <w:t>Ciemsa</w:t>
            </w:r>
            <w:proofErr w:type="spellEnd"/>
          </w:p>
        </w:tc>
        <w:tc>
          <w:tcPr>
            <w:tcW w:w="4961" w:type="dxa"/>
          </w:tcPr>
          <w:p w:rsidR="00910F55" w:rsidRDefault="00910F55">
            <w:pPr>
              <w:spacing w:line="360" w:lineRule="auto"/>
              <w:jc w:val="center"/>
              <w:rPr>
                <w:lang w:val="es-MX"/>
              </w:rPr>
            </w:pPr>
            <w:r>
              <w:rPr>
                <w:sz w:val="22"/>
                <w:szCs w:val="22"/>
                <w:lang w:val="es-MX"/>
              </w:rPr>
              <w:t>$ 144:614.202</w:t>
            </w:r>
          </w:p>
        </w:tc>
      </w:tr>
      <w:tr w:rsidR="00910F55" w:rsidTr="00795CA1">
        <w:tc>
          <w:tcPr>
            <w:tcW w:w="3828" w:type="dxa"/>
          </w:tcPr>
          <w:p w:rsidR="00910F55" w:rsidRDefault="00910F55">
            <w:pPr>
              <w:spacing w:line="360" w:lineRule="auto"/>
              <w:jc w:val="center"/>
              <w:rPr>
                <w:lang w:val="es-MX"/>
              </w:rPr>
            </w:pPr>
            <w:proofErr w:type="spellStart"/>
            <w:r>
              <w:rPr>
                <w:sz w:val="22"/>
                <w:szCs w:val="22"/>
                <w:lang w:val="es-MX"/>
              </w:rPr>
              <w:t>Stiler</w:t>
            </w:r>
            <w:proofErr w:type="spellEnd"/>
            <w:r>
              <w:rPr>
                <w:sz w:val="22"/>
                <w:szCs w:val="22"/>
                <w:lang w:val="es-MX"/>
              </w:rPr>
              <w:t xml:space="preserve"> </w:t>
            </w:r>
          </w:p>
        </w:tc>
        <w:tc>
          <w:tcPr>
            <w:tcW w:w="4961" w:type="dxa"/>
          </w:tcPr>
          <w:p w:rsidR="00910F55" w:rsidRDefault="00910F55">
            <w:pPr>
              <w:spacing w:line="360" w:lineRule="auto"/>
              <w:jc w:val="center"/>
              <w:rPr>
                <w:lang w:val="es-MX"/>
              </w:rPr>
            </w:pPr>
            <w:r>
              <w:rPr>
                <w:sz w:val="22"/>
                <w:szCs w:val="22"/>
                <w:lang w:val="es-MX"/>
              </w:rPr>
              <w:t>$ 137:900.439</w:t>
            </w:r>
          </w:p>
        </w:tc>
      </w:tr>
      <w:tr w:rsidR="00910F55" w:rsidTr="00795CA1">
        <w:tc>
          <w:tcPr>
            <w:tcW w:w="3828" w:type="dxa"/>
          </w:tcPr>
          <w:p w:rsidR="00910F55" w:rsidRDefault="00910F55">
            <w:pPr>
              <w:spacing w:line="360" w:lineRule="auto"/>
              <w:jc w:val="center"/>
              <w:rPr>
                <w:lang w:val="es-MX"/>
              </w:rPr>
            </w:pPr>
            <w:proofErr w:type="spellStart"/>
            <w:r>
              <w:rPr>
                <w:sz w:val="22"/>
                <w:szCs w:val="22"/>
                <w:lang w:val="es-MX"/>
              </w:rPr>
              <w:t>Saceem</w:t>
            </w:r>
            <w:proofErr w:type="spellEnd"/>
          </w:p>
        </w:tc>
        <w:tc>
          <w:tcPr>
            <w:tcW w:w="4961" w:type="dxa"/>
          </w:tcPr>
          <w:p w:rsidR="00910F55" w:rsidRDefault="00910F55">
            <w:pPr>
              <w:spacing w:line="360" w:lineRule="auto"/>
              <w:jc w:val="center"/>
              <w:rPr>
                <w:lang w:val="es-MX"/>
              </w:rPr>
            </w:pPr>
            <w:r>
              <w:rPr>
                <w:sz w:val="22"/>
                <w:szCs w:val="22"/>
                <w:lang w:val="es-MX"/>
              </w:rPr>
              <w:t>$ 185:805.030</w:t>
            </w:r>
          </w:p>
        </w:tc>
      </w:tr>
      <w:tr w:rsidR="00910F55" w:rsidTr="00795CA1">
        <w:tc>
          <w:tcPr>
            <w:tcW w:w="3828" w:type="dxa"/>
          </w:tcPr>
          <w:p w:rsidR="00910F55" w:rsidRDefault="00910F55">
            <w:pPr>
              <w:spacing w:line="360" w:lineRule="auto"/>
              <w:jc w:val="center"/>
              <w:rPr>
                <w:lang w:val="es-MX"/>
              </w:rPr>
            </w:pPr>
            <w:proofErr w:type="spellStart"/>
            <w:r>
              <w:rPr>
                <w:sz w:val="22"/>
                <w:szCs w:val="22"/>
                <w:lang w:val="es-MX"/>
              </w:rPr>
              <w:t>Ebital</w:t>
            </w:r>
            <w:proofErr w:type="spellEnd"/>
            <w:r>
              <w:rPr>
                <w:sz w:val="22"/>
                <w:szCs w:val="22"/>
                <w:lang w:val="es-MX"/>
              </w:rPr>
              <w:t xml:space="preserve"> – Opción 1</w:t>
            </w:r>
          </w:p>
        </w:tc>
        <w:tc>
          <w:tcPr>
            <w:tcW w:w="4961" w:type="dxa"/>
          </w:tcPr>
          <w:p w:rsidR="00910F55" w:rsidRDefault="00910F55">
            <w:pPr>
              <w:spacing w:line="360" w:lineRule="auto"/>
              <w:jc w:val="center"/>
              <w:rPr>
                <w:lang w:val="es-MX"/>
              </w:rPr>
            </w:pPr>
            <w:r>
              <w:rPr>
                <w:sz w:val="22"/>
                <w:szCs w:val="22"/>
                <w:lang w:val="es-MX"/>
              </w:rPr>
              <w:t>$ 158:461.339</w:t>
            </w:r>
          </w:p>
        </w:tc>
      </w:tr>
      <w:tr w:rsidR="00910F55" w:rsidTr="00795CA1">
        <w:tc>
          <w:tcPr>
            <w:tcW w:w="3828" w:type="dxa"/>
          </w:tcPr>
          <w:p w:rsidR="00910F55" w:rsidRDefault="00910F55">
            <w:pPr>
              <w:spacing w:line="360" w:lineRule="auto"/>
              <w:jc w:val="center"/>
              <w:rPr>
                <w:lang w:val="es-MX"/>
              </w:rPr>
            </w:pPr>
            <w:proofErr w:type="spellStart"/>
            <w:r>
              <w:rPr>
                <w:sz w:val="22"/>
                <w:szCs w:val="22"/>
                <w:lang w:val="es-MX"/>
              </w:rPr>
              <w:t>Ebital</w:t>
            </w:r>
            <w:proofErr w:type="spellEnd"/>
            <w:r>
              <w:rPr>
                <w:sz w:val="22"/>
                <w:szCs w:val="22"/>
                <w:lang w:val="es-MX"/>
              </w:rPr>
              <w:t xml:space="preserve"> – Opción 2</w:t>
            </w:r>
          </w:p>
        </w:tc>
        <w:tc>
          <w:tcPr>
            <w:tcW w:w="4961" w:type="dxa"/>
          </w:tcPr>
          <w:p w:rsidR="00910F55" w:rsidRDefault="00910F55">
            <w:pPr>
              <w:spacing w:line="360" w:lineRule="auto"/>
              <w:jc w:val="center"/>
              <w:rPr>
                <w:lang w:val="es-MX"/>
              </w:rPr>
            </w:pPr>
            <w:r>
              <w:rPr>
                <w:sz w:val="22"/>
                <w:szCs w:val="22"/>
                <w:lang w:val="es-MX"/>
              </w:rPr>
              <w:t>$ 156:943.108</w:t>
            </w:r>
          </w:p>
        </w:tc>
      </w:tr>
      <w:tr w:rsidR="00910F55" w:rsidTr="00795CA1">
        <w:tc>
          <w:tcPr>
            <w:tcW w:w="3828" w:type="dxa"/>
          </w:tcPr>
          <w:p w:rsidR="00910F55" w:rsidRDefault="00910F55">
            <w:pPr>
              <w:spacing w:line="360" w:lineRule="auto"/>
              <w:jc w:val="center"/>
              <w:rPr>
                <w:lang w:val="es-MX"/>
              </w:rPr>
            </w:pPr>
            <w:proofErr w:type="spellStart"/>
            <w:r>
              <w:rPr>
                <w:sz w:val="22"/>
                <w:szCs w:val="22"/>
                <w:lang w:val="es-MX"/>
              </w:rPr>
              <w:t>Ebital</w:t>
            </w:r>
            <w:proofErr w:type="spellEnd"/>
            <w:r>
              <w:rPr>
                <w:sz w:val="22"/>
                <w:szCs w:val="22"/>
                <w:lang w:val="es-MX"/>
              </w:rPr>
              <w:t xml:space="preserve"> – Opción 3</w:t>
            </w:r>
          </w:p>
        </w:tc>
        <w:tc>
          <w:tcPr>
            <w:tcW w:w="4961" w:type="dxa"/>
          </w:tcPr>
          <w:p w:rsidR="00910F55" w:rsidRDefault="00910F55">
            <w:pPr>
              <w:spacing w:line="360" w:lineRule="auto"/>
              <w:jc w:val="center"/>
              <w:rPr>
                <w:lang w:val="es-MX"/>
              </w:rPr>
            </w:pPr>
            <w:r>
              <w:rPr>
                <w:sz w:val="22"/>
                <w:szCs w:val="22"/>
                <w:lang w:val="es-MX"/>
              </w:rPr>
              <w:t>$ 146:921.438</w:t>
            </w:r>
          </w:p>
        </w:tc>
      </w:tr>
    </w:tbl>
    <w:p w:rsidR="001A324F" w:rsidRDefault="001A324F">
      <w:pPr>
        <w:spacing w:line="360" w:lineRule="auto"/>
        <w:jc w:val="both"/>
        <w:rPr>
          <w:lang w:val="es-MX"/>
        </w:rPr>
      </w:pPr>
    </w:p>
    <w:p w:rsidR="00910F55" w:rsidRPr="001A324F" w:rsidRDefault="00910F55" w:rsidP="001A324F">
      <w:pPr>
        <w:spacing w:line="360" w:lineRule="auto"/>
        <w:jc w:val="both"/>
        <w:rPr>
          <w:lang w:val="es-MX"/>
        </w:rPr>
      </w:pPr>
      <w:r w:rsidRPr="001A324F">
        <w:rPr>
          <w:lang w:val="es-MX"/>
        </w:rPr>
        <w:t xml:space="preserve">En virtud de lo expuesto, se sugiere adjudicar a </w:t>
      </w:r>
      <w:proofErr w:type="spellStart"/>
      <w:r w:rsidRPr="001A324F">
        <w:rPr>
          <w:lang w:val="es-MX"/>
        </w:rPr>
        <w:t>Stiler</w:t>
      </w:r>
      <w:proofErr w:type="spellEnd"/>
      <w:r w:rsidRPr="001A324F">
        <w:rPr>
          <w:lang w:val="es-MX"/>
        </w:rPr>
        <w:t xml:space="preserve"> S.A., por ser la oferta de menor monto comparativo;</w:t>
      </w:r>
    </w:p>
    <w:p w:rsidR="00910F55" w:rsidRPr="001A324F" w:rsidRDefault="00910F55" w:rsidP="006A054A">
      <w:pPr>
        <w:spacing w:line="360" w:lineRule="auto"/>
        <w:ind w:firstLine="2835"/>
        <w:jc w:val="both"/>
        <w:rPr>
          <w:b/>
          <w:bCs/>
          <w:lang w:val="es-MX"/>
        </w:rPr>
      </w:pPr>
      <w:r w:rsidRPr="001A324F">
        <w:rPr>
          <w:b/>
          <w:bCs/>
          <w:lang w:val="es-MX"/>
        </w:rPr>
        <w:t>8)</w:t>
      </w:r>
      <w:r w:rsidRPr="001A324F">
        <w:rPr>
          <w:lang w:val="es-MX"/>
        </w:rPr>
        <w:t xml:space="preserve"> que</w:t>
      </w:r>
      <w:r w:rsidRPr="001A324F">
        <w:rPr>
          <w:b/>
          <w:bCs/>
          <w:lang w:val="es-MX"/>
        </w:rPr>
        <w:t xml:space="preserve"> </w:t>
      </w:r>
      <w:r w:rsidRPr="001A324F">
        <w:rPr>
          <w:lang w:val="es-MX"/>
        </w:rPr>
        <w:t xml:space="preserve">con fecha 22/4/16, el Asesor del Departamento de Proyectos y Obras, Arq. Fernando </w:t>
      </w:r>
      <w:proofErr w:type="spellStart"/>
      <w:r w:rsidRPr="001A324F">
        <w:rPr>
          <w:lang w:val="es-MX"/>
        </w:rPr>
        <w:t>Waltier</w:t>
      </w:r>
      <w:proofErr w:type="spellEnd"/>
      <w:r w:rsidRPr="001A324F">
        <w:rPr>
          <w:lang w:val="es-MX"/>
        </w:rPr>
        <w:t xml:space="preserve">, realizó informe expresando que analizó las propuestas presentadas, y por tanto, sugirió a la Comisión Asesora que prosiguiera con el procedimiento para adjudicar la presente </w:t>
      </w:r>
      <w:r w:rsidR="00813101">
        <w:rPr>
          <w:lang w:val="es-MX"/>
        </w:rPr>
        <w:t>L</w:t>
      </w:r>
      <w:r w:rsidRPr="001A324F">
        <w:rPr>
          <w:lang w:val="es-MX"/>
        </w:rPr>
        <w:t xml:space="preserve">icitación </w:t>
      </w:r>
      <w:r w:rsidR="00813101">
        <w:rPr>
          <w:lang w:val="es-MX"/>
        </w:rPr>
        <w:t>P</w:t>
      </w:r>
      <w:r w:rsidRPr="001A324F">
        <w:rPr>
          <w:lang w:val="es-MX"/>
        </w:rPr>
        <w:t xml:space="preserve">ública a </w:t>
      </w:r>
      <w:proofErr w:type="spellStart"/>
      <w:r w:rsidRPr="001A324F">
        <w:rPr>
          <w:lang w:val="es-MX"/>
        </w:rPr>
        <w:t>Stiler</w:t>
      </w:r>
      <w:proofErr w:type="spellEnd"/>
      <w:r w:rsidRPr="001A324F">
        <w:rPr>
          <w:lang w:val="es-MX"/>
        </w:rPr>
        <w:t xml:space="preserve"> S.A., por cumplir todos los requerimientos técnicos del proyecto y ser la propuesta económica más adecuada para la Administración;</w:t>
      </w:r>
    </w:p>
    <w:p w:rsidR="00910F55" w:rsidRPr="001A324F" w:rsidRDefault="00910F55" w:rsidP="006A054A">
      <w:pPr>
        <w:spacing w:line="360" w:lineRule="auto"/>
        <w:ind w:firstLine="2835"/>
        <w:jc w:val="both"/>
        <w:rPr>
          <w:i/>
          <w:iCs/>
          <w:lang w:val="es-MX"/>
        </w:rPr>
      </w:pPr>
      <w:r w:rsidRPr="001A324F">
        <w:rPr>
          <w:b/>
          <w:bCs/>
          <w:lang w:val="es-MX"/>
        </w:rPr>
        <w:t>9)</w:t>
      </w:r>
      <w:r w:rsidRPr="001A324F">
        <w:rPr>
          <w:lang w:val="es-MX"/>
        </w:rPr>
        <w:t xml:space="preserve"> que se comunicó a los oferentes que se les confería vista previa el 6/5/16;</w:t>
      </w:r>
    </w:p>
    <w:p w:rsidR="00910F55" w:rsidRPr="001A324F" w:rsidRDefault="00910F55" w:rsidP="006A054A">
      <w:pPr>
        <w:spacing w:line="360" w:lineRule="auto"/>
        <w:ind w:firstLine="2835"/>
        <w:jc w:val="both"/>
        <w:rPr>
          <w:lang w:val="es-MX"/>
        </w:rPr>
      </w:pPr>
      <w:r w:rsidRPr="001A324F">
        <w:rPr>
          <w:b/>
          <w:bCs/>
          <w:lang w:val="es-MX"/>
        </w:rPr>
        <w:lastRenderedPageBreak/>
        <w:t>10)</w:t>
      </w:r>
      <w:r w:rsidRPr="001A324F">
        <w:rPr>
          <w:lang w:val="es-MX"/>
        </w:rPr>
        <w:t xml:space="preserve"> que con fecha 27/5/16, la Comisión Asesora</w:t>
      </w:r>
      <w:r w:rsidRPr="001A324F">
        <w:rPr>
          <w:b/>
          <w:bCs/>
          <w:i/>
          <w:iCs/>
          <w:lang w:val="es-MX"/>
        </w:rPr>
        <w:t xml:space="preserve"> </w:t>
      </w:r>
      <w:r w:rsidRPr="001A324F">
        <w:rPr>
          <w:lang w:val="es-MX"/>
        </w:rPr>
        <w:t xml:space="preserve">indicó que transcurrido el plazo legal, ningún oferente evacuó la vista conferida, por lo que se mantiene la sugerencia realizada de adjudicar a </w:t>
      </w:r>
      <w:proofErr w:type="spellStart"/>
      <w:r w:rsidRPr="001A324F">
        <w:rPr>
          <w:lang w:val="es-MX"/>
        </w:rPr>
        <w:t>Stiler</w:t>
      </w:r>
      <w:proofErr w:type="spellEnd"/>
      <w:r w:rsidRPr="001A324F">
        <w:rPr>
          <w:lang w:val="es-MX"/>
        </w:rPr>
        <w:t xml:space="preserve"> S.A., dado que entre las ofertas que cumplen con los requisitos del Pliego, que rigió el llamado,  es la oferta de menor monto comparativo;</w:t>
      </w:r>
    </w:p>
    <w:p w:rsidR="00910F55" w:rsidRPr="001A324F" w:rsidRDefault="00910F55" w:rsidP="006A054A">
      <w:pPr>
        <w:spacing w:line="360" w:lineRule="auto"/>
        <w:ind w:firstLine="2835"/>
        <w:jc w:val="both"/>
        <w:rPr>
          <w:lang w:val="es-MX"/>
        </w:rPr>
      </w:pPr>
      <w:r w:rsidRPr="001A324F">
        <w:rPr>
          <w:b/>
          <w:bCs/>
          <w:lang w:val="es-MX"/>
        </w:rPr>
        <w:t>11)</w:t>
      </w:r>
      <w:r w:rsidRPr="001A324F">
        <w:rPr>
          <w:lang w:val="es-MX"/>
        </w:rPr>
        <w:t xml:space="preserve"> que la Unidad Presupuestal, informó el 8/6/16, que la presente erogación tiene una reserva presupuestal por el importe de </w:t>
      </w:r>
      <w:r w:rsidR="00813101">
        <w:rPr>
          <w:lang w:val="es-MX"/>
        </w:rPr>
        <w:t xml:space="preserve">                  </w:t>
      </w:r>
      <w:r w:rsidRPr="001A324F">
        <w:rPr>
          <w:lang w:val="es-MX"/>
        </w:rPr>
        <w:t>$ 2</w:t>
      </w:r>
      <w:r w:rsidR="00813101">
        <w:rPr>
          <w:lang w:val="es-MX"/>
        </w:rPr>
        <w:t>:</w:t>
      </w:r>
      <w:r w:rsidRPr="001A324F">
        <w:rPr>
          <w:lang w:val="es-MX"/>
        </w:rPr>
        <w:t>600.000 imputada al programa Inversiones Puerto Colonia, Proyecto 20601, “27 Pasarelas CN” y que dicho  proyecto cuenta con una disponibilidad presupuestal de $</w:t>
      </w:r>
      <w:r w:rsidR="00813101">
        <w:rPr>
          <w:lang w:val="es-MX"/>
        </w:rPr>
        <w:t xml:space="preserve"> </w:t>
      </w:r>
      <w:r w:rsidRPr="001A324F">
        <w:rPr>
          <w:lang w:val="es-MX"/>
        </w:rPr>
        <w:t>98:800.000, por aprobación del Presupuesto 2016, adecuado a precios enero – junio 2015, además de una  trasposición  de $ 25:000.000, ya aprobada;</w:t>
      </w:r>
    </w:p>
    <w:p w:rsidR="00910F55" w:rsidRPr="001A324F" w:rsidRDefault="00910F55" w:rsidP="006A054A">
      <w:pPr>
        <w:spacing w:line="360" w:lineRule="auto"/>
        <w:ind w:firstLine="2835"/>
        <w:jc w:val="both"/>
        <w:rPr>
          <w:color w:val="FF0000"/>
          <w:lang w:val="es-MX"/>
        </w:rPr>
      </w:pPr>
      <w:r w:rsidRPr="001A324F">
        <w:rPr>
          <w:lang w:val="es-MX"/>
        </w:rPr>
        <w:t xml:space="preserve"> </w:t>
      </w:r>
      <w:r w:rsidRPr="001A324F">
        <w:rPr>
          <w:b/>
          <w:bCs/>
          <w:lang w:val="es-MX"/>
        </w:rPr>
        <w:t>12)</w:t>
      </w:r>
      <w:r w:rsidRPr="001A324F">
        <w:rPr>
          <w:lang w:val="es-MX"/>
        </w:rPr>
        <w:t xml:space="preserve"> que se efectúa un informe de estimación de costos de la </w:t>
      </w:r>
      <w:r w:rsidR="00813101">
        <w:rPr>
          <w:lang w:val="es-MX"/>
        </w:rPr>
        <w:t>L</w:t>
      </w:r>
      <w:r w:rsidRPr="001A324F">
        <w:rPr>
          <w:lang w:val="es-MX"/>
        </w:rPr>
        <w:t xml:space="preserve">icitación </w:t>
      </w:r>
      <w:r w:rsidR="00813101">
        <w:rPr>
          <w:lang w:val="es-MX"/>
        </w:rPr>
        <w:t>P</w:t>
      </w:r>
      <w:r w:rsidRPr="001A324F">
        <w:rPr>
          <w:lang w:val="es-MX"/>
        </w:rPr>
        <w:t>ública, sin fecha ni firma, en el  que se expresa que si actualizáramos el precio estimado del 2014, al valor de la fecha de la apertura del 2015, sería U$S 4:007.700 el monto de la contratación, con un margen de error de un 15 %;</w:t>
      </w:r>
    </w:p>
    <w:p w:rsidR="00910F55" w:rsidRPr="001A324F" w:rsidRDefault="00910F55" w:rsidP="006A054A">
      <w:pPr>
        <w:spacing w:line="360" w:lineRule="auto"/>
        <w:ind w:firstLine="2835"/>
        <w:jc w:val="both"/>
        <w:rPr>
          <w:lang w:val="es-MX"/>
        </w:rPr>
      </w:pPr>
      <w:r w:rsidRPr="001A324F">
        <w:rPr>
          <w:b/>
          <w:bCs/>
          <w:lang w:val="es-MX"/>
        </w:rPr>
        <w:t>13)</w:t>
      </w:r>
      <w:r w:rsidRPr="001A324F">
        <w:rPr>
          <w:lang w:val="es-MX"/>
        </w:rPr>
        <w:t xml:space="preserve"> que, por Resolución R Nº 236/3.826 del 22/6/16, el Directorio</w:t>
      </w:r>
      <w:r w:rsidRPr="001A324F">
        <w:rPr>
          <w:b/>
          <w:bCs/>
          <w:i/>
          <w:iCs/>
          <w:lang w:val="es-MX"/>
        </w:rPr>
        <w:t xml:space="preserve"> </w:t>
      </w:r>
      <w:r w:rsidRPr="001A324F">
        <w:rPr>
          <w:lang w:val="es-MX"/>
        </w:rPr>
        <w:t xml:space="preserve">dispuso adjudicar a </w:t>
      </w:r>
      <w:proofErr w:type="spellStart"/>
      <w:r w:rsidRPr="001A324F">
        <w:rPr>
          <w:lang w:val="es-MX"/>
        </w:rPr>
        <w:t>Stiler</w:t>
      </w:r>
      <w:proofErr w:type="spellEnd"/>
      <w:r w:rsidRPr="001A324F">
        <w:rPr>
          <w:lang w:val="es-MX"/>
        </w:rPr>
        <w:t xml:space="preserve"> S.A - ad referéndum de la intervención preventiva de legalidad del Tribunal de Cuentas – por un monto total de $140:215.427,37 sin imprevistos, que se desglosa de la siguiente forma: </w:t>
      </w:r>
    </w:p>
    <w:p w:rsidR="00910F55" w:rsidRPr="001A324F" w:rsidRDefault="00910F55" w:rsidP="001A324F">
      <w:pPr>
        <w:spacing w:line="360" w:lineRule="auto"/>
        <w:jc w:val="both"/>
        <w:rPr>
          <w:lang w:val="es-MX"/>
        </w:rPr>
      </w:pPr>
      <w:r w:rsidRPr="001A324F">
        <w:rPr>
          <w:lang w:val="es-MX"/>
        </w:rPr>
        <w:t>- precio global: $ 82:592.112 sin imprevistos.</w:t>
      </w:r>
    </w:p>
    <w:p w:rsidR="00910F55" w:rsidRPr="001A324F" w:rsidRDefault="00910F55" w:rsidP="001A324F">
      <w:pPr>
        <w:spacing w:line="360" w:lineRule="auto"/>
        <w:jc w:val="both"/>
        <w:rPr>
          <w:lang w:val="es-MX"/>
        </w:rPr>
      </w:pPr>
      <w:r w:rsidRPr="001A324F">
        <w:rPr>
          <w:lang w:val="es-MX"/>
        </w:rPr>
        <w:t>- las Mangas por Euros 1:662.440, sin imprevistos.</w:t>
      </w:r>
    </w:p>
    <w:p w:rsidR="00910F55" w:rsidRPr="001A324F" w:rsidRDefault="00910F55" w:rsidP="001A324F">
      <w:pPr>
        <w:spacing w:line="360" w:lineRule="auto"/>
        <w:jc w:val="both"/>
        <w:rPr>
          <w:lang w:val="es-MX"/>
        </w:rPr>
      </w:pPr>
      <w:r w:rsidRPr="001A324F">
        <w:rPr>
          <w:lang w:val="es-MX"/>
        </w:rPr>
        <w:t>- un monto máximo de Mano de Obra Imponible de $ 7:928.042, sin imprevistos.</w:t>
      </w:r>
    </w:p>
    <w:p w:rsidR="00910F55" w:rsidRPr="001A324F" w:rsidRDefault="00910F55" w:rsidP="001A324F">
      <w:pPr>
        <w:spacing w:line="360" w:lineRule="auto"/>
        <w:jc w:val="both"/>
        <w:rPr>
          <w:lang w:val="es-MX"/>
        </w:rPr>
      </w:pPr>
      <w:r w:rsidRPr="001A324F">
        <w:rPr>
          <w:lang w:val="es-MX"/>
        </w:rPr>
        <w:t>- se deberá reservar una asignación para los trabajos imprevistos conforme al Art</w:t>
      </w:r>
      <w:r w:rsidR="00813101">
        <w:rPr>
          <w:lang w:val="es-MX"/>
        </w:rPr>
        <w:t>ículo</w:t>
      </w:r>
      <w:r w:rsidRPr="001A324F">
        <w:rPr>
          <w:lang w:val="es-MX"/>
        </w:rPr>
        <w:t xml:space="preserve"> 11 de las bases;</w:t>
      </w:r>
    </w:p>
    <w:p w:rsidR="00910F55" w:rsidRPr="001A324F" w:rsidRDefault="00910F55" w:rsidP="006A054A">
      <w:pPr>
        <w:spacing w:line="360" w:lineRule="auto"/>
        <w:ind w:firstLine="2835"/>
        <w:jc w:val="both"/>
        <w:rPr>
          <w:lang w:val="es-MX"/>
        </w:rPr>
      </w:pPr>
      <w:r w:rsidRPr="001A324F">
        <w:rPr>
          <w:lang w:val="es-MX"/>
        </w:rPr>
        <w:lastRenderedPageBreak/>
        <w:t xml:space="preserve"> </w:t>
      </w:r>
      <w:r w:rsidRPr="001A324F">
        <w:rPr>
          <w:b/>
          <w:bCs/>
          <w:lang w:val="es-MX"/>
        </w:rPr>
        <w:t>14)</w:t>
      </w:r>
      <w:r w:rsidRPr="001A324F">
        <w:rPr>
          <w:lang w:val="es-MX"/>
        </w:rPr>
        <w:t xml:space="preserve"> que con fecha 25/7/16, este Tribunal </w:t>
      </w:r>
      <w:r w:rsidR="001A324F" w:rsidRPr="001A324F">
        <w:rPr>
          <w:lang w:val="es-MX"/>
        </w:rPr>
        <w:t>acordó</w:t>
      </w:r>
      <w:r w:rsidRPr="001A324F">
        <w:rPr>
          <w:lang w:val="es-MX"/>
        </w:rPr>
        <w:t xml:space="preserve">  devolver las actuaciones para mejor proveer, a efectos  de que la Administración:</w:t>
      </w:r>
    </w:p>
    <w:p w:rsidR="00910F55" w:rsidRPr="001A324F" w:rsidRDefault="00910F55" w:rsidP="001A324F">
      <w:pPr>
        <w:spacing w:line="360" w:lineRule="auto"/>
        <w:jc w:val="both"/>
        <w:rPr>
          <w:b/>
          <w:bCs/>
          <w:lang w:val="es-ES_tradnl"/>
        </w:rPr>
      </w:pPr>
      <w:r w:rsidRPr="001A324F">
        <w:rPr>
          <w:b/>
          <w:bCs/>
          <w:lang w:val="es-ES_tradnl"/>
        </w:rPr>
        <w:t xml:space="preserve">14.1.- </w:t>
      </w:r>
      <w:r w:rsidRPr="001A324F">
        <w:rPr>
          <w:u w:val="single"/>
          <w:lang w:val="es-ES_tradnl"/>
        </w:rPr>
        <w:t>Informara</w:t>
      </w:r>
      <w:r w:rsidRPr="001A324F">
        <w:rPr>
          <w:lang w:val="es-ES_tradnl"/>
        </w:rPr>
        <w:t>:</w:t>
      </w:r>
    </w:p>
    <w:p w:rsidR="00910F55" w:rsidRPr="001A324F" w:rsidRDefault="00910F55" w:rsidP="001A324F">
      <w:pPr>
        <w:spacing w:line="360" w:lineRule="auto"/>
        <w:jc w:val="both"/>
        <w:rPr>
          <w:lang w:val="es-ES_tradnl"/>
        </w:rPr>
      </w:pPr>
      <w:r w:rsidRPr="001A324F">
        <w:rPr>
          <w:b/>
          <w:bCs/>
          <w:lang w:val="es-ES_tradnl"/>
        </w:rPr>
        <w:t>14.1.1)</w:t>
      </w:r>
      <w:r w:rsidRPr="001A324F">
        <w:rPr>
          <w:lang w:val="es-ES_tradnl"/>
        </w:rPr>
        <w:t xml:space="preserve"> cuál es el </w:t>
      </w:r>
      <w:r w:rsidR="00813101">
        <w:rPr>
          <w:lang w:val="es-ES_tradnl"/>
        </w:rPr>
        <w:t>A</w:t>
      </w:r>
      <w:r w:rsidRPr="001A324F">
        <w:rPr>
          <w:lang w:val="es-ES_tradnl"/>
        </w:rPr>
        <w:t xml:space="preserve">cto </w:t>
      </w:r>
      <w:r w:rsidR="00813101">
        <w:rPr>
          <w:lang w:val="es-ES_tradnl"/>
        </w:rPr>
        <w:t>A</w:t>
      </w:r>
      <w:r w:rsidRPr="001A324F">
        <w:rPr>
          <w:lang w:val="es-ES_tradnl"/>
        </w:rPr>
        <w:t>dministrativo que dispuso el llamado inicialmente y quién lo dictó, en tanto la Resolución que luce en los obrados remitidos data del 15/7/15 (Resolución Dir. Nº 369/3.784), siendo que las publicaciones inicialmente se efectuaron en la página Web</w:t>
      </w:r>
      <w:r w:rsidRPr="001A324F">
        <w:rPr>
          <w:lang w:val="es-MX"/>
        </w:rPr>
        <w:t xml:space="preserve"> de Compras Estatales el 26/3/15, fijándose la apertura para el 15/5/15, o sea con anterioridad a la fecha prevista para la apertura; </w:t>
      </w:r>
    </w:p>
    <w:p w:rsidR="00910F55" w:rsidRPr="001A324F" w:rsidRDefault="00910F55" w:rsidP="001A324F">
      <w:pPr>
        <w:spacing w:line="360" w:lineRule="auto"/>
        <w:jc w:val="both"/>
        <w:rPr>
          <w:lang w:val="es-ES_tradnl"/>
        </w:rPr>
      </w:pPr>
      <w:r w:rsidRPr="001A324F">
        <w:rPr>
          <w:b/>
          <w:bCs/>
          <w:lang w:val="es-ES_tradnl"/>
        </w:rPr>
        <w:t>14.1.2)</w:t>
      </w:r>
      <w:r w:rsidRPr="001A324F">
        <w:rPr>
          <w:lang w:val="es-ES_tradnl"/>
        </w:rPr>
        <w:t xml:space="preserve"> quién dicta habitualmente en los procedimientos competitivos de contratación, los </w:t>
      </w:r>
      <w:r w:rsidR="00813101">
        <w:rPr>
          <w:lang w:val="es-ES_tradnl"/>
        </w:rPr>
        <w:t>A</w:t>
      </w:r>
      <w:r w:rsidRPr="001A324F">
        <w:rPr>
          <w:lang w:val="es-ES_tradnl"/>
        </w:rPr>
        <w:t xml:space="preserve">ctos </w:t>
      </w:r>
      <w:r w:rsidR="00813101">
        <w:rPr>
          <w:lang w:val="es-ES_tradnl"/>
        </w:rPr>
        <w:t>A</w:t>
      </w:r>
      <w:r w:rsidRPr="001A324F">
        <w:rPr>
          <w:lang w:val="es-ES_tradnl"/>
        </w:rPr>
        <w:t xml:space="preserve">dministrativos que disponen la iniciación de los mismos; </w:t>
      </w:r>
    </w:p>
    <w:p w:rsidR="00910F55" w:rsidRPr="001A324F" w:rsidRDefault="00910F55" w:rsidP="001A324F">
      <w:pPr>
        <w:spacing w:line="360" w:lineRule="auto"/>
        <w:jc w:val="both"/>
        <w:rPr>
          <w:lang w:val="es-ES_tradnl"/>
        </w:rPr>
      </w:pPr>
      <w:r w:rsidRPr="001A324F">
        <w:rPr>
          <w:b/>
          <w:bCs/>
          <w:lang w:val="es-ES_tradnl"/>
        </w:rPr>
        <w:t>14.1.3)</w:t>
      </w:r>
      <w:r w:rsidRPr="001A324F">
        <w:rPr>
          <w:lang w:val="es-ES_tradnl"/>
        </w:rPr>
        <w:t xml:space="preserve"> si respecto de la presentación de constancias de votación, reposición de montepíos notariales y documentación notarial por parte de los oferentes, se ejerció la facultad conferida en el </w:t>
      </w:r>
      <w:r w:rsidR="00813101">
        <w:rPr>
          <w:lang w:val="es-ES_tradnl"/>
        </w:rPr>
        <w:t>A</w:t>
      </w:r>
      <w:r w:rsidRPr="001A324F">
        <w:rPr>
          <w:lang w:val="es-ES_tradnl"/>
        </w:rPr>
        <w:t>rt</w:t>
      </w:r>
      <w:r w:rsidR="00813101">
        <w:rPr>
          <w:lang w:val="es-ES_tradnl"/>
        </w:rPr>
        <w:t>ículo</w:t>
      </w:r>
      <w:r w:rsidRPr="001A324F">
        <w:rPr>
          <w:lang w:val="es-ES_tradnl"/>
        </w:rPr>
        <w:t xml:space="preserve"> 65 del T.O.C.A.F., relativa a conceder un plazo máximo de dos días hábiles a los oferentes a efectos de subsanar carencias formales, y en caso afirmativo, se remitieran los recaudos de los que surgiera dicho proceder; </w:t>
      </w:r>
    </w:p>
    <w:p w:rsidR="00910F55" w:rsidRPr="001A324F" w:rsidRDefault="00910F55" w:rsidP="001A324F">
      <w:pPr>
        <w:spacing w:line="360" w:lineRule="auto"/>
        <w:jc w:val="both"/>
        <w:rPr>
          <w:lang w:val="es-MX"/>
        </w:rPr>
      </w:pPr>
      <w:r w:rsidRPr="001A324F">
        <w:rPr>
          <w:b/>
          <w:bCs/>
          <w:lang w:val="es-ES_tradnl"/>
        </w:rPr>
        <w:t>14.1.4</w:t>
      </w:r>
      <w:r w:rsidRPr="001A324F">
        <w:rPr>
          <w:b/>
          <w:bCs/>
          <w:lang w:val="es-MX"/>
        </w:rPr>
        <w:t>)</w:t>
      </w:r>
      <w:r w:rsidRPr="001A324F">
        <w:rPr>
          <w:lang w:val="es-MX"/>
        </w:rPr>
        <w:t xml:space="preserve"> a quién corresponde el informe que luce de</w:t>
      </w:r>
      <w:r w:rsidRPr="001A324F">
        <w:rPr>
          <w:b/>
          <w:bCs/>
          <w:lang w:val="es-MX"/>
        </w:rPr>
        <w:t xml:space="preserve"> </w:t>
      </w:r>
      <w:r w:rsidRPr="001A324F">
        <w:rPr>
          <w:lang w:val="es-MX"/>
        </w:rPr>
        <w:t xml:space="preserve">Fs. 4481 vto. a Fs. 4488 de los obrados remitidos, en tanto se indica que se trata de informe de la Comisión Asesora, pero no luce firma de quienes suscriben dicho recaudo, ni se identifica a sus integrantes, y la  fecha de creación de dicho documento;  </w:t>
      </w:r>
    </w:p>
    <w:p w:rsidR="00910F55" w:rsidRPr="001A324F" w:rsidRDefault="00910F55" w:rsidP="001A324F">
      <w:pPr>
        <w:spacing w:line="360" w:lineRule="auto"/>
        <w:jc w:val="both"/>
        <w:rPr>
          <w:lang w:val="es-MX"/>
        </w:rPr>
      </w:pPr>
      <w:r w:rsidRPr="001A324F">
        <w:rPr>
          <w:b/>
          <w:bCs/>
          <w:lang w:val="es-MX"/>
        </w:rPr>
        <w:t xml:space="preserve">14.1.5) </w:t>
      </w:r>
      <w:r w:rsidRPr="001A324F">
        <w:rPr>
          <w:lang w:val="es-MX"/>
        </w:rPr>
        <w:t xml:space="preserve">a quién corresponde el informe que luce </w:t>
      </w:r>
      <w:r w:rsidR="00813101">
        <w:rPr>
          <w:lang w:val="es-MX"/>
        </w:rPr>
        <w:t>a</w:t>
      </w:r>
      <w:r w:rsidRPr="001A324F">
        <w:rPr>
          <w:b/>
          <w:bCs/>
          <w:lang w:val="es-MX"/>
        </w:rPr>
        <w:t xml:space="preserve"> </w:t>
      </w:r>
      <w:r w:rsidRPr="001A324F">
        <w:rPr>
          <w:lang w:val="es-MX"/>
        </w:rPr>
        <w:t xml:space="preserve">Fs. 4509 de los obrados remitidos, y en qué fecha se realizó el mismo; </w:t>
      </w:r>
    </w:p>
    <w:p w:rsidR="00910F55" w:rsidRPr="001A324F" w:rsidRDefault="00910F55" w:rsidP="001A324F">
      <w:pPr>
        <w:spacing w:line="360" w:lineRule="auto"/>
        <w:jc w:val="both"/>
        <w:rPr>
          <w:lang w:val="es-MX"/>
        </w:rPr>
      </w:pPr>
      <w:r w:rsidRPr="001A324F">
        <w:rPr>
          <w:b/>
          <w:bCs/>
          <w:lang w:val="es-MX"/>
        </w:rPr>
        <w:t>14.1.6)</w:t>
      </w:r>
      <w:r w:rsidRPr="001A324F">
        <w:rPr>
          <w:lang w:val="es-MX"/>
        </w:rPr>
        <w:t xml:space="preserve"> de qué forma se efectúa el armado del expediente; </w:t>
      </w:r>
    </w:p>
    <w:p w:rsidR="00910F55" w:rsidRPr="001A324F" w:rsidRDefault="00910F55" w:rsidP="001A324F">
      <w:pPr>
        <w:spacing w:line="360" w:lineRule="auto"/>
        <w:jc w:val="both"/>
        <w:rPr>
          <w:lang w:val="es-MX"/>
        </w:rPr>
      </w:pPr>
      <w:r w:rsidRPr="001A324F">
        <w:rPr>
          <w:b/>
          <w:bCs/>
          <w:lang w:val="es-MX"/>
        </w:rPr>
        <w:t>14.1.7)</w:t>
      </w:r>
      <w:r w:rsidRPr="001A324F">
        <w:rPr>
          <w:lang w:val="es-MX"/>
        </w:rPr>
        <w:t xml:space="preserve"> si se realizó  en el caso el control del estado de los oferentes y su documentación, en el Registro Único de Proveedores del Estado; </w:t>
      </w:r>
    </w:p>
    <w:p w:rsidR="006A054A" w:rsidRDefault="00910F55" w:rsidP="001A324F">
      <w:pPr>
        <w:spacing w:line="360" w:lineRule="auto"/>
        <w:jc w:val="both"/>
        <w:rPr>
          <w:lang w:val="es-MX"/>
        </w:rPr>
      </w:pPr>
      <w:r w:rsidRPr="001A324F">
        <w:rPr>
          <w:b/>
          <w:bCs/>
          <w:lang w:val="es-MX"/>
        </w:rPr>
        <w:lastRenderedPageBreak/>
        <w:t xml:space="preserve">14.2.- </w:t>
      </w:r>
      <w:r w:rsidRPr="001A324F">
        <w:rPr>
          <w:u w:val="single"/>
          <w:lang w:val="es-MX"/>
        </w:rPr>
        <w:t>remitiera</w:t>
      </w:r>
      <w:r w:rsidRPr="001A324F">
        <w:rPr>
          <w:lang w:val="es-MX"/>
        </w:rPr>
        <w:t>:</w:t>
      </w:r>
      <w:r w:rsidRPr="001A324F">
        <w:rPr>
          <w:b/>
          <w:bCs/>
          <w:lang w:val="es-MX"/>
        </w:rPr>
        <w:t xml:space="preserve"> </w:t>
      </w:r>
      <w:r w:rsidRPr="001A324F">
        <w:rPr>
          <w:lang w:val="es-MX"/>
        </w:rPr>
        <w:t>Carta de Servicio Nº 4625/2015, por la que la Comisión Asesora requirió informe técnico al Arquitecto Fernando Waltier;</w:t>
      </w:r>
    </w:p>
    <w:p w:rsidR="00910F55" w:rsidRPr="001A324F" w:rsidRDefault="00910F55" w:rsidP="006A054A">
      <w:pPr>
        <w:spacing w:line="360" w:lineRule="auto"/>
        <w:ind w:firstLine="2835"/>
        <w:jc w:val="both"/>
        <w:rPr>
          <w:lang w:val="es-MX"/>
        </w:rPr>
      </w:pPr>
      <w:r w:rsidRPr="001A324F">
        <w:rPr>
          <w:b/>
          <w:bCs/>
          <w:lang w:val="es-MX"/>
        </w:rPr>
        <w:t>15)</w:t>
      </w:r>
      <w:r w:rsidRPr="001A324F">
        <w:rPr>
          <w:lang w:val="es-MX"/>
        </w:rPr>
        <w:t xml:space="preserve"> que la Administración remite los siguientes obrados:</w:t>
      </w:r>
    </w:p>
    <w:p w:rsidR="00910F55" w:rsidRPr="001A324F" w:rsidRDefault="009D0E13" w:rsidP="006A054A">
      <w:pPr>
        <w:pStyle w:val="Prrafodelista"/>
        <w:numPr>
          <w:ilvl w:val="1"/>
          <w:numId w:val="3"/>
        </w:numPr>
        <w:spacing w:line="360" w:lineRule="auto"/>
        <w:ind w:left="0" w:firstLine="0"/>
        <w:jc w:val="both"/>
        <w:rPr>
          <w:lang w:val="es-MX"/>
        </w:rPr>
      </w:pPr>
      <w:r>
        <w:rPr>
          <w:lang w:val="es-MX"/>
        </w:rPr>
        <w:t>A</w:t>
      </w:r>
      <w:r w:rsidR="00910F55" w:rsidRPr="001A324F">
        <w:rPr>
          <w:lang w:val="es-MX"/>
        </w:rPr>
        <w:t xml:space="preserve">cta  de la Comisión Asesora; </w:t>
      </w:r>
    </w:p>
    <w:p w:rsidR="00910F55" w:rsidRPr="001A324F" w:rsidRDefault="00910F55" w:rsidP="001A324F">
      <w:pPr>
        <w:spacing w:line="360" w:lineRule="auto"/>
        <w:jc w:val="both"/>
        <w:rPr>
          <w:lang w:val="es-MX"/>
        </w:rPr>
      </w:pPr>
      <w:r w:rsidRPr="001A324F">
        <w:rPr>
          <w:b/>
          <w:bCs/>
          <w:lang w:val="es-MX"/>
        </w:rPr>
        <w:t>15.2)</w:t>
      </w:r>
      <w:r w:rsidRPr="001A324F">
        <w:rPr>
          <w:lang w:val="es-MX"/>
        </w:rPr>
        <w:t xml:space="preserve"> comunicación cursada el 4/8/15 por la C</w:t>
      </w:r>
      <w:r w:rsidR="006A054A">
        <w:rPr>
          <w:lang w:val="es-MX"/>
        </w:rPr>
        <w:t>ontadora</w:t>
      </w:r>
      <w:r w:rsidRPr="001A324F">
        <w:rPr>
          <w:lang w:val="es-MX"/>
        </w:rPr>
        <w:t xml:space="preserve"> Susana Astor, con destino al Área de Infraestructuras, en la que indica que la Comisión Asesora solicita que se designe al técnico o técnicos que considere,  para integrar la Comisión Asesora para el estudio de las ofertas recibidas. Se solicita que notifique al funcionario que sea designado, comunicándole que tiene a su disposición un juego completo de ofertas coordinando el retiro de las mismas a la Unidad Licitaciones, indicándole que deberá expedirse en el menor plazo posible; </w:t>
      </w:r>
    </w:p>
    <w:p w:rsidR="00910F55" w:rsidRPr="001A324F" w:rsidRDefault="00910F55" w:rsidP="001A324F">
      <w:pPr>
        <w:spacing w:line="360" w:lineRule="auto"/>
        <w:jc w:val="both"/>
        <w:rPr>
          <w:lang w:val="es-MX"/>
        </w:rPr>
      </w:pPr>
      <w:r w:rsidRPr="001A324F">
        <w:rPr>
          <w:b/>
          <w:bCs/>
          <w:lang w:val="es-MX"/>
        </w:rPr>
        <w:t>15.3)</w:t>
      </w:r>
      <w:r w:rsidRPr="001A324F">
        <w:rPr>
          <w:lang w:val="es-MX"/>
        </w:rPr>
        <w:t xml:space="preserve"> Resolución Nº 75/3.760 del 10/2/15 por la que el Directorio dispuso aprobar el Pliego de Condiciones que regiría el llamado</w:t>
      </w:r>
      <w:r w:rsidR="006A054A">
        <w:rPr>
          <w:lang w:val="es-MX"/>
        </w:rPr>
        <w:t>;</w:t>
      </w:r>
    </w:p>
    <w:p w:rsidR="00910F55" w:rsidRPr="001A324F" w:rsidRDefault="00910F55" w:rsidP="001A324F">
      <w:pPr>
        <w:spacing w:line="360" w:lineRule="auto"/>
        <w:jc w:val="both"/>
        <w:rPr>
          <w:lang w:val="es-MX"/>
        </w:rPr>
      </w:pPr>
      <w:r w:rsidRPr="001A324F">
        <w:rPr>
          <w:b/>
          <w:bCs/>
          <w:lang w:val="es-MX"/>
        </w:rPr>
        <w:t>15.4)</w:t>
      </w:r>
      <w:r w:rsidRPr="001A324F">
        <w:rPr>
          <w:lang w:val="es-MX"/>
        </w:rPr>
        <w:t xml:space="preserve"> copia de recaudos obrantes en el expediente, donde se deja constancia del recibo por parte de la Administración, de documentación presentada por varios oferentes;</w:t>
      </w:r>
    </w:p>
    <w:p w:rsidR="00910F55" w:rsidRPr="001A324F" w:rsidRDefault="00910F55" w:rsidP="006A054A">
      <w:pPr>
        <w:spacing w:line="360" w:lineRule="auto"/>
        <w:ind w:firstLine="2835"/>
        <w:jc w:val="both"/>
        <w:rPr>
          <w:b/>
          <w:bCs/>
          <w:i/>
          <w:iCs/>
          <w:u w:val="single"/>
          <w:lang w:val="es-MX"/>
        </w:rPr>
      </w:pPr>
      <w:r w:rsidRPr="001A324F">
        <w:rPr>
          <w:b/>
          <w:bCs/>
          <w:lang w:val="es-MX"/>
        </w:rPr>
        <w:t>16)</w:t>
      </w:r>
      <w:r w:rsidRPr="001A324F">
        <w:rPr>
          <w:lang w:val="es-MX"/>
        </w:rPr>
        <w:t xml:space="preserve"> que con fecha 3/8/16, la Unidad de Licitaciones realizó informe, expresando que:</w:t>
      </w:r>
    </w:p>
    <w:p w:rsidR="00910F55" w:rsidRPr="001A324F" w:rsidRDefault="00910F55" w:rsidP="001A324F">
      <w:pPr>
        <w:spacing w:line="360" w:lineRule="auto"/>
        <w:jc w:val="both"/>
        <w:rPr>
          <w:lang w:val="es-MX"/>
        </w:rPr>
      </w:pPr>
      <w:r w:rsidRPr="001A324F">
        <w:rPr>
          <w:b/>
          <w:bCs/>
          <w:lang w:val="es-MX"/>
        </w:rPr>
        <w:t>16.1)</w:t>
      </w:r>
      <w:r w:rsidRPr="001A324F">
        <w:rPr>
          <w:lang w:val="es-MX"/>
        </w:rPr>
        <w:t xml:space="preserve"> el </w:t>
      </w:r>
      <w:r w:rsidR="009D0E13">
        <w:rPr>
          <w:lang w:val="es-MX"/>
        </w:rPr>
        <w:t>A</w:t>
      </w:r>
      <w:r w:rsidRPr="001A324F">
        <w:rPr>
          <w:lang w:val="es-MX"/>
        </w:rPr>
        <w:t xml:space="preserve">cto </w:t>
      </w:r>
      <w:r w:rsidR="009D0E13">
        <w:rPr>
          <w:lang w:val="es-MX"/>
        </w:rPr>
        <w:t>A</w:t>
      </w:r>
      <w:r w:rsidRPr="001A324F">
        <w:rPr>
          <w:lang w:val="es-MX"/>
        </w:rPr>
        <w:t>dministrativo que dispuso el llamado inicialmente fue el 75/3.760 del 10/2/15, y quien lo dictó fue el Directorio</w:t>
      </w:r>
      <w:r w:rsidR="006A054A">
        <w:rPr>
          <w:lang w:val="es-MX"/>
        </w:rPr>
        <w:t>;</w:t>
      </w:r>
    </w:p>
    <w:p w:rsidR="00910F55" w:rsidRPr="001A324F" w:rsidRDefault="00910F55" w:rsidP="001A324F">
      <w:pPr>
        <w:spacing w:line="360" w:lineRule="auto"/>
        <w:jc w:val="both"/>
        <w:rPr>
          <w:lang w:val="es-MX"/>
        </w:rPr>
      </w:pPr>
      <w:r w:rsidRPr="001A324F">
        <w:rPr>
          <w:b/>
          <w:bCs/>
          <w:lang w:val="es-MX"/>
        </w:rPr>
        <w:t>16.2)</w:t>
      </w:r>
      <w:r w:rsidRPr="001A324F">
        <w:rPr>
          <w:lang w:val="es-MX"/>
        </w:rPr>
        <w:t xml:space="preserve"> respecto de quién dicta habitualmente los </w:t>
      </w:r>
      <w:r w:rsidR="009D0E13">
        <w:rPr>
          <w:lang w:val="es-MX"/>
        </w:rPr>
        <w:t>A</w:t>
      </w:r>
      <w:r w:rsidRPr="001A324F">
        <w:rPr>
          <w:lang w:val="es-MX"/>
        </w:rPr>
        <w:t xml:space="preserve">ctos </w:t>
      </w:r>
      <w:r w:rsidR="009D0E13">
        <w:rPr>
          <w:lang w:val="es-MX"/>
        </w:rPr>
        <w:t>A</w:t>
      </w:r>
      <w:r w:rsidRPr="001A324F">
        <w:rPr>
          <w:lang w:val="es-MX"/>
        </w:rPr>
        <w:t>dministrativos por los que se disponen los llamados, se informa  que:</w:t>
      </w:r>
    </w:p>
    <w:p w:rsidR="00910F55" w:rsidRPr="001A324F" w:rsidRDefault="00910F55" w:rsidP="001A324F">
      <w:pPr>
        <w:spacing w:line="360" w:lineRule="auto"/>
        <w:jc w:val="both"/>
        <w:rPr>
          <w:lang w:val="es-MX"/>
        </w:rPr>
      </w:pPr>
      <w:r w:rsidRPr="001A324F">
        <w:rPr>
          <w:lang w:val="es-MX"/>
        </w:rPr>
        <w:t xml:space="preserve">    - en el procedimiento de licitación pública: el Directorio </w:t>
      </w:r>
    </w:p>
    <w:p w:rsidR="00910F55" w:rsidRPr="001A324F" w:rsidRDefault="00910F55" w:rsidP="001A324F">
      <w:pPr>
        <w:spacing w:line="360" w:lineRule="auto"/>
        <w:jc w:val="both"/>
        <w:rPr>
          <w:lang w:val="es-MX"/>
        </w:rPr>
      </w:pPr>
      <w:r w:rsidRPr="001A324F">
        <w:rPr>
          <w:lang w:val="es-MX"/>
        </w:rPr>
        <w:t xml:space="preserve">    - en el procedimiento de licitación abreviada: el Directorio o la Gerencia General; </w:t>
      </w:r>
    </w:p>
    <w:p w:rsidR="00910F55" w:rsidRPr="001A324F" w:rsidRDefault="00910F55" w:rsidP="001A324F">
      <w:pPr>
        <w:spacing w:line="360" w:lineRule="auto"/>
        <w:jc w:val="both"/>
        <w:rPr>
          <w:lang w:val="es-MX"/>
        </w:rPr>
      </w:pPr>
      <w:r w:rsidRPr="001A324F">
        <w:rPr>
          <w:b/>
          <w:bCs/>
          <w:lang w:val="es-MX"/>
        </w:rPr>
        <w:lastRenderedPageBreak/>
        <w:t>16.3)</w:t>
      </w:r>
      <w:r w:rsidRPr="001A324F">
        <w:rPr>
          <w:lang w:val="es-MX"/>
        </w:rPr>
        <w:t xml:space="preserve"> en relación a  la consulta formulada en respecto  a si se ejerció la facultad conferida en el </w:t>
      </w:r>
      <w:r w:rsidR="009D0E13">
        <w:rPr>
          <w:lang w:val="es-MX"/>
        </w:rPr>
        <w:t>A</w:t>
      </w:r>
      <w:r w:rsidRPr="001A324F">
        <w:rPr>
          <w:lang w:val="es-MX"/>
        </w:rPr>
        <w:t>rt</w:t>
      </w:r>
      <w:r w:rsidR="009D0E13">
        <w:rPr>
          <w:lang w:val="es-MX"/>
        </w:rPr>
        <w:t>ículo</w:t>
      </w:r>
      <w:r w:rsidRPr="001A324F">
        <w:rPr>
          <w:lang w:val="es-MX"/>
        </w:rPr>
        <w:t xml:space="preserve"> 65 del T.O.C.A.F., se indica que se anexa </w:t>
      </w:r>
      <w:r w:rsidR="009D0E13">
        <w:rPr>
          <w:lang w:val="es-MX"/>
        </w:rPr>
        <w:t>A</w:t>
      </w:r>
      <w:r w:rsidRPr="001A324F">
        <w:rPr>
          <w:lang w:val="es-MX"/>
        </w:rPr>
        <w:t xml:space="preserve">cta de </w:t>
      </w:r>
      <w:r w:rsidR="009D0E13">
        <w:rPr>
          <w:lang w:val="es-MX"/>
        </w:rPr>
        <w:t>A</w:t>
      </w:r>
      <w:r w:rsidRPr="001A324F">
        <w:rPr>
          <w:lang w:val="es-MX"/>
        </w:rPr>
        <w:t xml:space="preserve">pertura de ofertas y constancia de recibos de documentación; </w:t>
      </w:r>
    </w:p>
    <w:p w:rsidR="00910F55" w:rsidRPr="001A324F" w:rsidRDefault="00910F55" w:rsidP="001A324F">
      <w:pPr>
        <w:spacing w:line="360" w:lineRule="auto"/>
        <w:jc w:val="both"/>
        <w:rPr>
          <w:lang w:val="es-MX"/>
        </w:rPr>
      </w:pPr>
      <w:r w:rsidRPr="001A324F">
        <w:rPr>
          <w:b/>
          <w:bCs/>
          <w:lang w:val="es-MX"/>
        </w:rPr>
        <w:t>16.4)</w:t>
      </w:r>
      <w:r w:rsidRPr="001A324F">
        <w:rPr>
          <w:lang w:val="es-MX"/>
        </w:rPr>
        <w:t xml:space="preserve"> en cuanto a de qué forma se realiza el armado del expediente, se efectúa de acuerdo a lo dispuesto por adaptación del Decreto del Poder Ejecutivo Nº 500/991, aprobada por Resolución de Directorio Nº 589/3.478; </w:t>
      </w:r>
    </w:p>
    <w:p w:rsidR="00910F55" w:rsidRPr="001A324F" w:rsidRDefault="00910F55" w:rsidP="001A324F">
      <w:pPr>
        <w:spacing w:line="360" w:lineRule="auto"/>
        <w:jc w:val="both"/>
        <w:rPr>
          <w:lang w:val="es-MX"/>
        </w:rPr>
      </w:pPr>
      <w:r w:rsidRPr="001A324F">
        <w:rPr>
          <w:b/>
          <w:bCs/>
          <w:lang w:val="es-MX"/>
        </w:rPr>
        <w:t>16.5)</w:t>
      </w:r>
      <w:r w:rsidRPr="001A324F">
        <w:rPr>
          <w:lang w:val="es-MX"/>
        </w:rPr>
        <w:t xml:space="preserve"> se efectuó el control del estado de los oferentes y su documentación en el Registro Único de Proveedores del Estado, vigente al momento de la apertura de ofertas, constando en acta de apertura de ofertas;</w:t>
      </w:r>
    </w:p>
    <w:p w:rsidR="00910F55" w:rsidRPr="001A324F" w:rsidRDefault="00910F55" w:rsidP="001A324F">
      <w:pPr>
        <w:spacing w:line="360" w:lineRule="auto"/>
        <w:jc w:val="both"/>
        <w:rPr>
          <w:lang w:val="es-MX"/>
        </w:rPr>
      </w:pPr>
      <w:r w:rsidRPr="001A324F">
        <w:rPr>
          <w:b/>
          <w:bCs/>
          <w:lang w:val="es-MX"/>
        </w:rPr>
        <w:t>16.6)</w:t>
      </w:r>
      <w:r w:rsidRPr="001A324F">
        <w:rPr>
          <w:lang w:val="es-MX"/>
        </w:rPr>
        <w:t xml:space="preserve"> se remite la carta de Servicio Nº 4625/2015 solicitada;</w:t>
      </w:r>
    </w:p>
    <w:p w:rsidR="00910F55" w:rsidRPr="001A324F" w:rsidRDefault="00910F55" w:rsidP="006A054A">
      <w:pPr>
        <w:spacing w:line="360" w:lineRule="auto"/>
        <w:ind w:firstLine="2835"/>
        <w:jc w:val="both"/>
        <w:rPr>
          <w:lang w:val="es-MX"/>
        </w:rPr>
      </w:pPr>
      <w:r w:rsidRPr="001A324F">
        <w:rPr>
          <w:lang w:val="es-MX"/>
        </w:rPr>
        <w:t xml:space="preserve"> </w:t>
      </w:r>
      <w:r w:rsidRPr="001A324F">
        <w:rPr>
          <w:b/>
          <w:bCs/>
          <w:lang w:val="es-MX"/>
        </w:rPr>
        <w:t>17)</w:t>
      </w:r>
      <w:r w:rsidRPr="001A324F">
        <w:rPr>
          <w:lang w:val="es-MX"/>
        </w:rPr>
        <w:t xml:space="preserve"> que la Secretaria General, el 12/8/16, confirió pase a la Comisión Asesora de Adjudicaciones, a efectos de que se sirva agregar nuevamente su informe. Se indica que, cumplido, deberá seguir al Área Infraestructura para que agregue nuevamente el informe anexado a su actuación, debidamente firmado;</w:t>
      </w:r>
    </w:p>
    <w:p w:rsidR="00910F55" w:rsidRPr="001A324F" w:rsidRDefault="00910F55" w:rsidP="006A054A">
      <w:pPr>
        <w:spacing w:line="360" w:lineRule="auto"/>
        <w:ind w:firstLine="2835"/>
        <w:jc w:val="both"/>
        <w:rPr>
          <w:lang w:val="es-MX"/>
        </w:rPr>
      </w:pPr>
      <w:r w:rsidRPr="001A324F">
        <w:rPr>
          <w:b/>
          <w:bCs/>
          <w:lang w:val="es-MX"/>
        </w:rPr>
        <w:t>18)</w:t>
      </w:r>
      <w:r w:rsidRPr="001A324F">
        <w:rPr>
          <w:lang w:val="es-MX"/>
        </w:rPr>
        <w:t xml:space="preserve"> que se incluyó en el expediente electrónico, el informe de la Comisión Asesora de fecha 29/4/16, </w:t>
      </w:r>
      <w:r w:rsidR="009D0E13" w:rsidRPr="001A324F">
        <w:rPr>
          <w:lang w:val="es-MX"/>
        </w:rPr>
        <w:t>firmada</w:t>
      </w:r>
      <w:r w:rsidRPr="001A324F">
        <w:rPr>
          <w:lang w:val="es-MX"/>
        </w:rPr>
        <w:t xml:space="preserve">  y escanead</w:t>
      </w:r>
      <w:r w:rsidR="009D0E13">
        <w:rPr>
          <w:lang w:val="es-MX"/>
        </w:rPr>
        <w:t>a</w:t>
      </w:r>
      <w:r w:rsidRPr="001A324F">
        <w:rPr>
          <w:lang w:val="es-MX"/>
        </w:rPr>
        <w:t xml:space="preserve">, así como el informe del Arq. Fernando </w:t>
      </w:r>
      <w:proofErr w:type="spellStart"/>
      <w:r w:rsidRPr="001A324F">
        <w:rPr>
          <w:lang w:val="es-MX"/>
        </w:rPr>
        <w:t>Waltier</w:t>
      </w:r>
      <w:proofErr w:type="spellEnd"/>
      <w:r w:rsidRPr="001A324F">
        <w:rPr>
          <w:lang w:val="es-MX"/>
        </w:rPr>
        <w:t>;</w:t>
      </w:r>
    </w:p>
    <w:p w:rsidR="00910F55" w:rsidRPr="001A324F" w:rsidRDefault="00910F55" w:rsidP="006A054A">
      <w:pPr>
        <w:tabs>
          <w:tab w:val="left" w:pos="3119"/>
        </w:tabs>
        <w:spacing w:line="360" w:lineRule="auto"/>
        <w:ind w:firstLine="851"/>
        <w:jc w:val="both"/>
        <w:rPr>
          <w:lang w:val="es-MX"/>
        </w:rPr>
      </w:pPr>
      <w:r w:rsidRPr="001A324F">
        <w:rPr>
          <w:b/>
          <w:bCs/>
          <w:lang w:val="es-MX"/>
        </w:rPr>
        <w:t xml:space="preserve">CONSIDERANDO: 1) </w:t>
      </w:r>
      <w:r w:rsidRPr="001A324F">
        <w:rPr>
          <w:lang w:val="es-MX"/>
        </w:rPr>
        <w:t>que si bien el Directorio aprobó el Pliego de Condiciones Particulares con fecha 10/2/15 (Resultando 1), el acto administrativo que dispuso el llamado se dictó recién el 15/7/15 (Resultando 3), posteriormente a la publicación de la convocatoria y dos días antes que se llevara adelante la apertura de ofertas;</w:t>
      </w:r>
    </w:p>
    <w:p w:rsidR="00910F55" w:rsidRPr="001A324F" w:rsidRDefault="00910F55" w:rsidP="006A054A">
      <w:pPr>
        <w:tabs>
          <w:tab w:val="left" w:pos="3261"/>
        </w:tabs>
        <w:spacing w:line="360" w:lineRule="auto"/>
        <w:ind w:firstLine="3119"/>
        <w:jc w:val="both"/>
        <w:rPr>
          <w:lang w:val="es-MX"/>
        </w:rPr>
      </w:pPr>
      <w:r w:rsidRPr="001A324F">
        <w:rPr>
          <w:b/>
          <w:bCs/>
          <w:lang w:val="es-MX"/>
        </w:rPr>
        <w:t>2)</w:t>
      </w:r>
      <w:r w:rsidRPr="001A324F">
        <w:rPr>
          <w:lang w:val="es-MX"/>
        </w:rPr>
        <w:t xml:space="preserve"> que la etapa esencial de todo procedimiento competitivo de contratación debe comenzar con un </w:t>
      </w:r>
      <w:r w:rsidR="009D0E13">
        <w:rPr>
          <w:lang w:val="es-MX"/>
        </w:rPr>
        <w:t>A</w:t>
      </w:r>
      <w:r w:rsidRPr="001A324F">
        <w:rPr>
          <w:lang w:val="es-MX"/>
        </w:rPr>
        <w:t xml:space="preserve">cto </w:t>
      </w:r>
      <w:r w:rsidR="009D0E13">
        <w:rPr>
          <w:lang w:val="es-MX"/>
        </w:rPr>
        <w:t>A</w:t>
      </w:r>
      <w:r w:rsidRPr="001A324F">
        <w:rPr>
          <w:lang w:val="es-MX"/>
        </w:rPr>
        <w:t xml:space="preserve">dministrativo que así lo disponga, manifestando la voluntad de la Administración en ese sentido, aspecto al que no se dio cabal cumplimiento en la especie, dado que únicamente se </w:t>
      </w:r>
      <w:r w:rsidRPr="001A324F">
        <w:rPr>
          <w:lang w:val="es-MX"/>
        </w:rPr>
        <w:lastRenderedPageBreak/>
        <w:t xml:space="preserve">aprobaron los Pliegos pero no se dictó la Resolución por Ordenador </w:t>
      </w:r>
      <w:r w:rsidR="009D0E13" w:rsidRPr="001A324F">
        <w:rPr>
          <w:lang w:val="es-MX"/>
        </w:rPr>
        <w:t>competente,</w:t>
      </w:r>
      <w:r w:rsidRPr="001A324F">
        <w:rPr>
          <w:lang w:val="es-MX"/>
        </w:rPr>
        <w:t xml:space="preserve"> en el momento pertinente;   </w:t>
      </w:r>
    </w:p>
    <w:p w:rsidR="00910F55" w:rsidRPr="001A324F" w:rsidRDefault="00910F55" w:rsidP="006A054A">
      <w:pPr>
        <w:spacing w:line="360" w:lineRule="auto"/>
        <w:ind w:firstLine="3119"/>
        <w:jc w:val="both"/>
        <w:rPr>
          <w:lang w:val="es-MX"/>
        </w:rPr>
      </w:pPr>
      <w:r w:rsidRPr="001A324F">
        <w:rPr>
          <w:b/>
          <w:bCs/>
          <w:lang w:val="es-MX"/>
        </w:rPr>
        <w:t xml:space="preserve">3) </w:t>
      </w:r>
      <w:r w:rsidRPr="001A324F">
        <w:rPr>
          <w:lang w:val="es-MX"/>
        </w:rPr>
        <w:t xml:space="preserve">que el </w:t>
      </w:r>
      <w:r w:rsidR="009D0E13">
        <w:rPr>
          <w:lang w:val="es-MX"/>
        </w:rPr>
        <w:t>A</w:t>
      </w:r>
      <w:r w:rsidRPr="001A324F">
        <w:rPr>
          <w:lang w:val="es-MX"/>
        </w:rPr>
        <w:t>rt</w:t>
      </w:r>
      <w:r w:rsidR="009D0E13">
        <w:rPr>
          <w:lang w:val="es-MX"/>
        </w:rPr>
        <w:t>ículo</w:t>
      </w:r>
      <w:r w:rsidRPr="001A324F">
        <w:rPr>
          <w:lang w:val="es-MX"/>
        </w:rPr>
        <w:t xml:space="preserve"> 28 del Pliego de Condiciones Particulares que rigió el llamado, establece que la oferta debía contener ciertos elementos, entre los que requirió el certificado notarial que acredite la personería jurídica, y la representación invocada por los firmantes de las ofertas, así como la constancia expedida por el Banco de Seguros del Estado respecto del Seguro de Accidentes de Trabajo y Enfermedades Profesionales (</w:t>
      </w:r>
      <w:r w:rsidR="00DB5020">
        <w:rPr>
          <w:lang w:val="es-MX"/>
        </w:rPr>
        <w:t>A</w:t>
      </w:r>
      <w:r w:rsidRPr="001A324F">
        <w:rPr>
          <w:lang w:val="es-MX"/>
        </w:rPr>
        <w:t>rt</w:t>
      </w:r>
      <w:r w:rsidR="00DB5020">
        <w:rPr>
          <w:lang w:val="es-MX"/>
        </w:rPr>
        <w:t>ículo</w:t>
      </w:r>
      <w:r w:rsidRPr="001A324F">
        <w:rPr>
          <w:lang w:val="es-MX"/>
        </w:rPr>
        <w:t xml:space="preserve"> 61 de la Ley 16.074), y  el recaudo de estar inscripto en el Registro Único de Proveedores del Estado;</w:t>
      </w:r>
    </w:p>
    <w:p w:rsidR="00910F55" w:rsidRPr="001A324F" w:rsidRDefault="00910F55" w:rsidP="006A054A">
      <w:pPr>
        <w:spacing w:line="360" w:lineRule="auto"/>
        <w:ind w:firstLine="3119"/>
        <w:jc w:val="both"/>
        <w:rPr>
          <w:lang w:val="es-MX"/>
        </w:rPr>
      </w:pPr>
      <w:r w:rsidRPr="001A324F">
        <w:rPr>
          <w:b/>
          <w:bCs/>
          <w:lang w:val="es-MX"/>
        </w:rPr>
        <w:t>4)</w:t>
      </w:r>
      <w:r w:rsidRPr="001A324F">
        <w:rPr>
          <w:lang w:val="es-MX"/>
        </w:rPr>
        <w:t xml:space="preserve"> que el requerimiento de presentación de los  recaudos referidos precedentemente, vulnera lo establecido por</w:t>
      </w:r>
      <w:r w:rsidRPr="001A324F">
        <w:rPr>
          <w:lang w:val="es-UY"/>
        </w:rPr>
        <w:t xml:space="preserve"> </w:t>
      </w:r>
      <w:r w:rsidRPr="001A324F">
        <w:rPr>
          <w:lang w:val="es-MX"/>
        </w:rPr>
        <w:t xml:space="preserve">el </w:t>
      </w:r>
      <w:r w:rsidR="00DB5020">
        <w:rPr>
          <w:lang w:val="es-MX"/>
        </w:rPr>
        <w:t>A</w:t>
      </w:r>
      <w:r w:rsidRPr="001A324F">
        <w:rPr>
          <w:lang w:val="es-MX"/>
        </w:rPr>
        <w:t>rt</w:t>
      </w:r>
      <w:r w:rsidR="00DB5020">
        <w:rPr>
          <w:lang w:val="es-MX"/>
        </w:rPr>
        <w:t>ículo</w:t>
      </w:r>
      <w:r w:rsidRPr="001A324F">
        <w:rPr>
          <w:lang w:val="es-MX"/>
        </w:rPr>
        <w:t xml:space="preserve"> 48 del T.O.C.A.F. (en redacción otorgada al momento del procedimiento), en tanto dicha norma impedía exigir requisitos formales de contratar a los oferentes, siendo que los  mismos se encuentran incluidos en el Registro Único de Proveedores del Estado;</w:t>
      </w:r>
    </w:p>
    <w:p w:rsidR="00105EE6" w:rsidRDefault="00910F55" w:rsidP="00105EE6">
      <w:pPr>
        <w:spacing w:line="360" w:lineRule="auto"/>
        <w:ind w:firstLine="3119"/>
        <w:jc w:val="both"/>
        <w:rPr>
          <w:lang w:val="es-MX"/>
        </w:rPr>
      </w:pPr>
      <w:r w:rsidRPr="001A324F">
        <w:rPr>
          <w:b/>
          <w:bCs/>
          <w:lang w:val="es-MX"/>
        </w:rPr>
        <w:t>5)</w:t>
      </w:r>
      <w:r w:rsidRPr="001A324F">
        <w:rPr>
          <w:lang w:val="es-MX"/>
        </w:rPr>
        <w:t xml:space="preserve"> que al respecto, es menester tener presente que posteriormente, se estableció en el </w:t>
      </w:r>
      <w:r w:rsidR="00DB5020">
        <w:rPr>
          <w:lang w:val="es-MX"/>
        </w:rPr>
        <w:t>A</w:t>
      </w:r>
      <w:r w:rsidRPr="001A324F">
        <w:rPr>
          <w:lang w:val="es-MX"/>
        </w:rPr>
        <w:t>rt</w:t>
      </w:r>
      <w:r w:rsidR="00DB5020">
        <w:rPr>
          <w:lang w:val="es-MX"/>
        </w:rPr>
        <w:t>ículo</w:t>
      </w:r>
      <w:r w:rsidRPr="001A324F">
        <w:rPr>
          <w:lang w:val="es-MX"/>
        </w:rPr>
        <w:t xml:space="preserve"> 10 </w:t>
      </w:r>
      <w:r w:rsidR="00DB5020">
        <w:rPr>
          <w:lang w:val="es-MX"/>
        </w:rPr>
        <w:t>I</w:t>
      </w:r>
      <w:r w:rsidRPr="001A324F">
        <w:rPr>
          <w:lang w:val="es-MX"/>
        </w:rPr>
        <w:t>nc</w:t>
      </w:r>
      <w:r w:rsidR="00DB5020">
        <w:rPr>
          <w:lang w:val="es-MX"/>
        </w:rPr>
        <w:t>iso</w:t>
      </w:r>
      <w:r w:rsidRPr="001A324F">
        <w:rPr>
          <w:lang w:val="es-MX"/>
        </w:rPr>
        <w:t xml:space="preserve"> 2 del Pliego Único de Bases y Condiciones Generales para los Contratos de Obra Pública, aprobado por Decreto Nº 257/015, que </w:t>
      </w:r>
      <w:r w:rsidRPr="001A324F">
        <w:rPr>
          <w:i/>
          <w:iCs/>
          <w:lang w:val="es-MX"/>
        </w:rPr>
        <w:t xml:space="preserve">“el Pliego Particular no podrá exigir documentación a la que se pueda acceder a través del RUPE o de cualquier sistema de información de libre acceso…” </w:t>
      </w:r>
      <w:r w:rsidRPr="001A324F">
        <w:rPr>
          <w:lang w:val="es-MX"/>
        </w:rPr>
        <w:t>En virtud de lo indicado,</w:t>
      </w:r>
      <w:r w:rsidRPr="001A324F">
        <w:rPr>
          <w:i/>
          <w:iCs/>
          <w:lang w:val="es-MX"/>
        </w:rPr>
        <w:t xml:space="preserve"> </w:t>
      </w:r>
      <w:r w:rsidRPr="001A324F">
        <w:rPr>
          <w:lang w:val="es-MX"/>
        </w:rPr>
        <w:t xml:space="preserve">la  Administración tendrá que considerar en lo sucesivo, que en la actualidad los recaudos referidos </w:t>
      </w:r>
      <w:r w:rsidRPr="001A324F">
        <w:rPr>
          <w:lang w:val="es-UY"/>
        </w:rPr>
        <w:t>se registran en RUPE, por lo que la Administración no se encuentra en condiciones de exigir su presentación presencialmente con la oferta;</w:t>
      </w:r>
    </w:p>
    <w:p w:rsidR="00910F55" w:rsidRPr="001A324F" w:rsidRDefault="00910F55" w:rsidP="00105EE6">
      <w:pPr>
        <w:spacing w:line="360" w:lineRule="auto"/>
        <w:ind w:firstLine="3119"/>
        <w:jc w:val="both"/>
        <w:rPr>
          <w:lang w:val="es-MX"/>
        </w:rPr>
      </w:pPr>
      <w:r w:rsidRPr="001A324F">
        <w:rPr>
          <w:b/>
          <w:bCs/>
          <w:lang w:val="es-MX"/>
        </w:rPr>
        <w:t>6)</w:t>
      </w:r>
      <w:r w:rsidRPr="001A324F">
        <w:rPr>
          <w:lang w:val="es-MX"/>
        </w:rPr>
        <w:t xml:space="preserve">  que el procedimiento para subsanar carencia</w:t>
      </w:r>
      <w:r w:rsidR="00DB5020">
        <w:rPr>
          <w:lang w:val="es-MX"/>
        </w:rPr>
        <w:t>s</w:t>
      </w:r>
      <w:r w:rsidRPr="001A324F">
        <w:rPr>
          <w:lang w:val="es-MX"/>
        </w:rPr>
        <w:t xml:space="preserve"> formales o errores evidentes con posterioridad al </w:t>
      </w:r>
      <w:r w:rsidR="00DB5020">
        <w:rPr>
          <w:lang w:val="es-MX"/>
        </w:rPr>
        <w:t>A</w:t>
      </w:r>
      <w:r w:rsidRPr="001A324F">
        <w:rPr>
          <w:lang w:val="es-MX"/>
        </w:rPr>
        <w:t xml:space="preserve">cto de </w:t>
      </w:r>
      <w:r w:rsidR="00DB5020">
        <w:rPr>
          <w:lang w:val="es-MX"/>
        </w:rPr>
        <w:t>A</w:t>
      </w:r>
      <w:r w:rsidRPr="001A324F">
        <w:rPr>
          <w:lang w:val="es-MX"/>
        </w:rPr>
        <w:t xml:space="preserve">pertura de ofertas, de </w:t>
      </w:r>
      <w:r w:rsidRPr="001A324F">
        <w:rPr>
          <w:lang w:val="es-MX"/>
        </w:rPr>
        <w:lastRenderedPageBreak/>
        <w:t xml:space="preserve">acuerdo al </w:t>
      </w:r>
      <w:r w:rsidR="00DB5020">
        <w:rPr>
          <w:lang w:val="es-MX"/>
        </w:rPr>
        <w:t>A</w:t>
      </w:r>
      <w:r w:rsidRPr="001A324F">
        <w:rPr>
          <w:lang w:val="es-MX"/>
        </w:rPr>
        <w:t xml:space="preserve">rtículo 65 del TOCAF está previsto solo a instancia de la propia Administración, siendo además facultativo de esta; </w:t>
      </w:r>
    </w:p>
    <w:p w:rsidR="00910F55" w:rsidRPr="001A324F" w:rsidRDefault="00910F55" w:rsidP="00105EE6">
      <w:pPr>
        <w:spacing w:line="360" w:lineRule="auto"/>
        <w:ind w:firstLine="3119"/>
        <w:jc w:val="both"/>
        <w:rPr>
          <w:lang w:val="es-MX"/>
        </w:rPr>
      </w:pPr>
      <w:r w:rsidRPr="001A324F">
        <w:rPr>
          <w:b/>
          <w:bCs/>
          <w:lang w:val="es-MX"/>
        </w:rPr>
        <w:t xml:space="preserve">7) </w:t>
      </w:r>
      <w:r w:rsidRPr="001A324F">
        <w:rPr>
          <w:lang w:val="es-MX"/>
        </w:rPr>
        <w:t xml:space="preserve">que en este caso, la Administración no hizo uso de la referida facultad, sino que las mismas empresas, por su cuenta, subsanaron su omisión, incorporando constancias de voto y timbres notariales que faltaban, (Resultando 5); </w:t>
      </w:r>
    </w:p>
    <w:p w:rsidR="00910F55" w:rsidRPr="001A324F" w:rsidRDefault="00910F55" w:rsidP="00225A02">
      <w:pPr>
        <w:tabs>
          <w:tab w:val="left" w:pos="3119"/>
        </w:tabs>
        <w:spacing w:line="360" w:lineRule="auto"/>
        <w:jc w:val="both"/>
        <w:rPr>
          <w:lang w:val="es-MX"/>
        </w:rPr>
      </w:pPr>
      <w:r w:rsidRPr="001A324F">
        <w:rPr>
          <w:b/>
          <w:bCs/>
          <w:lang w:val="es-MX"/>
        </w:rPr>
        <w:t xml:space="preserve">                                               8) </w:t>
      </w:r>
      <w:r w:rsidRPr="001A324F">
        <w:rPr>
          <w:lang w:val="es-MX"/>
        </w:rPr>
        <w:t xml:space="preserve">que en aplicación de los principios de flexibilidad, materialismo frente al formalismo y ausencia del ritualismo, en favor del administrado, consagrados en el </w:t>
      </w:r>
      <w:r w:rsidR="00DB5020">
        <w:rPr>
          <w:lang w:val="es-MX"/>
        </w:rPr>
        <w:t>A</w:t>
      </w:r>
      <w:r w:rsidRPr="001A324F">
        <w:rPr>
          <w:lang w:val="es-MX"/>
        </w:rPr>
        <w:t xml:space="preserve">rtículo 149 del TOCAF, se entiende que no resulta objetable que la Administración haya aceptado la documentación complementaria presentada con posterioridad, en tanto la misma no modifica  la oferta original y su omisión no constituía un apartamiento sustancial; </w:t>
      </w:r>
    </w:p>
    <w:p w:rsidR="00225A02" w:rsidRDefault="00910F55" w:rsidP="00225A02">
      <w:pPr>
        <w:spacing w:line="360" w:lineRule="auto"/>
        <w:ind w:firstLine="3119"/>
        <w:jc w:val="both"/>
        <w:rPr>
          <w:lang w:val="es-ES_tradnl"/>
        </w:rPr>
      </w:pPr>
      <w:r w:rsidRPr="001A324F">
        <w:rPr>
          <w:b/>
          <w:bCs/>
          <w:lang w:val="es-MX"/>
        </w:rPr>
        <w:t xml:space="preserve"> 9) </w:t>
      </w:r>
      <w:r w:rsidRPr="001A324F">
        <w:rPr>
          <w:lang w:val="es-MX"/>
        </w:rPr>
        <w:t xml:space="preserve">que la Comisión Asesora realizó el análisis de admisibilidad de las ofertas, concluyendo que todos los oferentes cumplieron con los documentos necesarios, con excepción de </w:t>
      </w:r>
      <w:proofErr w:type="spellStart"/>
      <w:r w:rsidRPr="001A324F">
        <w:rPr>
          <w:lang w:val="es-MX"/>
        </w:rPr>
        <w:t>Tenocyl</w:t>
      </w:r>
      <w:proofErr w:type="spellEnd"/>
      <w:r w:rsidRPr="001A324F">
        <w:rPr>
          <w:lang w:val="es-MX"/>
        </w:rPr>
        <w:t xml:space="preserve"> – </w:t>
      </w:r>
      <w:proofErr w:type="spellStart"/>
      <w:r w:rsidRPr="001A324F">
        <w:rPr>
          <w:lang w:val="es-MX"/>
        </w:rPr>
        <w:t>Gotta</w:t>
      </w:r>
      <w:proofErr w:type="spellEnd"/>
      <w:r w:rsidRPr="001A324F">
        <w:rPr>
          <w:lang w:val="es-MX"/>
        </w:rPr>
        <w:t xml:space="preserve"> e </w:t>
      </w:r>
      <w:r w:rsidR="00C96700" w:rsidRPr="001A324F">
        <w:rPr>
          <w:lang w:val="es-MX"/>
        </w:rPr>
        <w:t>Ingeniería</w:t>
      </w:r>
      <w:bookmarkStart w:id="0" w:name="_GoBack"/>
      <w:bookmarkEnd w:id="0"/>
      <w:r w:rsidRPr="001A324F">
        <w:rPr>
          <w:lang w:val="es-MX"/>
        </w:rPr>
        <w:t xml:space="preserve"> Pacífico S.A. (Resultando 7) </w:t>
      </w:r>
      <w:r w:rsidRPr="00DB5020">
        <w:rPr>
          <w:b/>
          <w:lang w:val="es-MX"/>
        </w:rPr>
        <w:t>a)</w:t>
      </w:r>
      <w:r w:rsidRPr="001A324F">
        <w:rPr>
          <w:lang w:val="es-MX"/>
        </w:rPr>
        <w:t xml:space="preserve">) sin perjuicio de lo cual,  en la etapa posterior de comparación de las ofertas, se incluyó su oferta, a pesar de haber resultado inadmisible; </w:t>
      </w:r>
    </w:p>
    <w:p w:rsidR="00225A02" w:rsidRDefault="00910F55" w:rsidP="00225A02">
      <w:pPr>
        <w:spacing w:line="360" w:lineRule="auto"/>
        <w:ind w:firstLine="3119"/>
        <w:jc w:val="both"/>
      </w:pPr>
      <w:r w:rsidRPr="001A324F">
        <w:rPr>
          <w:b/>
          <w:bCs/>
          <w:lang w:val="es-MX"/>
        </w:rPr>
        <w:t xml:space="preserve">10) </w:t>
      </w:r>
      <w:r w:rsidRPr="001A324F">
        <w:rPr>
          <w:lang w:val="es-MX"/>
        </w:rPr>
        <w:t xml:space="preserve">que el </w:t>
      </w:r>
      <w:r w:rsidR="00DB5020">
        <w:rPr>
          <w:lang w:val="es-MX"/>
        </w:rPr>
        <w:t>A</w:t>
      </w:r>
      <w:r w:rsidRPr="001A324F">
        <w:rPr>
          <w:lang w:val="es-MX"/>
        </w:rPr>
        <w:t>rt</w:t>
      </w:r>
      <w:r w:rsidR="00DB5020">
        <w:rPr>
          <w:lang w:val="es-MX"/>
        </w:rPr>
        <w:t>ículo</w:t>
      </w:r>
      <w:r w:rsidRPr="001A324F">
        <w:rPr>
          <w:lang w:val="es-MX"/>
        </w:rPr>
        <w:t xml:space="preserve"> 66 del T.O.C.A.F. establece que s</w:t>
      </w:r>
      <w:r w:rsidRPr="001A324F">
        <w:t xml:space="preserve">erán cometidos de las Comisiones Asesoras </w:t>
      </w:r>
      <w:r w:rsidRPr="001A324F">
        <w:rPr>
          <w:i/>
          <w:iCs/>
        </w:rPr>
        <w:t xml:space="preserve">“informar fundadamente acerca de la admisibilidad y conveniencia de las ofertas…”, </w:t>
      </w:r>
      <w:r w:rsidRPr="001A324F">
        <w:t xml:space="preserve">siendo que el </w:t>
      </w:r>
      <w:r w:rsidR="00DB5020">
        <w:t>Artículo</w:t>
      </w:r>
      <w:r w:rsidRPr="001A324F">
        <w:t xml:space="preserve"> 65 </w:t>
      </w:r>
      <w:r w:rsidR="00DB5020">
        <w:t>L</w:t>
      </w:r>
      <w:r w:rsidRPr="001A324F">
        <w:t>it</w:t>
      </w:r>
      <w:r w:rsidR="00DB5020">
        <w:t>eral</w:t>
      </w:r>
      <w:r w:rsidRPr="001A324F">
        <w:t xml:space="preserve"> C) del mismo cuerpo normativo, prevé que se deberán juzgar los antecedentes de los oferentes y el contenido de las ofertas en base a los criterios objetivos q</w:t>
      </w:r>
      <w:r w:rsidR="00225A02">
        <w:t>ue se determinen en los Pliegos</w:t>
      </w:r>
    </w:p>
    <w:p w:rsidR="00225A02" w:rsidRDefault="00910F55" w:rsidP="00225A02">
      <w:pPr>
        <w:spacing w:line="360" w:lineRule="auto"/>
        <w:ind w:firstLine="3119"/>
        <w:jc w:val="both"/>
        <w:rPr>
          <w:lang w:val="es-ES_tradnl"/>
        </w:rPr>
      </w:pPr>
      <w:r w:rsidRPr="001A324F">
        <w:rPr>
          <w:b/>
          <w:bCs/>
          <w:lang w:val="es-MX"/>
        </w:rPr>
        <w:t xml:space="preserve">11) </w:t>
      </w:r>
      <w:r w:rsidRPr="001A324F">
        <w:rPr>
          <w:lang w:val="es-MX"/>
        </w:rPr>
        <w:t>que e</w:t>
      </w:r>
      <w:r w:rsidRPr="001A324F">
        <w:t xml:space="preserve">l análisis de admisibilidad de las propuestas implica analizar la regularidad jurídica de cada oferta presentada, con apego al principio de legalidad, siendo que únicamente aquellas propuestas que sean </w:t>
      </w:r>
      <w:r w:rsidRPr="001A324F">
        <w:lastRenderedPageBreak/>
        <w:t xml:space="preserve">calificadas como admisibles, deben ser consideradas en la segunda etapa de comparación, por lo que,  en la especie, al haberse incluido propuestas inadmisibles, </w:t>
      </w:r>
      <w:r w:rsidRPr="001A324F">
        <w:rPr>
          <w:lang w:val="es-MX"/>
        </w:rPr>
        <w:t>no se dio cumplimiento al orden de las instancias referidas (admisibilidad y comparación), contraviniendo lo dispuesto por el Art</w:t>
      </w:r>
      <w:r w:rsidR="00DB5020">
        <w:rPr>
          <w:lang w:val="es-MX"/>
        </w:rPr>
        <w:t>ículo</w:t>
      </w:r>
      <w:r w:rsidRPr="001A324F">
        <w:rPr>
          <w:lang w:val="es-MX"/>
        </w:rPr>
        <w:t xml:space="preserve"> 66 del T.O.C.A.F.;    </w:t>
      </w:r>
    </w:p>
    <w:p w:rsidR="00225A02" w:rsidRDefault="00910F55" w:rsidP="00225A02">
      <w:pPr>
        <w:spacing w:line="360" w:lineRule="auto"/>
        <w:ind w:firstLine="3119"/>
        <w:jc w:val="both"/>
        <w:rPr>
          <w:lang w:val="es-ES_tradnl"/>
        </w:rPr>
      </w:pPr>
      <w:r w:rsidRPr="001A324F">
        <w:rPr>
          <w:b/>
          <w:bCs/>
          <w:lang w:val="es-MX"/>
        </w:rPr>
        <w:t xml:space="preserve">12) </w:t>
      </w:r>
      <w:r w:rsidRPr="001A324F">
        <w:rPr>
          <w:lang w:val="es-MX"/>
        </w:rPr>
        <w:t xml:space="preserve">que el expediente fue remitido a este Tribunal,  conteniendo varios recaudos que no se encontraban fechados,  ni se identificaba a sus autores, como ser el dictamen de la Comisión Asesora, y el informe del Arq. Fernando </w:t>
      </w:r>
      <w:proofErr w:type="spellStart"/>
      <w:r w:rsidRPr="001A324F">
        <w:rPr>
          <w:lang w:val="es-MX"/>
        </w:rPr>
        <w:t>Waltier</w:t>
      </w:r>
      <w:proofErr w:type="spellEnd"/>
      <w:r w:rsidRPr="001A324F">
        <w:rPr>
          <w:lang w:val="es-MX"/>
        </w:rPr>
        <w:t>., por lo que dicho proceder  contraviene lo establecido por el Art</w:t>
      </w:r>
      <w:r w:rsidR="00DB5020">
        <w:rPr>
          <w:lang w:val="es-MX"/>
        </w:rPr>
        <w:t>ículo</w:t>
      </w:r>
      <w:r w:rsidRPr="001A324F">
        <w:rPr>
          <w:lang w:val="es-MX"/>
        </w:rPr>
        <w:t xml:space="preserve"> 68 del Reglamento de procedimiento administrativo vigente en el Organismo (adoptado por Resolución de Directorio Nº 589/3.478), por el cual los funcionarios deben suscribir sus actuaciones con su firma, consignando su nombre, apellido y cargo, previéndose en el art. 69 la firma digital a esos efectos;</w:t>
      </w:r>
    </w:p>
    <w:p w:rsidR="00910F55" w:rsidRPr="001A324F" w:rsidRDefault="00910F55" w:rsidP="00225A02">
      <w:pPr>
        <w:spacing w:line="360" w:lineRule="auto"/>
        <w:ind w:firstLine="3119"/>
        <w:jc w:val="both"/>
        <w:rPr>
          <w:lang w:val="es-ES_tradnl"/>
        </w:rPr>
      </w:pPr>
      <w:r w:rsidRPr="001A324F">
        <w:rPr>
          <w:b/>
          <w:bCs/>
          <w:lang w:val="es-MX"/>
        </w:rPr>
        <w:t>13)</w:t>
      </w:r>
      <w:r w:rsidRPr="001A324F">
        <w:rPr>
          <w:lang w:val="es-MX"/>
        </w:rPr>
        <w:t xml:space="preserve"> que por otra parte, no se dio cumplimiento a lo establecido en el </w:t>
      </w:r>
      <w:r w:rsidR="00C96700">
        <w:rPr>
          <w:lang w:val="es-MX"/>
        </w:rPr>
        <w:t>A</w:t>
      </w:r>
      <w:r w:rsidR="00C96700" w:rsidRPr="001A324F">
        <w:rPr>
          <w:lang w:val="es-MX"/>
        </w:rPr>
        <w:t>rt</w:t>
      </w:r>
      <w:r w:rsidR="00C96700">
        <w:rPr>
          <w:lang w:val="es-MX"/>
        </w:rPr>
        <w:t>iculo</w:t>
      </w:r>
      <w:r w:rsidRPr="001A324F">
        <w:rPr>
          <w:lang w:val="es-MX"/>
        </w:rPr>
        <w:t xml:space="preserve"> 35 del Reglamento de Procedimiento Administrativo de referencia, en tanto dicha norma exige que los expedientes se formen siguiendo el </w:t>
      </w:r>
      <w:r w:rsidR="001A324F" w:rsidRPr="001A324F">
        <w:rPr>
          <w:lang w:val="es-ES_tradnl" w:eastAsia="es-ES_tradnl"/>
        </w:rPr>
        <w:t>ordenamiento</w:t>
      </w:r>
      <w:r w:rsidRPr="001A324F">
        <w:rPr>
          <w:lang w:val="es-ES_tradnl" w:eastAsia="es-ES_tradnl"/>
        </w:rPr>
        <w:t xml:space="preserve"> regular de los documentos que lo integran, en forma sucesiva y por orden de fechas, siendo que existen recaudos dispersos en los presentes obrados; </w:t>
      </w:r>
    </w:p>
    <w:p w:rsidR="00910F55" w:rsidRPr="001A324F" w:rsidRDefault="00910F55" w:rsidP="001A324F">
      <w:pPr>
        <w:spacing w:line="360" w:lineRule="auto"/>
        <w:ind w:firstLine="851"/>
        <w:jc w:val="both"/>
      </w:pPr>
      <w:r w:rsidRPr="001A324F">
        <w:rPr>
          <w:b/>
          <w:bCs/>
        </w:rPr>
        <w:t xml:space="preserve">ATENTO: </w:t>
      </w:r>
      <w:r w:rsidRPr="001A324F">
        <w:t xml:space="preserve">a lo expuesto precedentemente y a lo dispuesto en el </w:t>
      </w:r>
      <w:r w:rsidR="00DB5020">
        <w:t>A</w:t>
      </w:r>
      <w:r w:rsidRPr="001A324F">
        <w:t xml:space="preserve">rtículo 211 </w:t>
      </w:r>
      <w:r w:rsidR="00DB5020">
        <w:t>L</w:t>
      </w:r>
      <w:r w:rsidRPr="001A324F">
        <w:t>iteral B) de la Constitución de la República;</w:t>
      </w:r>
    </w:p>
    <w:p w:rsidR="00910F55" w:rsidRPr="001A324F" w:rsidRDefault="00910F55" w:rsidP="001A324F">
      <w:pPr>
        <w:keepNext/>
        <w:spacing w:line="360" w:lineRule="auto"/>
        <w:jc w:val="center"/>
        <w:outlineLvl w:val="2"/>
        <w:rPr>
          <w:b/>
          <w:bCs/>
          <w:lang w:val="es-MX"/>
        </w:rPr>
      </w:pPr>
      <w:r w:rsidRPr="001A324F">
        <w:rPr>
          <w:b/>
          <w:bCs/>
          <w:lang w:val="es-MX"/>
        </w:rPr>
        <w:t>EL TRIBUNAL ACUERDA</w:t>
      </w:r>
    </w:p>
    <w:p w:rsidR="00910F55" w:rsidRPr="001A324F" w:rsidRDefault="00910F55" w:rsidP="001A324F">
      <w:pPr>
        <w:numPr>
          <w:ilvl w:val="0"/>
          <w:numId w:val="1"/>
        </w:numPr>
        <w:tabs>
          <w:tab w:val="clear" w:pos="720"/>
          <w:tab w:val="num" w:pos="284"/>
        </w:tabs>
        <w:spacing w:line="360" w:lineRule="auto"/>
        <w:ind w:left="0" w:firstLine="0"/>
        <w:jc w:val="both"/>
        <w:rPr>
          <w:lang w:val="es-MX"/>
        </w:rPr>
      </w:pPr>
      <w:r w:rsidRPr="001A324F">
        <w:rPr>
          <w:lang w:val="es-MX"/>
        </w:rPr>
        <w:t>Observar el gasto por lo expresado en los Considerandos   4) , 11)  y  12)</w:t>
      </w:r>
      <w:r w:rsidR="001A324F">
        <w:rPr>
          <w:lang w:val="es-MX"/>
        </w:rPr>
        <w:t>;</w:t>
      </w:r>
    </w:p>
    <w:p w:rsidR="00910F55" w:rsidRPr="001A324F" w:rsidRDefault="00910F55" w:rsidP="001A324F">
      <w:pPr>
        <w:numPr>
          <w:ilvl w:val="0"/>
          <w:numId w:val="1"/>
        </w:numPr>
        <w:tabs>
          <w:tab w:val="clear" w:pos="720"/>
          <w:tab w:val="num" w:pos="284"/>
        </w:tabs>
        <w:spacing w:line="360" w:lineRule="auto"/>
        <w:ind w:left="0" w:firstLine="0"/>
        <w:jc w:val="both"/>
        <w:rPr>
          <w:lang w:val="es-MX"/>
        </w:rPr>
      </w:pPr>
      <w:r w:rsidRPr="001A324F">
        <w:rPr>
          <w:lang w:val="es-MX"/>
        </w:rPr>
        <w:t xml:space="preserve">Téngase presente lo señalado en los  Considerandos </w:t>
      </w:r>
      <w:r w:rsidR="001A324F">
        <w:rPr>
          <w:lang w:val="es-MX"/>
        </w:rPr>
        <w:t xml:space="preserve"> 2), </w:t>
      </w:r>
      <w:r w:rsidRPr="001A324F">
        <w:rPr>
          <w:lang w:val="es-MX"/>
        </w:rPr>
        <w:t>5</w:t>
      </w:r>
      <w:r w:rsidR="001A324F">
        <w:rPr>
          <w:lang w:val="es-MX"/>
        </w:rPr>
        <w:t>)</w:t>
      </w:r>
      <w:r w:rsidRPr="001A324F">
        <w:rPr>
          <w:lang w:val="es-MX"/>
        </w:rPr>
        <w:t>, 6) y 13)</w:t>
      </w:r>
      <w:r w:rsidR="001A324F">
        <w:rPr>
          <w:lang w:val="es-MX"/>
        </w:rPr>
        <w:t>;</w:t>
      </w:r>
      <w:r w:rsidRPr="001A324F">
        <w:rPr>
          <w:lang w:val="es-MX"/>
        </w:rPr>
        <w:t xml:space="preserve"> </w:t>
      </w:r>
    </w:p>
    <w:p w:rsidR="00554507" w:rsidRDefault="00910F55" w:rsidP="00554507">
      <w:pPr>
        <w:numPr>
          <w:ilvl w:val="0"/>
          <w:numId w:val="1"/>
        </w:numPr>
        <w:tabs>
          <w:tab w:val="clear" w:pos="720"/>
          <w:tab w:val="num" w:pos="284"/>
        </w:tabs>
        <w:spacing w:line="360" w:lineRule="auto"/>
        <w:ind w:left="0" w:firstLine="0"/>
        <w:jc w:val="both"/>
        <w:rPr>
          <w:lang w:val="es-MX"/>
        </w:rPr>
      </w:pPr>
      <w:r w:rsidRPr="001A324F">
        <w:rPr>
          <w:lang w:val="es-MX"/>
        </w:rPr>
        <w:t>Devolver las actuaciones.</w:t>
      </w:r>
    </w:p>
    <w:p w:rsidR="00910F55" w:rsidRPr="00554507" w:rsidRDefault="001A324F" w:rsidP="00554507">
      <w:pPr>
        <w:spacing w:line="360" w:lineRule="auto"/>
        <w:jc w:val="both"/>
        <w:rPr>
          <w:lang w:val="es-MX"/>
        </w:rPr>
      </w:pPr>
      <w:proofErr w:type="spellStart"/>
      <w:proofErr w:type="gramStart"/>
      <w:r w:rsidRPr="00554507">
        <w:rPr>
          <w:bCs/>
          <w:iCs/>
        </w:rPr>
        <w:t>bf</w:t>
      </w:r>
      <w:proofErr w:type="spellEnd"/>
      <w:proofErr w:type="gramEnd"/>
    </w:p>
    <w:p w:rsidR="00910F55" w:rsidRDefault="00910F55">
      <w:pPr>
        <w:rPr>
          <w:rFonts w:ascii="Times New Roman" w:hAnsi="Times New Roman" w:cs="Times New Roman"/>
        </w:rPr>
      </w:pPr>
    </w:p>
    <w:sectPr w:rsidR="00910F55" w:rsidSect="00DB5020">
      <w:footerReference w:type="default" r:id="rId8"/>
      <w:pgSz w:w="12240" w:h="15840" w:code="1"/>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E13" w:rsidRDefault="009D0E13">
      <w:pPr>
        <w:rPr>
          <w:rFonts w:ascii="Times New Roman" w:hAnsi="Times New Roman" w:cs="Times New Roman"/>
        </w:rPr>
      </w:pPr>
      <w:r>
        <w:rPr>
          <w:rFonts w:ascii="Times New Roman" w:hAnsi="Times New Roman" w:cs="Times New Roman"/>
        </w:rPr>
        <w:separator/>
      </w:r>
    </w:p>
  </w:endnote>
  <w:endnote w:type="continuationSeparator" w:id="0">
    <w:p w:rsidR="009D0E13" w:rsidRDefault="009D0E13">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E13" w:rsidRDefault="009D0E13">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96700">
      <w:rPr>
        <w:rStyle w:val="Nmerodepgina"/>
        <w:noProof/>
      </w:rPr>
      <w:t>1</w:t>
    </w:r>
    <w:r>
      <w:rPr>
        <w:rStyle w:val="Nmerodepgina"/>
      </w:rPr>
      <w:fldChar w:fldCharType="end"/>
    </w:r>
  </w:p>
  <w:p w:rsidR="009D0E13" w:rsidRDefault="009D0E13">
    <w:pPr>
      <w:pStyle w:val="Piedepgina"/>
      <w:rPr>
        <w:rFonts w:ascii="Times New Roman" w:hAnsi="Times New Roman" w:cs="Times New Roman"/>
        <w:effect w:val="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E13" w:rsidRDefault="009D0E13">
      <w:pPr>
        <w:rPr>
          <w:rFonts w:ascii="Times New Roman" w:hAnsi="Times New Roman" w:cs="Times New Roman"/>
        </w:rPr>
      </w:pPr>
      <w:r>
        <w:rPr>
          <w:rFonts w:ascii="Times New Roman" w:hAnsi="Times New Roman" w:cs="Times New Roman"/>
        </w:rPr>
        <w:separator/>
      </w:r>
    </w:p>
  </w:footnote>
  <w:footnote w:type="continuationSeparator" w:id="0">
    <w:p w:rsidR="009D0E13" w:rsidRDefault="009D0E13">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6BB1"/>
    <w:multiLevelType w:val="hybridMultilevel"/>
    <w:tmpl w:val="73980A80"/>
    <w:lvl w:ilvl="0" w:tplc="30ACBD2C">
      <w:start w:val="1"/>
      <w:numFmt w:val="decimal"/>
      <w:lvlText w:val="%1)"/>
      <w:lvlJc w:val="left"/>
      <w:pPr>
        <w:tabs>
          <w:tab w:val="num" w:pos="720"/>
        </w:tabs>
        <w:ind w:left="720" w:hanging="360"/>
      </w:pPr>
      <w:rPr>
        <w:rFonts w:ascii="Arial" w:hAnsi="Arial" w:cs="Arial" w:hint="default"/>
        <w:b/>
        <w:bCs/>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BD16011"/>
    <w:multiLevelType w:val="multilevel"/>
    <w:tmpl w:val="C4403ECE"/>
    <w:lvl w:ilvl="0">
      <w:start w:val="16"/>
      <w:numFmt w:val="decimal"/>
      <w:lvlText w:val="%1."/>
      <w:lvlJc w:val="left"/>
      <w:pPr>
        <w:ind w:left="540" w:hanging="54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bCs/>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
    <w:nsid w:val="3F6F586C"/>
    <w:multiLevelType w:val="multilevel"/>
    <w:tmpl w:val="38B4BB3A"/>
    <w:lvl w:ilvl="0">
      <w:start w:val="15"/>
      <w:numFmt w:val="decimal"/>
      <w:lvlText w:val="%1."/>
      <w:lvlJc w:val="left"/>
      <w:pPr>
        <w:ind w:left="540" w:hanging="540"/>
      </w:pPr>
      <w:rPr>
        <w:rFonts w:ascii="Times New Roman" w:hAnsi="Times New Roman" w:cs="Times New Roman" w:hint="default"/>
        <w:b/>
        <w:bCs/>
      </w:rPr>
    </w:lvl>
    <w:lvl w:ilvl="1">
      <w:start w:val="1"/>
      <w:numFmt w:val="decimal"/>
      <w:lvlText w:val="%1.%2)"/>
      <w:lvlJc w:val="left"/>
      <w:pPr>
        <w:ind w:left="1004" w:hanging="720"/>
      </w:pPr>
      <w:rPr>
        <w:rFonts w:ascii="Arial" w:hAnsi="Arial" w:cs="Arial" w:hint="default"/>
        <w:b/>
        <w:bCs/>
      </w:rPr>
    </w:lvl>
    <w:lvl w:ilvl="2">
      <w:start w:val="1"/>
      <w:numFmt w:val="decimal"/>
      <w:lvlText w:val="%1.%2)%3."/>
      <w:lvlJc w:val="left"/>
      <w:pPr>
        <w:ind w:left="720" w:hanging="720"/>
      </w:pPr>
      <w:rPr>
        <w:rFonts w:ascii="Times New Roman" w:hAnsi="Times New Roman" w:cs="Times New Roman" w:hint="default"/>
        <w:b/>
        <w:bCs/>
      </w:rPr>
    </w:lvl>
    <w:lvl w:ilvl="3">
      <w:start w:val="1"/>
      <w:numFmt w:val="decimal"/>
      <w:lvlText w:val="%1.%2)%3.%4."/>
      <w:lvlJc w:val="left"/>
      <w:pPr>
        <w:ind w:left="1080" w:hanging="1080"/>
      </w:pPr>
      <w:rPr>
        <w:rFonts w:ascii="Times New Roman" w:hAnsi="Times New Roman" w:cs="Times New Roman" w:hint="default"/>
        <w:b/>
        <w:bCs/>
      </w:rPr>
    </w:lvl>
    <w:lvl w:ilvl="4">
      <w:start w:val="1"/>
      <w:numFmt w:val="decimal"/>
      <w:lvlText w:val="%1.%2)%3.%4.%5."/>
      <w:lvlJc w:val="left"/>
      <w:pPr>
        <w:ind w:left="1080" w:hanging="1080"/>
      </w:pPr>
      <w:rPr>
        <w:rFonts w:ascii="Times New Roman" w:hAnsi="Times New Roman" w:cs="Times New Roman" w:hint="default"/>
        <w:b/>
        <w:bCs/>
      </w:rPr>
    </w:lvl>
    <w:lvl w:ilvl="5">
      <w:start w:val="1"/>
      <w:numFmt w:val="decimal"/>
      <w:lvlText w:val="%1.%2)%3.%4.%5.%6."/>
      <w:lvlJc w:val="left"/>
      <w:pPr>
        <w:ind w:left="1440" w:hanging="1440"/>
      </w:pPr>
      <w:rPr>
        <w:rFonts w:ascii="Times New Roman" w:hAnsi="Times New Roman" w:cs="Times New Roman" w:hint="default"/>
        <w:b/>
        <w:bCs/>
      </w:rPr>
    </w:lvl>
    <w:lvl w:ilvl="6">
      <w:start w:val="1"/>
      <w:numFmt w:val="decimal"/>
      <w:lvlText w:val="%1.%2)%3.%4.%5.%6.%7."/>
      <w:lvlJc w:val="left"/>
      <w:pPr>
        <w:ind w:left="1440" w:hanging="1440"/>
      </w:pPr>
      <w:rPr>
        <w:rFonts w:ascii="Times New Roman" w:hAnsi="Times New Roman" w:cs="Times New Roman" w:hint="default"/>
        <w:b/>
        <w:bCs/>
      </w:rPr>
    </w:lvl>
    <w:lvl w:ilvl="7">
      <w:start w:val="1"/>
      <w:numFmt w:val="decimal"/>
      <w:lvlText w:val="%1.%2)%3.%4.%5.%6.%7.%8."/>
      <w:lvlJc w:val="left"/>
      <w:pPr>
        <w:ind w:left="1800" w:hanging="1800"/>
      </w:pPr>
      <w:rPr>
        <w:rFonts w:ascii="Times New Roman" w:hAnsi="Times New Roman" w:cs="Times New Roman" w:hint="default"/>
        <w:b/>
        <w:bCs/>
      </w:rPr>
    </w:lvl>
    <w:lvl w:ilvl="8">
      <w:start w:val="1"/>
      <w:numFmt w:val="decimal"/>
      <w:lvlText w:val="%1.%2)%3.%4.%5.%6.%7.%8.%9."/>
      <w:lvlJc w:val="left"/>
      <w:pPr>
        <w:ind w:left="2160" w:hanging="2160"/>
      </w:pPr>
      <w:rPr>
        <w:rFonts w:ascii="Times New Roman" w:hAnsi="Times New Roman" w:cs="Times New Roman" w:hint="default"/>
        <w:b/>
        <w:bC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F55"/>
    <w:rsid w:val="00057D14"/>
    <w:rsid w:val="000C55F1"/>
    <w:rsid w:val="00105EE6"/>
    <w:rsid w:val="001A324F"/>
    <w:rsid w:val="0020489B"/>
    <w:rsid w:val="00225A02"/>
    <w:rsid w:val="00554507"/>
    <w:rsid w:val="006A054A"/>
    <w:rsid w:val="00795CA1"/>
    <w:rsid w:val="00813101"/>
    <w:rsid w:val="00910F55"/>
    <w:rsid w:val="009D0E13"/>
    <w:rsid w:val="00B453D5"/>
    <w:rsid w:val="00C96700"/>
    <w:rsid w:val="00DB5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2">
    <w:name w:val="heading 2"/>
    <w:basedOn w:val="Normal"/>
    <w:next w:val="Normal"/>
    <w:link w:val="Ttulo2Car"/>
    <w:uiPriority w:val="99"/>
    <w:qFormat/>
    <w:pPr>
      <w:keepNext/>
      <w:spacing w:line="360" w:lineRule="auto"/>
      <w:jc w:val="center"/>
      <w:outlineLvl w:val="1"/>
    </w:pPr>
    <w:rPr>
      <w:i/>
      <w:iCs/>
      <w:sz w:val="20"/>
      <w:szCs w:val="20"/>
    </w:rPr>
  </w:style>
  <w:style w:type="paragraph" w:styleId="Ttulo3">
    <w:name w:val="heading 3"/>
    <w:basedOn w:val="Normal"/>
    <w:next w:val="Normal"/>
    <w:link w:val="Ttulo3Car"/>
    <w:uiPriority w:val="99"/>
    <w:qFormat/>
    <w:pPr>
      <w:keepNext/>
      <w:spacing w:line="360" w:lineRule="auto"/>
      <w:jc w:val="both"/>
      <w:outlineLvl w:val="2"/>
    </w:pPr>
    <w:rPr>
      <w:i/>
      <w:iCs/>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Pr>
      <w:rFonts w:ascii="Arial" w:hAnsi="Arial" w:cs="Arial"/>
      <w:i/>
      <w:iCs/>
      <w:sz w:val="24"/>
      <w:szCs w:val="24"/>
      <w:lang w:eastAsia="es-ES"/>
    </w:rPr>
  </w:style>
  <w:style w:type="character" w:customStyle="1" w:styleId="Ttulo3Car">
    <w:name w:val="Título 3 Car"/>
    <w:basedOn w:val="Fuentedeprrafopredeter"/>
    <w:link w:val="Ttulo3"/>
    <w:uiPriority w:val="99"/>
    <w:rPr>
      <w:rFonts w:ascii="Arial" w:hAnsi="Arial" w:cs="Arial"/>
      <w:i/>
      <w:iCs/>
      <w:sz w:val="24"/>
      <w:szCs w:val="24"/>
      <w:lang w:val="es-MX" w:eastAsia="es-ES"/>
    </w:rPr>
  </w:style>
  <w:style w:type="paragraph" w:styleId="Textoindependiente">
    <w:name w:val="Body Text"/>
    <w:basedOn w:val="Normal"/>
    <w:link w:val="TextoindependienteCar"/>
    <w:uiPriority w:val="99"/>
    <w:pPr>
      <w:spacing w:line="360" w:lineRule="auto"/>
      <w:jc w:val="both"/>
    </w:pPr>
    <w:rPr>
      <w:rFonts w:ascii="Bookman Old Style" w:hAnsi="Bookman Old Style" w:cs="Bookman Old Style"/>
    </w:rPr>
  </w:style>
  <w:style w:type="character" w:customStyle="1" w:styleId="TextoindependienteCar">
    <w:name w:val="Texto independiente Car"/>
    <w:basedOn w:val="Fuentedeprrafopredeter"/>
    <w:link w:val="Textoindependiente"/>
    <w:uiPriority w:val="99"/>
    <w:rPr>
      <w:rFonts w:ascii="Bookman Old Style" w:hAnsi="Bookman Old Style" w:cs="Bookman Old Style"/>
      <w:sz w:val="20"/>
      <w:szCs w:val="20"/>
      <w:lang w:eastAsia="es-ES"/>
    </w:rPr>
  </w:style>
  <w:style w:type="paragraph" w:styleId="Piedepgina">
    <w:name w:val="footer"/>
    <w:basedOn w:val="Normal"/>
    <w:link w:val="PiedepginaCar"/>
    <w:uiPriority w:val="99"/>
    <w:pPr>
      <w:tabs>
        <w:tab w:val="center" w:pos="4252"/>
        <w:tab w:val="right" w:pos="8504"/>
      </w:tabs>
    </w:pPr>
    <w:rPr>
      <w:rFonts w:ascii="Arial Black" w:hAnsi="Arial Black" w:cs="Arial Black"/>
      <w:effect w:val="antsRed"/>
    </w:rPr>
  </w:style>
  <w:style w:type="character" w:customStyle="1" w:styleId="PiedepginaCar">
    <w:name w:val="Pie de página Car"/>
    <w:basedOn w:val="Fuentedeprrafopredeter"/>
    <w:link w:val="Piedepgina"/>
    <w:uiPriority w:val="99"/>
    <w:rPr>
      <w:rFonts w:ascii="Arial Black" w:hAnsi="Arial Black" w:cs="Arial Black"/>
      <w:sz w:val="20"/>
      <w:szCs w:val="20"/>
      <w:effect w:val="antsRed"/>
      <w:lang w:eastAsia="es-ES"/>
    </w:rPr>
  </w:style>
  <w:style w:type="character" w:styleId="Nmerodepgina">
    <w:name w:val="page number"/>
    <w:basedOn w:val="Fuentedeprrafopredeter"/>
    <w:uiPriority w:val="99"/>
    <w:rPr>
      <w:rFonts w:ascii="Times New Roman" w:hAnsi="Times New Roman" w:cs="Times New Roman"/>
    </w:rPr>
  </w:style>
  <w:style w:type="paragraph" w:styleId="Prrafodelista">
    <w:name w:val="List Paragraph"/>
    <w:basedOn w:val="Normal"/>
    <w:uiPriority w:val="99"/>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2">
    <w:name w:val="heading 2"/>
    <w:basedOn w:val="Normal"/>
    <w:next w:val="Normal"/>
    <w:link w:val="Ttulo2Car"/>
    <w:uiPriority w:val="99"/>
    <w:qFormat/>
    <w:pPr>
      <w:keepNext/>
      <w:spacing w:line="360" w:lineRule="auto"/>
      <w:jc w:val="center"/>
      <w:outlineLvl w:val="1"/>
    </w:pPr>
    <w:rPr>
      <w:i/>
      <w:iCs/>
      <w:sz w:val="20"/>
      <w:szCs w:val="20"/>
    </w:rPr>
  </w:style>
  <w:style w:type="paragraph" w:styleId="Ttulo3">
    <w:name w:val="heading 3"/>
    <w:basedOn w:val="Normal"/>
    <w:next w:val="Normal"/>
    <w:link w:val="Ttulo3Car"/>
    <w:uiPriority w:val="99"/>
    <w:qFormat/>
    <w:pPr>
      <w:keepNext/>
      <w:spacing w:line="360" w:lineRule="auto"/>
      <w:jc w:val="both"/>
      <w:outlineLvl w:val="2"/>
    </w:pPr>
    <w:rPr>
      <w:i/>
      <w:iCs/>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Pr>
      <w:rFonts w:ascii="Arial" w:hAnsi="Arial" w:cs="Arial"/>
      <w:i/>
      <w:iCs/>
      <w:sz w:val="24"/>
      <w:szCs w:val="24"/>
      <w:lang w:eastAsia="es-ES"/>
    </w:rPr>
  </w:style>
  <w:style w:type="character" w:customStyle="1" w:styleId="Ttulo3Car">
    <w:name w:val="Título 3 Car"/>
    <w:basedOn w:val="Fuentedeprrafopredeter"/>
    <w:link w:val="Ttulo3"/>
    <w:uiPriority w:val="99"/>
    <w:rPr>
      <w:rFonts w:ascii="Arial" w:hAnsi="Arial" w:cs="Arial"/>
      <w:i/>
      <w:iCs/>
      <w:sz w:val="24"/>
      <w:szCs w:val="24"/>
      <w:lang w:val="es-MX" w:eastAsia="es-ES"/>
    </w:rPr>
  </w:style>
  <w:style w:type="paragraph" w:styleId="Textoindependiente">
    <w:name w:val="Body Text"/>
    <w:basedOn w:val="Normal"/>
    <w:link w:val="TextoindependienteCar"/>
    <w:uiPriority w:val="99"/>
    <w:pPr>
      <w:spacing w:line="360" w:lineRule="auto"/>
      <w:jc w:val="both"/>
    </w:pPr>
    <w:rPr>
      <w:rFonts w:ascii="Bookman Old Style" w:hAnsi="Bookman Old Style" w:cs="Bookman Old Style"/>
    </w:rPr>
  </w:style>
  <w:style w:type="character" w:customStyle="1" w:styleId="TextoindependienteCar">
    <w:name w:val="Texto independiente Car"/>
    <w:basedOn w:val="Fuentedeprrafopredeter"/>
    <w:link w:val="Textoindependiente"/>
    <w:uiPriority w:val="99"/>
    <w:rPr>
      <w:rFonts w:ascii="Bookman Old Style" w:hAnsi="Bookman Old Style" w:cs="Bookman Old Style"/>
      <w:sz w:val="20"/>
      <w:szCs w:val="20"/>
      <w:lang w:eastAsia="es-ES"/>
    </w:rPr>
  </w:style>
  <w:style w:type="paragraph" w:styleId="Piedepgina">
    <w:name w:val="footer"/>
    <w:basedOn w:val="Normal"/>
    <w:link w:val="PiedepginaCar"/>
    <w:uiPriority w:val="99"/>
    <w:pPr>
      <w:tabs>
        <w:tab w:val="center" w:pos="4252"/>
        <w:tab w:val="right" w:pos="8504"/>
      </w:tabs>
    </w:pPr>
    <w:rPr>
      <w:rFonts w:ascii="Arial Black" w:hAnsi="Arial Black" w:cs="Arial Black"/>
      <w:effect w:val="antsRed"/>
    </w:rPr>
  </w:style>
  <w:style w:type="character" w:customStyle="1" w:styleId="PiedepginaCar">
    <w:name w:val="Pie de página Car"/>
    <w:basedOn w:val="Fuentedeprrafopredeter"/>
    <w:link w:val="Piedepgina"/>
    <w:uiPriority w:val="99"/>
    <w:rPr>
      <w:rFonts w:ascii="Arial Black" w:hAnsi="Arial Black" w:cs="Arial Black"/>
      <w:sz w:val="20"/>
      <w:szCs w:val="20"/>
      <w:effect w:val="antsRed"/>
      <w:lang w:eastAsia="es-ES"/>
    </w:rPr>
  </w:style>
  <w:style w:type="character" w:styleId="Nmerodepgina">
    <w:name w:val="page number"/>
    <w:basedOn w:val="Fuentedeprrafopredeter"/>
    <w:uiPriority w:val="99"/>
    <w:rPr>
      <w:rFonts w:ascii="Times New Roman" w:hAnsi="Times New Roman" w:cs="Times New Roman"/>
    </w:rPr>
  </w:style>
  <w:style w:type="paragraph" w:styleId="Prrafodelista">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2593</Words>
  <Characters>13923</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CARPETA N°: 2016 – 17 – 1 - 0004484</vt:lpstr>
    </vt:vector>
  </TitlesOfParts>
  <Company>Tribunal de Cuentas</Company>
  <LinksUpToDate>false</LinksUpToDate>
  <CharactersWithSpaces>16484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 – 17 – 1 - 0004484</dc:title>
  <dc:creator>Alicia Fernandez</dc:creator>
  <cp:lastModifiedBy>Tribunal1</cp:lastModifiedBy>
  <cp:revision>2</cp:revision>
  <dcterms:created xsi:type="dcterms:W3CDTF">2016-11-07T15:36:00Z</dcterms:created>
  <dcterms:modified xsi:type="dcterms:W3CDTF">2016-11-07T15:36:00Z</dcterms:modified>
</cp:coreProperties>
</file>