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150" w:rsidRPr="00161683" w:rsidRDefault="002D1150" w:rsidP="002D1150">
      <w:pPr>
        <w:tabs>
          <w:tab w:val="center" w:pos="4253"/>
        </w:tabs>
        <w:suppressAutoHyphens/>
        <w:spacing w:after="0" w:line="240" w:lineRule="auto"/>
        <w:jc w:val="right"/>
        <w:rPr>
          <w:rFonts w:ascii="Arial" w:hAnsi="Arial" w:cs="Arial"/>
          <w:b/>
          <w:sz w:val="24"/>
          <w:szCs w:val="24"/>
          <w:lang w:val="es-ES_tradnl"/>
        </w:rPr>
      </w:pPr>
      <w:r>
        <w:rPr>
          <w:rFonts w:ascii="Arial" w:hAnsi="Arial" w:cs="Arial"/>
          <w:b/>
          <w:sz w:val="24"/>
          <w:szCs w:val="24"/>
          <w:lang w:val="es-ES_tradnl"/>
        </w:rPr>
        <w:t>RES.</w:t>
      </w:r>
      <w:r>
        <w:rPr>
          <w:rFonts w:ascii="Arial" w:hAnsi="Arial" w:cs="Arial"/>
          <w:b/>
          <w:sz w:val="24"/>
          <w:szCs w:val="24"/>
          <w:lang w:val="es-UY"/>
        </w:rPr>
        <w:t>N° 109</w:t>
      </w:r>
      <w:r>
        <w:rPr>
          <w:rFonts w:ascii="Arial" w:hAnsi="Arial" w:cs="Arial"/>
          <w:b/>
          <w:sz w:val="24"/>
          <w:szCs w:val="24"/>
          <w:lang w:val="es-ES_tradnl"/>
        </w:rPr>
        <w:t>/17</w:t>
      </w:r>
    </w:p>
    <w:p w:rsidR="002D1150" w:rsidRDefault="002D1150" w:rsidP="002D1150">
      <w:pPr>
        <w:tabs>
          <w:tab w:val="center" w:pos="4253"/>
        </w:tabs>
        <w:suppressAutoHyphens/>
        <w:spacing w:after="0" w:line="240" w:lineRule="auto"/>
        <w:jc w:val="center"/>
        <w:rPr>
          <w:rFonts w:ascii="Arial" w:hAnsi="Arial" w:cs="Arial"/>
          <w:b/>
          <w:sz w:val="24"/>
          <w:szCs w:val="24"/>
          <w:lang w:val="es-ES_tradnl"/>
        </w:rPr>
      </w:pPr>
    </w:p>
    <w:p w:rsidR="002D1150" w:rsidRPr="004746D1" w:rsidRDefault="002D1150" w:rsidP="002D1150">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RESOLUCION ADOPTADA POR EL</w:t>
      </w:r>
    </w:p>
    <w:p w:rsidR="002D1150" w:rsidRPr="004746D1" w:rsidRDefault="002D1150" w:rsidP="002D1150">
      <w:pPr>
        <w:tabs>
          <w:tab w:val="left" w:pos="-720"/>
        </w:tabs>
        <w:suppressAutoHyphens/>
        <w:spacing w:after="0" w:line="240" w:lineRule="auto"/>
        <w:jc w:val="center"/>
        <w:rPr>
          <w:rFonts w:ascii="Arial" w:hAnsi="Arial" w:cs="Arial"/>
          <w:b/>
          <w:sz w:val="24"/>
          <w:szCs w:val="24"/>
          <w:lang w:val="es-ES_tradnl"/>
        </w:rPr>
      </w:pPr>
    </w:p>
    <w:p w:rsidR="002D1150" w:rsidRPr="004746D1" w:rsidRDefault="002D1150" w:rsidP="002D1150">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TRIBUNAL DE CUENTAS</w:t>
      </w:r>
    </w:p>
    <w:p w:rsidR="002D1150" w:rsidRPr="004746D1" w:rsidRDefault="002D1150" w:rsidP="002D1150">
      <w:pPr>
        <w:tabs>
          <w:tab w:val="left" w:pos="-720"/>
        </w:tabs>
        <w:suppressAutoHyphens/>
        <w:spacing w:after="0" w:line="240" w:lineRule="auto"/>
        <w:jc w:val="center"/>
        <w:rPr>
          <w:rFonts w:ascii="Arial" w:hAnsi="Arial" w:cs="Arial"/>
          <w:b/>
          <w:sz w:val="24"/>
          <w:szCs w:val="24"/>
          <w:lang w:val="es-ES_tradnl"/>
        </w:rPr>
      </w:pPr>
    </w:p>
    <w:p w:rsidR="002D1150" w:rsidRPr="004746D1" w:rsidRDefault="002D1150" w:rsidP="002D1150">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 xml:space="preserve">EN SESION DE FECHA </w:t>
      </w:r>
      <w:r>
        <w:rPr>
          <w:rFonts w:ascii="Arial" w:hAnsi="Arial" w:cs="Arial"/>
          <w:b/>
          <w:sz w:val="24"/>
          <w:szCs w:val="24"/>
          <w:lang w:val="es-ES_tradnl"/>
        </w:rPr>
        <w:t>11 DE ENERO DE 2017</w:t>
      </w:r>
    </w:p>
    <w:p w:rsidR="002D1150" w:rsidRPr="004746D1" w:rsidRDefault="002D1150" w:rsidP="002D1150">
      <w:pPr>
        <w:tabs>
          <w:tab w:val="center" w:pos="4253"/>
        </w:tabs>
        <w:suppressAutoHyphens/>
        <w:spacing w:after="0" w:line="240" w:lineRule="auto"/>
        <w:jc w:val="center"/>
        <w:rPr>
          <w:rFonts w:ascii="Arial" w:hAnsi="Arial" w:cs="Arial"/>
          <w:b/>
          <w:sz w:val="24"/>
          <w:szCs w:val="24"/>
          <w:lang w:val="es-ES_tradnl"/>
        </w:rPr>
      </w:pPr>
    </w:p>
    <w:p w:rsidR="002D1150" w:rsidRPr="004746D1" w:rsidRDefault="002D1150" w:rsidP="002D1150">
      <w:pPr>
        <w:tabs>
          <w:tab w:val="center" w:pos="4253"/>
        </w:tabs>
        <w:suppressAutoHyphens/>
        <w:spacing w:after="0" w:line="240" w:lineRule="auto"/>
        <w:jc w:val="center"/>
        <w:rPr>
          <w:rFonts w:ascii="Arial" w:hAnsi="Arial" w:cs="Arial"/>
          <w:b/>
          <w:sz w:val="24"/>
          <w:szCs w:val="24"/>
          <w:lang w:val="es-ES_tradnl"/>
        </w:rPr>
      </w:pPr>
      <w:r>
        <w:rPr>
          <w:rFonts w:ascii="Arial" w:hAnsi="Arial" w:cs="Arial"/>
          <w:b/>
          <w:sz w:val="24"/>
          <w:szCs w:val="24"/>
          <w:lang w:val="es-ES_tradnl"/>
        </w:rPr>
        <w:t>(</w:t>
      </w:r>
      <w:proofErr w:type="spellStart"/>
      <w:r>
        <w:rPr>
          <w:rFonts w:ascii="Arial" w:hAnsi="Arial" w:cs="Arial"/>
          <w:b/>
          <w:sz w:val="24"/>
          <w:szCs w:val="24"/>
          <w:lang w:val="es-ES_tradnl"/>
        </w:rPr>
        <w:t>E.E.Nº</w:t>
      </w:r>
      <w:proofErr w:type="spellEnd"/>
      <w:r>
        <w:rPr>
          <w:rFonts w:ascii="Arial" w:hAnsi="Arial" w:cs="Arial"/>
          <w:b/>
          <w:sz w:val="24"/>
          <w:szCs w:val="24"/>
          <w:lang w:val="es-ES_tradnl"/>
        </w:rPr>
        <w:t xml:space="preserve"> 2016-17-1-0008933</w:t>
      </w:r>
      <w:r w:rsidRPr="004746D1">
        <w:rPr>
          <w:rFonts w:ascii="Arial" w:hAnsi="Arial" w:cs="Arial"/>
          <w:b/>
          <w:sz w:val="24"/>
          <w:szCs w:val="24"/>
          <w:lang w:val="es-ES_tradnl"/>
        </w:rPr>
        <w:t xml:space="preserve">, </w:t>
      </w:r>
      <w:proofErr w:type="spellStart"/>
      <w:r w:rsidRPr="004746D1">
        <w:rPr>
          <w:rFonts w:ascii="Arial" w:hAnsi="Arial" w:cs="Arial"/>
          <w:b/>
          <w:sz w:val="24"/>
          <w:szCs w:val="24"/>
          <w:lang w:val="es-ES_tradnl"/>
        </w:rPr>
        <w:t>E</w:t>
      </w:r>
      <w:r>
        <w:rPr>
          <w:rFonts w:ascii="Arial" w:hAnsi="Arial" w:cs="Arial"/>
          <w:b/>
          <w:sz w:val="24"/>
          <w:szCs w:val="24"/>
          <w:lang w:val="es-ES_tradnl"/>
        </w:rPr>
        <w:t>nt</w:t>
      </w:r>
      <w:r w:rsidRPr="004746D1">
        <w:rPr>
          <w:rFonts w:ascii="Arial" w:hAnsi="Arial" w:cs="Arial"/>
          <w:b/>
          <w:sz w:val="24"/>
          <w:szCs w:val="24"/>
          <w:lang w:val="es-ES_tradnl"/>
        </w:rPr>
        <w:t>.</w:t>
      </w:r>
      <w:r>
        <w:rPr>
          <w:rFonts w:ascii="Arial" w:hAnsi="Arial" w:cs="Arial"/>
          <w:b/>
          <w:sz w:val="24"/>
          <w:szCs w:val="24"/>
          <w:lang w:val="es-ES_tradnl"/>
        </w:rPr>
        <w:t>INICIADA</w:t>
      </w:r>
      <w:proofErr w:type="spellEnd"/>
      <w:r>
        <w:rPr>
          <w:rFonts w:ascii="Arial" w:hAnsi="Arial" w:cs="Arial"/>
          <w:b/>
          <w:sz w:val="24"/>
          <w:szCs w:val="24"/>
          <w:lang w:val="es-ES_tradnl"/>
        </w:rPr>
        <w:t xml:space="preserve"> S/N°</w:t>
      </w:r>
      <w:r w:rsidRPr="004746D1">
        <w:rPr>
          <w:rFonts w:ascii="Arial" w:hAnsi="Arial" w:cs="Arial"/>
          <w:b/>
          <w:sz w:val="24"/>
          <w:szCs w:val="24"/>
          <w:lang w:val="es-ES_tradnl"/>
        </w:rPr>
        <w:t>)</w:t>
      </w:r>
    </w:p>
    <w:p w:rsidR="002D1150" w:rsidRPr="004746D1" w:rsidRDefault="002D1150" w:rsidP="002D1150">
      <w:pPr>
        <w:tabs>
          <w:tab w:val="center" w:pos="4253"/>
        </w:tabs>
        <w:suppressAutoHyphens/>
        <w:spacing w:after="0" w:line="240" w:lineRule="auto"/>
        <w:jc w:val="center"/>
        <w:rPr>
          <w:rFonts w:ascii="Arial" w:hAnsi="Arial" w:cs="Arial"/>
          <w:spacing w:val="-3"/>
          <w:sz w:val="24"/>
          <w:szCs w:val="24"/>
          <w:lang w:val="es-ES_tradnl"/>
        </w:rPr>
      </w:pPr>
    </w:p>
    <w:p w:rsidR="002D1150" w:rsidRDefault="002D1150" w:rsidP="002D1150">
      <w:pPr>
        <w:spacing w:after="0" w:line="240" w:lineRule="auto"/>
        <w:rPr>
          <w:rFonts w:ascii="Arial" w:hAnsi="Arial" w:cs="Arial"/>
          <w:b/>
          <w:sz w:val="24"/>
          <w:szCs w:val="24"/>
        </w:rPr>
      </w:pPr>
    </w:p>
    <w:p w:rsidR="0011309C" w:rsidRDefault="0011309C" w:rsidP="003064DF">
      <w:pPr>
        <w:spacing w:after="0" w:line="360" w:lineRule="auto"/>
        <w:ind w:firstLine="708"/>
        <w:jc w:val="both"/>
        <w:rPr>
          <w:rFonts w:ascii="Arial" w:hAnsi="Arial" w:cs="Arial"/>
          <w:sz w:val="24"/>
          <w:szCs w:val="24"/>
        </w:rPr>
      </w:pPr>
      <w:r w:rsidRPr="00281BB0">
        <w:rPr>
          <w:rFonts w:ascii="Arial" w:hAnsi="Arial" w:cs="Arial"/>
          <w:b/>
          <w:sz w:val="24"/>
          <w:szCs w:val="24"/>
        </w:rPr>
        <w:t>VISTO:</w:t>
      </w:r>
      <w:r>
        <w:rPr>
          <w:rFonts w:ascii="Arial" w:hAnsi="Arial" w:cs="Arial"/>
          <w:b/>
          <w:sz w:val="24"/>
          <w:szCs w:val="24"/>
        </w:rPr>
        <w:t xml:space="preserve"> </w:t>
      </w:r>
      <w:r>
        <w:rPr>
          <w:rFonts w:ascii="Arial" w:hAnsi="Arial" w:cs="Arial"/>
          <w:sz w:val="24"/>
          <w:szCs w:val="24"/>
        </w:rPr>
        <w:t xml:space="preserve">la </w:t>
      </w:r>
      <w:r w:rsidR="002D1150">
        <w:rPr>
          <w:rFonts w:ascii="Arial" w:hAnsi="Arial" w:cs="Arial"/>
          <w:sz w:val="24"/>
          <w:szCs w:val="24"/>
        </w:rPr>
        <w:t>N</w:t>
      </w:r>
      <w:r>
        <w:rPr>
          <w:rFonts w:ascii="Arial" w:hAnsi="Arial" w:cs="Arial"/>
          <w:sz w:val="24"/>
          <w:szCs w:val="24"/>
        </w:rPr>
        <w:t>ota de fecha 19</w:t>
      </w:r>
      <w:r w:rsidR="002D1150">
        <w:rPr>
          <w:rFonts w:ascii="Arial" w:hAnsi="Arial" w:cs="Arial"/>
          <w:sz w:val="24"/>
          <w:szCs w:val="24"/>
        </w:rPr>
        <w:t>/12/16</w:t>
      </w:r>
      <w:r>
        <w:rPr>
          <w:rFonts w:ascii="Arial" w:hAnsi="Arial" w:cs="Arial"/>
          <w:sz w:val="24"/>
          <w:szCs w:val="24"/>
        </w:rPr>
        <w:t xml:space="preserve"> suscrita por la Contadora Auditora ante el Ministerio de Defensa Nacional y las actuaciones remitidas relativas </w:t>
      </w:r>
      <w:r w:rsidR="005B0A27">
        <w:rPr>
          <w:rFonts w:ascii="Arial" w:hAnsi="Arial" w:cs="Arial"/>
          <w:sz w:val="24"/>
          <w:szCs w:val="24"/>
        </w:rPr>
        <w:t xml:space="preserve">     </w:t>
      </w:r>
      <w:r>
        <w:rPr>
          <w:rFonts w:ascii="Arial" w:hAnsi="Arial" w:cs="Arial"/>
          <w:sz w:val="24"/>
          <w:szCs w:val="24"/>
        </w:rPr>
        <w:t xml:space="preserve">a la </w:t>
      </w:r>
      <w:r w:rsidR="003064DF">
        <w:rPr>
          <w:rFonts w:ascii="Arial" w:hAnsi="Arial" w:cs="Arial"/>
          <w:sz w:val="24"/>
          <w:szCs w:val="24"/>
        </w:rPr>
        <w:t>Contratación D</w:t>
      </w:r>
      <w:r>
        <w:rPr>
          <w:rFonts w:ascii="Arial" w:hAnsi="Arial" w:cs="Arial"/>
          <w:sz w:val="24"/>
          <w:szCs w:val="24"/>
        </w:rPr>
        <w:t xml:space="preserve">irecta de la empresa CABLEX SA para el “suministro </w:t>
      </w:r>
      <w:r w:rsidR="005B0A27">
        <w:rPr>
          <w:rFonts w:ascii="Arial" w:hAnsi="Arial" w:cs="Arial"/>
          <w:sz w:val="24"/>
          <w:szCs w:val="24"/>
        </w:rPr>
        <w:t xml:space="preserve">          </w:t>
      </w:r>
      <w:r>
        <w:rPr>
          <w:rFonts w:ascii="Arial" w:hAnsi="Arial" w:cs="Arial"/>
          <w:sz w:val="24"/>
          <w:szCs w:val="24"/>
        </w:rPr>
        <w:t xml:space="preserve">e instalación de iluminación en plataforma y helipuerto en el </w:t>
      </w:r>
      <w:r w:rsidR="003064DF">
        <w:rPr>
          <w:rFonts w:ascii="Arial" w:hAnsi="Arial" w:cs="Arial"/>
          <w:sz w:val="24"/>
          <w:szCs w:val="24"/>
        </w:rPr>
        <w:t>A</w:t>
      </w:r>
      <w:r>
        <w:rPr>
          <w:rFonts w:ascii="Arial" w:hAnsi="Arial" w:cs="Arial"/>
          <w:sz w:val="24"/>
          <w:szCs w:val="24"/>
        </w:rPr>
        <w:t xml:space="preserve">eropuerto </w:t>
      </w:r>
      <w:r w:rsidR="005B0A27">
        <w:rPr>
          <w:rFonts w:ascii="Arial" w:hAnsi="Arial" w:cs="Arial"/>
          <w:sz w:val="24"/>
          <w:szCs w:val="24"/>
        </w:rPr>
        <w:t xml:space="preserve">    </w:t>
      </w:r>
      <w:r>
        <w:rPr>
          <w:rFonts w:ascii="Arial" w:hAnsi="Arial" w:cs="Arial"/>
          <w:sz w:val="24"/>
          <w:szCs w:val="24"/>
        </w:rPr>
        <w:t xml:space="preserve">Ángel S. </w:t>
      </w:r>
      <w:proofErr w:type="spellStart"/>
      <w:r>
        <w:rPr>
          <w:rFonts w:ascii="Arial" w:hAnsi="Arial" w:cs="Arial"/>
          <w:sz w:val="24"/>
          <w:szCs w:val="24"/>
        </w:rPr>
        <w:t>Adami</w:t>
      </w:r>
      <w:proofErr w:type="spellEnd"/>
      <w:r>
        <w:rPr>
          <w:rFonts w:ascii="Arial" w:hAnsi="Arial" w:cs="Arial"/>
          <w:sz w:val="24"/>
          <w:szCs w:val="24"/>
        </w:rPr>
        <w:t xml:space="preserve"> Melilla –SUAA”;</w:t>
      </w:r>
    </w:p>
    <w:p w:rsidR="003064DF" w:rsidRDefault="0011309C" w:rsidP="003064DF">
      <w:pPr>
        <w:spacing w:after="0" w:line="360" w:lineRule="auto"/>
        <w:jc w:val="both"/>
        <w:rPr>
          <w:rFonts w:ascii="Arial" w:hAnsi="Arial" w:cs="Arial"/>
          <w:sz w:val="24"/>
          <w:szCs w:val="24"/>
        </w:rPr>
      </w:pPr>
      <w:r>
        <w:rPr>
          <w:rFonts w:ascii="Arial" w:hAnsi="Arial" w:cs="Arial"/>
          <w:sz w:val="24"/>
          <w:szCs w:val="24"/>
        </w:rPr>
        <w:tab/>
      </w:r>
      <w:r>
        <w:rPr>
          <w:rFonts w:ascii="Arial" w:hAnsi="Arial" w:cs="Arial"/>
          <w:b/>
          <w:sz w:val="24"/>
          <w:szCs w:val="24"/>
        </w:rPr>
        <w:t xml:space="preserve">RESULTANDO: 1) </w:t>
      </w:r>
      <w:r>
        <w:rPr>
          <w:rFonts w:ascii="Arial" w:hAnsi="Arial" w:cs="Arial"/>
          <w:sz w:val="24"/>
          <w:szCs w:val="24"/>
        </w:rPr>
        <w:t>que</w:t>
      </w:r>
      <w:r w:rsidR="00630EDC">
        <w:rPr>
          <w:rFonts w:ascii="Arial" w:hAnsi="Arial" w:cs="Arial"/>
          <w:sz w:val="24"/>
          <w:szCs w:val="24"/>
        </w:rPr>
        <w:t>,</w:t>
      </w:r>
      <w:r>
        <w:rPr>
          <w:rFonts w:ascii="Arial" w:hAnsi="Arial" w:cs="Arial"/>
          <w:sz w:val="24"/>
          <w:szCs w:val="24"/>
        </w:rPr>
        <w:t xml:space="preserve"> la DINACIA convocó a Licitación Abreviada </w:t>
      </w:r>
      <w:r w:rsidR="003064DF">
        <w:rPr>
          <w:rFonts w:ascii="Arial" w:hAnsi="Arial" w:cs="Arial"/>
          <w:sz w:val="24"/>
          <w:szCs w:val="24"/>
        </w:rPr>
        <w:t xml:space="preserve">      </w:t>
      </w:r>
      <w:r>
        <w:rPr>
          <w:rFonts w:ascii="Arial" w:hAnsi="Arial" w:cs="Arial"/>
          <w:sz w:val="24"/>
          <w:szCs w:val="24"/>
        </w:rPr>
        <w:t xml:space="preserve">Nº 3/2016, surgiendo del acta de apertura de fecha </w:t>
      </w:r>
      <w:r w:rsidR="003064DF">
        <w:rPr>
          <w:rFonts w:ascii="Arial" w:hAnsi="Arial" w:cs="Arial"/>
          <w:sz w:val="24"/>
          <w:szCs w:val="24"/>
        </w:rPr>
        <w:t>0</w:t>
      </w:r>
      <w:r>
        <w:rPr>
          <w:rFonts w:ascii="Arial" w:hAnsi="Arial" w:cs="Arial"/>
          <w:sz w:val="24"/>
          <w:szCs w:val="24"/>
        </w:rPr>
        <w:t>6</w:t>
      </w:r>
      <w:r w:rsidR="003064DF">
        <w:rPr>
          <w:rFonts w:ascii="Arial" w:hAnsi="Arial" w:cs="Arial"/>
          <w:sz w:val="24"/>
          <w:szCs w:val="24"/>
        </w:rPr>
        <w:t>/</w:t>
      </w:r>
      <w:r>
        <w:rPr>
          <w:rFonts w:ascii="Arial" w:hAnsi="Arial" w:cs="Arial"/>
          <w:sz w:val="24"/>
          <w:szCs w:val="24"/>
        </w:rPr>
        <w:t>10</w:t>
      </w:r>
      <w:r w:rsidR="003064DF">
        <w:rPr>
          <w:rFonts w:ascii="Arial" w:hAnsi="Arial" w:cs="Arial"/>
          <w:sz w:val="24"/>
          <w:szCs w:val="24"/>
        </w:rPr>
        <w:t>/</w:t>
      </w:r>
      <w:r>
        <w:rPr>
          <w:rFonts w:ascii="Arial" w:hAnsi="Arial" w:cs="Arial"/>
          <w:sz w:val="24"/>
          <w:szCs w:val="24"/>
        </w:rPr>
        <w:t>16, que se presentó una sola firma: CABLEX SA</w:t>
      </w:r>
      <w:r w:rsidR="003064DF">
        <w:rPr>
          <w:rFonts w:ascii="Arial" w:hAnsi="Arial" w:cs="Arial"/>
          <w:sz w:val="24"/>
          <w:szCs w:val="24"/>
        </w:rPr>
        <w:t>,</w:t>
      </w:r>
      <w:r>
        <w:rPr>
          <w:rFonts w:ascii="Arial" w:hAnsi="Arial" w:cs="Arial"/>
          <w:sz w:val="24"/>
          <w:szCs w:val="24"/>
        </w:rPr>
        <w:t xml:space="preserve"> cotizando la suma de $ 12:969.000 incluido 10% de imprevistos. Por Resolución Nº 495 de fecha 25</w:t>
      </w:r>
      <w:r w:rsidR="003064DF">
        <w:rPr>
          <w:rFonts w:ascii="Arial" w:hAnsi="Arial" w:cs="Arial"/>
          <w:sz w:val="24"/>
          <w:szCs w:val="24"/>
        </w:rPr>
        <w:t>/</w:t>
      </w:r>
      <w:r>
        <w:rPr>
          <w:rFonts w:ascii="Arial" w:hAnsi="Arial" w:cs="Arial"/>
          <w:sz w:val="24"/>
          <w:szCs w:val="24"/>
        </w:rPr>
        <w:t>10</w:t>
      </w:r>
      <w:r w:rsidR="003064DF">
        <w:rPr>
          <w:rFonts w:ascii="Arial" w:hAnsi="Arial" w:cs="Arial"/>
          <w:sz w:val="24"/>
          <w:szCs w:val="24"/>
        </w:rPr>
        <w:t>/</w:t>
      </w:r>
      <w:r>
        <w:rPr>
          <w:rFonts w:ascii="Arial" w:hAnsi="Arial" w:cs="Arial"/>
          <w:sz w:val="24"/>
          <w:szCs w:val="24"/>
        </w:rPr>
        <w:t xml:space="preserve">16 adoptada por el Director Nacional de DINACIA, se declaró manifiestamente inconveniente la única propuesta presentada, disponiéndose la </w:t>
      </w:r>
      <w:r w:rsidR="003064DF">
        <w:rPr>
          <w:rFonts w:ascii="Arial" w:hAnsi="Arial" w:cs="Arial"/>
          <w:sz w:val="24"/>
          <w:szCs w:val="24"/>
        </w:rPr>
        <w:t>C</w:t>
      </w:r>
      <w:r>
        <w:rPr>
          <w:rFonts w:ascii="Arial" w:hAnsi="Arial" w:cs="Arial"/>
          <w:sz w:val="24"/>
          <w:szCs w:val="24"/>
        </w:rPr>
        <w:t xml:space="preserve">ompra </w:t>
      </w:r>
      <w:r w:rsidR="003064DF">
        <w:rPr>
          <w:rFonts w:ascii="Arial" w:hAnsi="Arial" w:cs="Arial"/>
          <w:sz w:val="24"/>
          <w:szCs w:val="24"/>
        </w:rPr>
        <w:t>Directa por E</w:t>
      </w:r>
      <w:r>
        <w:rPr>
          <w:rFonts w:ascii="Arial" w:hAnsi="Arial" w:cs="Arial"/>
          <w:sz w:val="24"/>
          <w:szCs w:val="24"/>
        </w:rPr>
        <w:t>xcepción (</w:t>
      </w:r>
      <w:r w:rsidR="003064DF">
        <w:rPr>
          <w:rFonts w:ascii="Arial" w:hAnsi="Arial" w:cs="Arial"/>
          <w:sz w:val="24"/>
          <w:szCs w:val="24"/>
        </w:rPr>
        <w:t>A</w:t>
      </w:r>
      <w:r>
        <w:rPr>
          <w:rFonts w:ascii="Arial" w:hAnsi="Arial" w:cs="Arial"/>
          <w:sz w:val="24"/>
          <w:szCs w:val="24"/>
        </w:rPr>
        <w:t>rt</w:t>
      </w:r>
      <w:r w:rsidR="003064DF">
        <w:rPr>
          <w:rFonts w:ascii="Arial" w:hAnsi="Arial" w:cs="Arial"/>
          <w:sz w:val="24"/>
          <w:szCs w:val="24"/>
        </w:rPr>
        <w:t>ícul</w:t>
      </w:r>
      <w:r w:rsidR="00283EFE">
        <w:rPr>
          <w:rFonts w:ascii="Arial" w:hAnsi="Arial" w:cs="Arial"/>
          <w:sz w:val="24"/>
          <w:szCs w:val="24"/>
        </w:rPr>
        <w:t>o</w:t>
      </w:r>
      <w:r w:rsidR="003064DF">
        <w:rPr>
          <w:rFonts w:ascii="Arial" w:hAnsi="Arial" w:cs="Arial"/>
          <w:sz w:val="24"/>
          <w:szCs w:val="24"/>
        </w:rPr>
        <w:t xml:space="preserve"> 33, literal C), Numeral 2º del TOCAF);</w:t>
      </w:r>
    </w:p>
    <w:p w:rsidR="00283EFE" w:rsidRDefault="0011309C" w:rsidP="00283EFE">
      <w:pPr>
        <w:spacing w:after="0" w:line="360" w:lineRule="auto"/>
        <w:ind w:firstLine="2552"/>
        <w:jc w:val="both"/>
        <w:rPr>
          <w:rFonts w:ascii="Arial" w:hAnsi="Arial" w:cs="Arial"/>
          <w:sz w:val="24"/>
          <w:szCs w:val="24"/>
        </w:rPr>
      </w:pPr>
      <w:r>
        <w:rPr>
          <w:rFonts w:ascii="Arial" w:hAnsi="Arial" w:cs="Arial"/>
          <w:b/>
          <w:sz w:val="24"/>
          <w:szCs w:val="24"/>
        </w:rPr>
        <w:t xml:space="preserve">2) </w:t>
      </w:r>
      <w:r w:rsidR="00283EFE">
        <w:rPr>
          <w:rFonts w:ascii="Arial" w:hAnsi="Arial" w:cs="Arial"/>
          <w:sz w:val="24"/>
          <w:szCs w:val="24"/>
        </w:rPr>
        <w:t>que consta</w:t>
      </w:r>
      <w:r w:rsidR="00630EDC">
        <w:rPr>
          <w:rFonts w:ascii="Arial" w:hAnsi="Arial" w:cs="Arial"/>
          <w:sz w:val="24"/>
          <w:szCs w:val="24"/>
        </w:rPr>
        <w:t>,</w:t>
      </w:r>
      <w:r w:rsidR="00283EFE">
        <w:rPr>
          <w:rFonts w:ascii="Arial" w:hAnsi="Arial" w:cs="Arial"/>
          <w:sz w:val="24"/>
          <w:szCs w:val="24"/>
        </w:rPr>
        <w:t xml:space="preserve"> acta de apertura para la Contratación D</w:t>
      </w:r>
      <w:r>
        <w:rPr>
          <w:rFonts w:ascii="Arial" w:hAnsi="Arial" w:cs="Arial"/>
          <w:sz w:val="24"/>
          <w:szCs w:val="24"/>
        </w:rPr>
        <w:t>irecta de fecha 10</w:t>
      </w:r>
      <w:r w:rsidR="00283EFE">
        <w:rPr>
          <w:rFonts w:ascii="Arial" w:hAnsi="Arial" w:cs="Arial"/>
          <w:sz w:val="24"/>
          <w:szCs w:val="24"/>
        </w:rPr>
        <w:t>/</w:t>
      </w:r>
      <w:r>
        <w:rPr>
          <w:rFonts w:ascii="Arial" w:hAnsi="Arial" w:cs="Arial"/>
          <w:sz w:val="24"/>
          <w:szCs w:val="24"/>
        </w:rPr>
        <w:t>11</w:t>
      </w:r>
      <w:r w:rsidR="00283EFE">
        <w:rPr>
          <w:rFonts w:ascii="Arial" w:hAnsi="Arial" w:cs="Arial"/>
          <w:sz w:val="24"/>
          <w:szCs w:val="24"/>
        </w:rPr>
        <w:t>/</w:t>
      </w:r>
      <w:r>
        <w:rPr>
          <w:rFonts w:ascii="Arial" w:hAnsi="Arial" w:cs="Arial"/>
          <w:sz w:val="24"/>
          <w:szCs w:val="24"/>
        </w:rPr>
        <w:t>16, surgiendo de la misma que se presentaron dos ofertas, con las siguientes cotizaciones: CABLEX SA: $ 7:412.350 incluidos 10% imprevistos y ASATUL SA: $ 12:821.297,06;</w:t>
      </w:r>
    </w:p>
    <w:p w:rsidR="00283EFE" w:rsidRDefault="0011309C" w:rsidP="00283EFE">
      <w:pPr>
        <w:spacing w:after="0" w:line="360" w:lineRule="auto"/>
        <w:ind w:firstLine="2552"/>
        <w:jc w:val="both"/>
        <w:rPr>
          <w:rFonts w:ascii="Arial" w:hAnsi="Arial" w:cs="Arial"/>
          <w:sz w:val="24"/>
          <w:szCs w:val="24"/>
        </w:rPr>
      </w:pPr>
      <w:r>
        <w:rPr>
          <w:rFonts w:ascii="Arial" w:hAnsi="Arial" w:cs="Arial"/>
          <w:b/>
          <w:sz w:val="24"/>
          <w:szCs w:val="24"/>
        </w:rPr>
        <w:t xml:space="preserve">3) </w:t>
      </w:r>
      <w:r>
        <w:rPr>
          <w:rFonts w:ascii="Arial" w:hAnsi="Arial" w:cs="Arial"/>
          <w:sz w:val="24"/>
          <w:szCs w:val="24"/>
        </w:rPr>
        <w:t>que luce informe de la Dirección Electrónica, Departamento de Ayudas Visuales de la DINACIA de fecha 14</w:t>
      </w:r>
      <w:r w:rsidR="00283EFE">
        <w:rPr>
          <w:rFonts w:ascii="Arial" w:hAnsi="Arial" w:cs="Arial"/>
          <w:sz w:val="24"/>
          <w:szCs w:val="24"/>
        </w:rPr>
        <w:t>/</w:t>
      </w:r>
      <w:r>
        <w:rPr>
          <w:rFonts w:ascii="Arial" w:hAnsi="Arial" w:cs="Arial"/>
          <w:sz w:val="24"/>
          <w:szCs w:val="24"/>
        </w:rPr>
        <w:t>11</w:t>
      </w:r>
      <w:r w:rsidR="00283EFE">
        <w:rPr>
          <w:rFonts w:ascii="Arial" w:hAnsi="Arial" w:cs="Arial"/>
          <w:sz w:val="24"/>
          <w:szCs w:val="24"/>
        </w:rPr>
        <w:t>/</w:t>
      </w:r>
      <w:r>
        <w:rPr>
          <w:rFonts w:ascii="Arial" w:hAnsi="Arial" w:cs="Arial"/>
          <w:sz w:val="24"/>
          <w:szCs w:val="24"/>
        </w:rPr>
        <w:t>16, conteniendo la evaluación, características principales y cumplimientos relacionados con ambas propuestas;</w:t>
      </w:r>
    </w:p>
    <w:p w:rsidR="00283EFE" w:rsidRDefault="0011309C" w:rsidP="00283EFE">
      <w:pPr>
        <w:spacing w:after="0" w:line="360" w:lineRule="auto"/>
        <w:ind w:firstLine="2552"/>
        <w:jc w:val="both"/>
        <w:rPr>
          <w:rFonts w:ascii="Arial" w:hAnsi="Arial" w:cs="Arial"/>
          <w:sz w:val="24"/>
          <w:szCs w:val="24"/>
        </w:rPr>
      </w:pPr>
      <w:r>
        <w:rPr>
          <w:rFonts w:ascii="Arial" w:hAnsi="Arial" w:cs="Arial"/>
          <w:b/>
          <w:sz w:val="24"/>
          <w:szCs w:val="24"/>
        </w:rPr>
        <w:t xml:space="preserve">4) </w:t>
      </w:r>
      <w:r>
        <w:rPr>
          <w:rFonts w:ascii="Arial" w:hAnsi="Arial" w:cs="Arial"/>
          <w:sz w:val="24"/>
          <w:szCs w:val="24"/>
        </w:rPr>
        <w:t>que se agrega cuadro comparativo de ofertas (</w:t>
      </w:r>
      <w:r w:rsidR="00283EFE">
        <w:rPr>
          <w:rFonts w:ascii="Arial" w:hAnsi="Arial" w:cs="Arial"/>
          <w:sz w:val="24"/>
          <w:szCs w:val="24"/>
        </w:rPr>
        <w:t>A</w:t>
      </w:r>
      <w:r>
        <w:rPr>
          <w:rFonts w:ascii="Arial" w:hAnsi="Arial" w:cs="Arial"/>
          <w:sz w:val="24"/>
          <w:szCs w:val="24"/>
        </w:rPr>
        <w:t>rt</w:t>
      </w:r>
      <w:r w:rsidR="00283EFE">
        <w:rPr>
          <w:rFonts w:ascii="Arial" w:hAnsi="Arial" w:cs="Arial"/>
          <w:sz w:val="24"/>
          <w:szCs w:val="24"/>
        </w:rPr>
        <w:t>ículo</w:t>
      </w:r>
      <w:r>
        <w:rPr>
          <w:rFonts w:ascii="Arial" w:hAnsi="Arial" w:cs="Arial"/>
          <w:sz w:val="24"/>
          <w:szCs w:val="24"/>
        </w:rPr>
        <w:t xml:space="preserve"> 10 del Pliego), conteniendo los puntajes obtenidos por cada una de las </w:t>
      </w:r>
      <w:r>
        <w:rPr>
          <w:rFonts w:ascii="Arial" w:hAnsi="Arial" w:cs="Arial"/>
          <w:sz w:val="24"/>
          <w:szCs w:val="24"/>
        </w:rPr>
        <w:lastRenderedPageBreak/>
        <w:t>empresas, en los aspectos relacionados con: calidad del material, plazo para realización de trabajos y antecedentes;</w:t>
      </w:r>
    </w:p>
    <w:p w:rsidR="00283EFE" w:rsidRDefault="0011309C" w:rsidP="00283EFE">
      <w:pPr>
        <w:spacing w:after="0" w:line="360" w:lineRule="auto"/>
        <w:ind w:firstLine="2552"/>
        <w:jc w:val="both"/>
        <w:rPr>
          <w:rFonts w:ascii="Arial" w:hAnsi="Arial" w:cs="Arial"/>
          <w:sz w:val="24"/>
          <w:szCs w:val="24"/>
        </w:rPr>
      </w:pPr>
      <w:r>
        <w:rPr>
          <w:rFonts w:ascii="Arial" w:hAnsi="Arial" w:cs="Arial"/>
          <w:b/>
          <w:sz w:val="24"/>
          <w:szCs w:val="24"/>
        </w:rPr>
        <w:t>5)</w:t>
      </w:r>
      <w:r>
        <w:rPr>
          <w:rFonts w:ascii="Arial" w:hAnsi="Arial" w:cs="Arial"/>
          <w:sz w:val="24"/>
          <w:szCs w:val="24"/>
        </w:rPr>
        <w:t xml:space="preserve"> que por Resolución Nº 584/2016 adoptada por el Director de la DINACIA con fecha 14</w:t>
      </w:r>
      <w:r w:rsidR="00283EFE">
        <w:rPr>
          <w:rFonts w:ascii="Arial" w:hAnsi="Arial" w:cs="Arial"/>
          <w:sz w:val="24"/>
          <w:szCs w:val="24"/>
        </w:rPr>
        <w:t>/</w:t>
      </w:r>
      <w:r>
        <w:rPr>
          <w:rFonts w:ascii="Arial" w:hAnsi="Arial" w:cs="Arial"/>
          <w:sz w:val="24"/>
          <w:szCs w:val="24"/>
        </w:rPr>
        <w:t>12</w:t>
      </w:r>
      <w:r w:rsidR="00283EFE">
        <w:rPr>
          <w:rFonts w:ascii="Arial" w:hAnsi="Arial" w:cs="Arial"/>
          <w:sz w:val="24"/>
          <w:szCs w:val="24"/>
        </w:rPr>
        <w:t>/</w:t>
      </w:r>
      <w:r>
        <w:rPr>
          <w:rFonts w:ascii="Arial" w:hAnsi="Arial" w:cs="Arial"/>
          <w:sz w:val="24"/>
          <w:szCs w:val="24"/>
        </w:rPr>
        <w:t xml:space="preserve">16, se dispuso contratar en forma directa con la empresa CABLEX SA, por la suma total de $ 7:412.350 incluido 10% por imprevistos;                       </w:t>
      </w:r>
      <w:r>
        <w:rPr>
          <w:rFonts w:ascii="Arial" w:hAnsi="Arial" w:cs="Arial"/>
          <w:sz w:val="24"/>
          <w:szCs w:val="24"/>
        </w:rPr>
        <w:tab/>
        <w:t xml:space="preserve">      </w:t>
      </w:r>
    </w:p>
    <w:p w:rsidR="00283EFE" w:rsidRDefault="0011309C" w:rsidP="00283EFE">
      <w:pPr>
        <w:spacing w:after="0" w:line="360" w:lineRule="auto"/>
        <w:ind w:firstLine="2552"/>
        <w:jc w:val="both"/>
        <w:rPr>
          <w:rFonts w:ascii="Arial" w:hAnsi="Arial" w:cs="Arial"/>
          <w:b/>
          <w:sz w:val="24"/>
          <w:szCs w:val="24"/>
        </w:rPr>
      </w:pPr>
      <w:r w:rsidRPr="00281BB0">
        <w:rPr>
          <w:rFonts w:ascii="Arial" w:hAnsi="Arial" w:cs="Arial"/>
          <w:b/>
          <w:sz w:val="24"/>
          <w:szCs w:val="24"/>
        </w:rPr>
        <w:t>6)</w:t>
      </w:r>
      <w:r>
        <w:rPr>
          <w:rFonts w:ascii="Arial" w:hAnsi="Arial" w:cs="Arial"/>
          <w:b/>
          <w:sz w:val="24"/>
          <w:szCs w:val="24"/>
        </w:rPr>
        <w:t xml:space="preserve"> </w:t>
      </w:r>
      <w:r>
        <w:rPr>
          <w:rFonts w:ascii="Arial" w:hAnsi="Arial" w:cs="Arial"/>
          <w:sz w:val="24"/>
          <w:szCs w:val="24"/>
        </w:rPr>
        <w:t>que finalmente, la Contadora Auditora destaca</w:t>
      </w:r>
      <w:r w:rsidR="00630EDC">
        <w:rPr>
          <w:rFonts w:ascii="Arial" w:hAnsi="Arial" w:cs="Arial"/>
          <w:sz w:val="24"/>
          <w:szCs w:val="24"/>
        </w:rPr>
        <w:t>da ante dicho Ministerio, efectuó</w:t>
      </w:r>
      <w:r>
        <w:rPr>
          <w:rFonts w:ascii="Arial" w:hAnsi="Arial" w:cs="Arial"/>
          <w:sz w:val="24"/>
          <w:szCs w:val="24"/>
        </w:rPr>
        <w:t xml:space="preserve"> el estudio de los obrados en virtud de lo cual solicitó a la Administración con fecha </w:t>
      </w:r>
      <w:r w:rsidR="00283EFE">
        <w:rPr>
          <w:rFonts w:ascii="Arial" w:hAnsi="Arial" w:cs="Arial"/>
          <w:sz w:val="24"/>
          <w:szCs w:val="24"/>
        </w:rPr>
        <w:t>0</w:t>
      </w:r>
      <w:r>
        <w:rPr>
          <w:rFonts w:ascii="Arial" w:hAnsi="Arial" w:cs="Arial"/>
          <w:sz w:val="24"/>
          <w:szCs w:val="24"/>
        </w:rPr>
        <w:t>7</w:t>
      </w:r>
      <w:r w:rsidR="00283EFE">
        <w:rPr>
          <w:rFonts w:ascii="Arial" w:hAnsi="Arial" w:cs="Arial"/>
          <w:sz w:val="24"/>
          <w:szCs w:val="24"/>
        </w:rPr>
        <w:t>/</w:t>
      </w:r>
      <w:r>
        <w:rPr>
          <w:rFonts w:ascii="Arial" w:hAnsi="Arial" w:cs="Arial"/>
          <w:sz w:val="24"/>
          <w:szCs w:val="24"/>
        </w:rPr>
        <w:t>12</w:t>
      </w:r>
      <w:r w:rsidR="00283EFE">
        <w:rPr>
          <w:rFonts w:ascii="Arial" w:hAnsi="Arial" w:cs="Arial"/>
          <w:sz w:val="24"/>
          <w:szCs w:val="24"/>
        </w:rPr>
        <w:t>/</w:t>
      </w:r>
      <w:r>
        <w:rPr>
          <w:rFonts w:ascii="Arial" w:hAnsi="Arial" w:cs="Arial"/>
          <w:sz w:val="24"/>
          <w:szCs w:val="24"/>
        </w:rPr>
        <w:t xml:space="preserve">16, diversas aclaraciones sobre el procedimiento llevado a cabo, sobre la propuesta de la empresa adjudicataria;                     </w:t>
      </w:r>
      <w:r>
        <w:rPr>
          <w:rFonts w:ascii="Arial" w:hAnsi="Arial" w:cs="Arial"/>
          <w:b/>
          <w:sz w:val="24"/>
          <w:szCs w:val="24"/>
        </w:rPr>
        <w:t xml:space="preserve">       </w:t>
      </w:r>
    </w:p>
    <w:p w:rsidR="0011309C" w:rsidRDefault="0011309C" w:rsidP="00283EFE">
      <w:pPr>
        <w:spacing w:after="0" w:line="360" w:lineRule="auto"/>
        <w:ind w:firstLine="2552"/>
        <w:jc w:val="both"/>
        <w:rPr>
          <w:rFonts w:ascii="Arial" w:hAnsi="Arial" w:cs="Arial"/>
          <w:sz w:val="24"/>
          <w:szCs w:val="24"/>
        </w:rPr>
      </w:pPr>
      <w:r>
        <w:rPr>
          <w:rFonts w:ascii="Arial" w:hAnsi="Arial" w:cs="Arial"/>
          <w:b/>
          <w:sz w:val="24"/>
          <w:szCs w:val="24"/>
        </w:rPr>
        <w:t xml:space="preserve">7) </w:t>
      </w:r>
      <w:r w:rsidR="00283EFE">
        <w:rPr>
          <w:rFonts w:ascii="Arial" w:hAnsi="Arial" w:cs="Arial"/>
          <w:sz w:val="24"/>
          <w:szCs w:val="24"/>
        </w:rPr>
        <w:t>que</w:t>
      </w:r>
      <w:r>
        <w:rPr>
          <w:rFonts w:ascii="Arial" w:hAnsi="Arial" w:cs="Arial"/>
          <w:sz w:val="24"/>
          <w:szCs w:val="24"/>
        </w:rPr>
        <w:t xml:space="preserve"> la Dirección Electrónica, Departamento de Ayudas Visuales de la DINACIA con fecha </w:t>
      </w:r>
      <w:r w:rsidR="00283EFE">
        <w:rPr>
          <w:rFonts w:ascii="Arial" w:hAnsi="Arial" w:cs="Arial"/>
          <w:sz w:val="24"/>
          <w:szCs w:val="24"/>
        </w:rPr>
        <w:t>0</w:t>
      </w:r>
      <w:r>
        <w:rPr>
          <w:rFonts w:ascii="Arial" w:hAnsi="Arial" w:cs="Arial"/>
          <w:sz w:val="24"/>
          <w:szCs w:val="24"/>
        </w:rPr>
        <w:t>9</w:t>
      </w:r>
      <w:r w:rsidR="00283EFE">
        <w:rPr>
          <w:rFonts w:ascii="Arial" w:hAnsi="Arial" w:cs="Arial"/>
          <w:sz w:val="24"/>
          <w:szCs w:val="24"/>
        </w:rPr>
        <w:t>/</w:t>
      </w:r>
      <w:r>
        <w:rPr>
          <w:rFonts w:ascii="Arial" w:hAnsi="Arial" w:cs="Arial"/>
          <w:sz w:val="24"/>
          <w:szCs w:val="24"/>
        </w:rPr>
        <w:t>12</w:t>
      </w:r>
      <w:r w:rsidR="00283EFE">
        <w:rPr>
          <w:rFonts w:ascii="Arial" w:hAnsi="Arial" w:cs="Arial"/>
          <w:sz w:val="24"/>
          <w:szCs w:val="24"/>
        </w:rPr>
        <w:t>/</w:t>
      </w:r>
      <w:r>
        <w:rPr>
          <w:rFonts w:ascii="Arial" w:hAnsi="Arial" w:cs="Arial"/>
          <w:sz w:val="24"/>
          <w:szCs w:val="24"/>
        </w:rPr>
        <w:t xml:space="preserve">16, respondió algunas de las interrogantes planteadas por la Contadora Auditora y  adjuntó copias relativas a la visita obligatoria  y certificado SNIP, no expidiéndose sobre las interrogantes </w:t>
      </w:r>
      <w:proofErr w:type="spellStart"/>
      <w:r>
        <w:rPr>
          <w:rFonts w:ascii="Arial" w:hAnsi="Arial" w:cs="Arial"/>
          <w:sz w:val="24"/>
          <w:szCs w:val="24"/>
        </w:rPr>
        <w:t>Nros</w:t>
      </w:r>
      <w:proofErr w:type="spellEnd"/>
      <w:r>
        <w:rPr>
          <w:rFonts w:ascii="Arial" w:hAnsi="Arial" w:cs="Arial"/>
          <w:sz w:val="24"/>
          <w:szCs w:val="24"/>
        </w:rPr>
        <w:t>. 1, 6,  7, 9 y 10;</w:t>
      </w:r>
    </w:p>
    <w:p w:rsidR="00283EFE" w:rsidRDefault="0011309C" w:rsidP="00283EFE">
      <w:pPr>
        <w:spacing w:after="0" w:line="360" w:lineRule="auto"/>
        <w:ind w:firstLine="709"/>
        <w:jc w:val="both"/>
        <w:rPr>
          <w:rFonts w:ascii="Arial" w:hAnsi="Arial" w:cs="Arial"/>
          <w:sz w:val="24"/>
          <w:szCs w:val="24"/>
        </w:rPr>
      </w:pPr>
      <w:r>
        <w:rPr>
          <w:rFonts w:ascii="Arial" w:hAnsi="Arial" w:cs="Arial"/>
          <w:b/>
          <w:sz w:val="24"/>
          <w:szCs w:val="24"/>
        </w:rPr>
        <w:t xml:space="preserve">CONSIDERANDO: 1) </w:t>
      </w:r>
      <w:r>
        <w:rPr>
          <w:rFonts w:ascii="Arial" w:hAnsi="Arial" w:cs="Arial"/>
          <w:sz w:val="24"/>
          <w:szCs w:val="24"/>
        </w:rPr>
        <w:t xml:space="preserve">que la cláusula 4 </w:t>
      </w:r>
      <w:r w:rsidR="00630EDC">
        <w:rPr>
          <w:rFonts w:ascii="Arial" w:hAnsi="Arial" w:cs="Arial"/>
          <w:sz w:val="24"/>
          <w:szCs w:val="24"/>
        </w:rPr>
        <w:t xml:space="preserve">del Pliego de Condiciones </w:t>
      </w:r>
      <w:r>
        <w:rPr>
          <w:rFonts w:ascii="Arial" w:hAnsi="Arial" w:cs="Arial"/>
          <w:sz w:val="24"/>
          <w:szCs w:val="24"/>
        </w:rPr>
        <w:t xml:space="preserve">“Requisitos de admisibilidad de las ofertas”, punto a) “Formulario </w:t>
      </w:r>
      <w:r w:rsidR="00283EFE">
        <w:rPr>
          <w:rFonts w:ascii="Arial" w:hAnsi="Arial" w:cs="Arial"/>
          <w:sz w:val="24"/>
          <w:szCs w:val="24"/>
        </w:rPr>
        <w:t>de identificación del oferente”,</w:t>
      </w:r>
      <w:r>
        <w:rPr>
          <w:rFonts w:ascii="Arial" w:hAnsi="Arial" w:cs="Arial"/>
          <w:sz w:val="24"/>
          <w:szCs w:val="24"/>
        </w:rPr>
        <w:t xml:space="preserve"> </w:t>
      </w:r>
      <w:r w:rsidR="00630EDC">
        <w:rPr>
          <w:rFonts w:ascii="Arial" w:hAnsi="Arial" w:cs="Arial"/>
          <w:sz w:val="24"/>
          <w:szCs w:val="24"/>
        </w:rPr>
        <w:t>d</w:t>
      </w:r>
      <w:r w:rsidR="00283EFE">
        <w:rPr>
          <w:rFonts w:ascii="Arial" w:hAnsi="Arial" w:cs="Arial"/>
          <w:sz w:val="24"/>
          <w:szCs w:val="24"/>
        </w:rPr>
        <w:t>el Pliego de Condiciones Particulares</w:t>
      </w:r>
      <w:r w:rsidR="00630EDC">
        <w:rPr>
          <w:rFonts w:ascii="Arial" w:hAnsi="Arial" w:cs="Arial"/>
          <w:sz w:val="24"/>
          <w:szCs w:val="24"/>
        </w:rPr>
        <w:t>,</w:t>
      </w:r>
      <w:r w:rsidR="00283EFE">
        <w:rPr>
          <w:rFonts w:ascii="Arial" w:hAnsi="Arial" w:cs="Arial"/>
          <w:sz w:val="24"/>
          <w:szCs w:val="24"/>
        </w:rPr>
        <w:t xml:space="preserve"> </w:t>
      </w:r>
      <w:r>
        <w:rPr>
          <w:rFonts w:ascii="Arial" w:hAnsi="Arial" w:cs="Arial"/>
          <w:sz w:val="24"/>
          <w:szCs w:val="24"/>
        </w:rPr>
        <w:t xml:space="preserve">estableció como requisito a adjuntar fuera del sobre que contiene la oferta, la presentación de dicho formulario, lo cual no fue cumplido por parte de la empresa CABLEX SA;                               </w:t>
      </w:r>
    </w:p>
    <w:p w:rsidR="00283EFE" w:rsidRDefault="0011309C" w:rsidP="00283EFE">
      <w:pPr>
        <w:spacing w:after="0" w:line="360" w:lineRule="auto"/>
        <w:ind w:firstLine="2977"/>
        <w:jc w:val="both"/>
        <w:rPr>
          <w:rFonts w:ascii="Arial" w:hAnsi="Arial" w:cs="Arial"/>
          <w:b/>
          <w:sz w:val="24"/>
          <w:szCs w:val="24"/>
        </w:rPr>
      </w:pPr>
      <w:r>
        <w:rPr>
          <w:rFonts w:ascii="Arial" w:hAnsi="Arial" w:cs="Arial"/>
          <w:b/>
          <w:sz w:val="24"/>
          <w:szCs w:val="24"/>
        </w:rPr>
        <w:t>2)</w:t>
      </w:r>
      <w:r>
        <w:rPr>
          <w:rFonts w:ascii="Arial" w:hAnsi="Arial" w:cs="Arial"/>
          <w:sz w:val="24"/>
          <w:szCs w:val="24"/>
        </w:rPr>
        <w:t xml:space="preserve"> que en la </w:t>
      </w:r>
      <w:r w:rsidR="00630EDC">
        <w:rPr>
          <w:rFonts w:ascii="Arial" w:hAnsi="Arial" w:cs="Arial"/>
          <w:bCs/>
          <w:sz w:val="24"/>
          <w:szCs w:val="24"/>
        </w:rPr>
        <w:t>cláus</w:t>
      </w:r>
      <w:r w:rsidRPr="002F1560">
        <w:rPr>
          <w:rFonts w:ascii="Arial" w:hAnsi="Arial" w:cs="Arial"/>
          <w:bCs/>
          <w:sz w:val="24"/>
          <w:szCs w:val="24"/>
        </w:rPr>
        <w:t>ula 1</w:t>
      </w:r>
      <w:r>
        <w:rPr>
          <w:rFonts w:ascii="Arial" w:hAnsi="Arial" w:cs="Arial"/>
          <w:bCs/>
          <w:sz w:val="24"/>
          <w:szCs w:val="24"/>
        </w:rPr>
        <w:t>0</w:t>
      </w:r>
      <w:r w:rsidRPr="002F1560">
        <w:rPr>
          <w:rFonts w:ascii="Arial" w:hAnsi="Arial" w:cs="Arial"/>
          <w:bCs/>
          <w:sz w:val="24"/>
          <w:szCs w:val="24"/>
        </w:rPr>
        <w:t xml:space="preserve"> </w:t>
      </w:r>
      <w:r>
        <w:rPr>
          <w:rFonts w:ascii="Arial" w:hAnsi="Arial" w:cs="Arial"/>
          <w:bCs/>
          <w:sz w:val="24"/>
          <w:szCs w:val="24"/>
        </w:rPr>
        <w:t>“comparación de ofertas” d</w:t>
      </w:r>
      <w:r>
        <w:rPr>
          <w:rFonts w:ascii="Arial" w:hAnsi="Arial" w:cs="Arial"/>
          <w:sz w:val="24"/>
          <w:szCs w:val="24"/>
        </w:rPr>
        <w:t>el referido Pliego de Condiciones, no se establecieron los criterios y/o factores a considerar a los efectos de la evaluación y consiguiente ponderación relacionada con la “calidad del material ofertado”, y el “plazo de realización de los trabajos”, no ajust</w:t>
      </w:r>
      <w:r w:rsidR="00283EFE">
        <w:rPr>
          <w:rFonts w:ascii="Arial" w:hAnsi="Arial" w:cs="Arial"/>
          <w:sz w:val="24"/>
          <w:szCs w:val="24"/>
        </w:rPr>
        <w:t>ándose a lo establecido por el Artículo 48 L</w:t>
      </w:r>
      <w:r>
        <w:rPr>
          <w:rFonts w:ascii="Arial" w:hAnsi="Arial" w:cs="Arial"/>
          <w:sz w:val="24"/>
          <w:szCs w:val="24"/>
        </w:rPr>
        <w:t xml:space="preserve">iteral C) del TOCAF;                                       </w:t>
      </w:r>
      <w:r>
        <w:rPr>
          <w:rFonts w:ascii="Arial" w:hAnsi="Arial" w:cs="Arial"/>
          <w:b/>
          <w:sz w:val="24"/>
          <w:szCs w:val="24"/>
        </w:rPr>
        <w:t xml:space="preserve"> </w:t>
      </w:r>
    </w:p>
    <w:p w:rsidR="00283EFE" w:rsidRDefault="0011309C" w:rsidP="00283EFE">
      <w:pPr>
        <w:spacing w:after="0" w:line="360" w:lineRule="auto"/>
        <w:ind w:firstLine="2977"/>
        <w:jc w:val="both"/>
        <w:rPr>
          <w:rFonts w:ascii="Arial" w:hAnsi="Arial" w:cs="Arial"/>
          <w:b/>
          <w:sz w:val="24"/>
          <w:szCs w:val="24"/>
        </w:rPr>
      </w:pPr>
      <w:r>
        <w:rPr>
          <w:rFonts w:ascii="Arial" w:hAnsi="Arial" w:cs="Arial"/>
          <w:b/>
          <w:sz w:val="24"/>
          <w:szCs w:val="24"/>
        </w:rPr>
        <w:t xml:space="preserve">3) </w:t>
      </w:r>
      <w:r>
        <w:rPr>
          <w:rFonts w:ascii="Arial" w:hAnsi="Arial" w:cs="Arial"/>
          <w:bCs/>
          <w:sz w:val="24"/>
          <w:szCs w:val="24"/>
        </w:rPr>
        <w:t>que si bien</w:t>
      </w:r>
      <w:r w:rsidR="00630EDC">
        <w:rPr>
          <w:rFonts w:ascii="Arial" w:hAnsi="Arial" w:cs="Arial"/>
          <w:bCs/>
          <w:sz w:val="24"/>
          <w:szCs w:val="24"/>
        </w:rPr>
        <w:t>,</w:t>
      </w:r>
      <w:r>
        <w:rPr>
          <w:rFonts w:ascii="Arial" w:hAnsi="Arial" w:cs="Arial"/>
          <w:bCs/>
          <w:sz w:val="24"/>
          <w:szCs w:val="24"/>
        </w:rPr>
        <w:t xml:space="preserve"> </w:t>
      </w:r>
      <w:r>
        <w:rPr>
          <w:rFonts w:ascii="Arial" w:hAnsi="Arial" w:cs="Arial"/>
          <w:sz w:val="24"/>
          <w:szCs w:val="24"/>
        </w:rPr>
        <w:t>la Dirección Electrónica</w:t>
      </w:r>
      <w:r w:rsidR="00630EDC">
        <w:rPr>
          <w:rFonts w:ascii="Arial" w:hAnsi="Arial" w:cs="Arial"/>
          <w:sz w:val="24"/>
          <w:szCs w:val="24"/>
        </w:rPr>
        <w:t>,</w:t>
      </w:r>
      <w:r>
        <w:rPr>
          <w:rFonts w:ascii="Arial" w:hAnsi="Arial" w:cs="Arial"/>
          <w:sz w:val="24"/>
          <w:szCs w:val="24"/>
        </w:rPr>
        <w:t xml:space="preserve"> Departamento de Ayudas Visuales de la DINACIA respondió algunas de las </w:t>
      </w:r>
      <w:r>
        <w:rPr>
          <w:rFonts w:ascii="Arial" w:hAnsi="Arial" w:cs="Arial"/>
          <w:sz w:val="24"/>
          <w:szCs w:val="24"/>
        </w:rPr>
        <w:lastRenderedPageBreak/>
        <w:t>interrogantes planteadas por la Contadora Auditora destacada (Resultando 7), no se manifestó, ni aclaró otras, no menos importantes, que contribuyen y/o aclaran la adjudicación a la firma CABLEX SA;</w:t>
      </w:r>
      <w:r w:rsidRPr="002F1560">
        <w:rPr>
          <w:rFonts w:ascii="Arial" w:hAnsi="Arial" w:cs="Arial"/>
          <w:b/>
          <w:sz w:val="24"/>
          <w:szCs w:val="24"/>
        </w:rPr>
        <w:t xml:space="preserve">                           </w:t>
      </w:r>
      <w:r w:rsidRPr="002F1560">
        <w:rPr>
          <w:rFonts w:cs="Arial"/>
          <w:b/>
        </w:rPr>
        <w:t xml:space="preserve">  </w:t>
      </w:r>
      <w:r>
        <w:rPr>
          <w:rFonts w:ascii="Arial" w:hAnsi="Arial" w:cs="Arial"/>
          <w:b/>
          <w:sz w:val="24"/>
          <w:szCs w:val="24"/>
        </w:rPr>
        <w:t xml:space="preserve">  </w:t>
      </w:r>
      <w:r w:rsidRPr="002F1560">
        <w:rPr>
          <w:rFonts w:ascii="Arial" w:hAnsi="Arial" w:cs="Arial"/>
          <w:b/>
          <w:sz w:val="24"/>
          <w:szCs w:val="24"/>
        </w:rPr>
        <w:t xml:space="preserve"> </w:t>
      </w:r>
    </w:p>
    <w:p w:rsidR="00283EFE" w:rsidRDefault="0011309C" w:rsidP="00283EFE">
      <w:pPr>
        <w:spacing w:after="0" w:line="360" w:lineRule="auto"/>
        <w:ind w:firstLine="2977"/>
        <w:jc w:val="both"/>
        <w:rPr>
          <w:rFonts w:ascii="Arial" w:hAnsi="Arial" w:cs="Arial"/>
          <w:b/>
          <w:sz w:val="24"/>
          <w:szCs w:val="24"/>
        </w:rPr>
      </w:pPr>
      <w:r>
        <w:rPr>
          <w:rFonts w:ascii="Arial" w:hAnsi="Arial" w:cs="Arial"/>
          <w:b/>
          <w:sz w:val="24"/>
          <w:szCs w:val="24"/>
        </w:rPr>
        <w:t>4</w:t>
      </w:r>
      <w:r w:rsidRPr="002F1560">
        <w:rPr>
          <w:rFonts w:ascii="Arial" w:hAnsi="Arial" w:cs="Arial"/>
          <w:b/>
          <w:sz w:val="24"/>
          <w:szCs w:val="24"/>
        </w:rPr>
        <w:t xml:space="preserve">) </w:t>
      </w:r>
      <w:r>
        <w:rPr>
          <w:rFonts w:ascii="Arial" w:hAnsi="Arial" w:cs="Arial"/>
          <w:sz w:val="24"/>
          <w:szCs w:val="24"/>
        </w:rPr>
        <w:t xml:space="preserve">que por tanto, la Comisión Asesora actuante incumplió con lo dispuesto por el </w:t>
      </w:r>
      <w:r w:rsidR="00283EFE">
        <w:rPr>
          <w:rFonts w:ascii="Arial" w:hAnsi="Arial" w:cs="Arial"/>
          <w:sz w:val="24"/>
          <w:szCs w:val="24"/>
        </w:rPr>
        <w:t>A</w:t>
      </w:r>
      <w:r>
        <w:rPr>
          <w:rFonts w:ascii="Arial" w:hAnsi="Arial" w:cs="Arial"/>
          <w:sz w:val="24"/>
          <w:szCs w:val="24"/>
        </w:rPr>
        <w:t xml:space="preserve">rtículo 66 del TOCAF, que establece como  </w:t>
      </w:r>
      <w:bookmarkStart w:id="0" w:name="_GoBack"/>
      <w:r>
        <w:rPr>
          <w:rFonts w:ascii="Arial" w:hAnsi="Arial" w:cs="Arial"/>
          <w:sz w:val="24"/>
          <w:szCs w:val="24"/>
        </w:rPr>
        <w:t xml:space="preserve">cometidos de la misma, informar fundamentalmente acerca de la admisibilidad </w:t>
      </w:r>
      <w:bookmarkEnd w:id="0"/>
      <w:r>
        <w:rPr>
          <w:rFonts w:ascii="Arial" w:hAnsi="Arial" w:cs="Arial"/>
          <w:sz w:val="24"/>
          <w:szCs w:val="24"/>
        </w:rPr>
        <w:t>y conveniencia de las ofertas, cuyo informe deberá contener los fundamentos que respalden su juicio de admisibilidad y su opción por la oferta más conveniente, exponiendo las razones de la misma;</w:t>
      </w:r>
      <w:r w:rsidR="008521CC">
        <w:rPr>
          <w:rFonts w:ascii="Arial" w:hAnsi="Arial" w:cs="Arial"/>
          <w:b/>
          <w:sz w:val="24"/>
          <w:szCs w:val="24"/>
        </w:rPr>
        <w:t xml:space="preserve">                               </w:t>
      </w:r>
    </w:p>
    <w:p w:rsidR="0011309C" w:rsidRDefault="008521CC" w:rsidP="00283EFE">
      <w:pPr>
        <w:spacing w:after="0" w:line="360" w:lineRule="auto"/>
        <w:ind w:firstLine="2977"/>
        <w:jc w:val="both"/>
        <w:rPr>
          <w:rFonts w:ascii="Arial" w:hAnsi="Arial" w:cs="Arial"/>
          <w:b/>
          <w:sz w:val="24"/>
          <w:szCs w:val="24"/>
        </w:rPr>
      </w:pPr>
      <w:r w:rsidRPr="008521CC">
        <w:rPr>
          <w:rFonts w:ascii="Arial" w:hAnsi="Arial" w:cs="Arial"/>
          <w:b/>
          <w:sz w:val="24"/>
          <w:szCs w:val="24"/>
        </w:rPr>
        <w:t>5)</w:t>
      </w:r>
      <w:r>
        <w:rPr>
          <w:rFonts w:ascii="Arial" w:hAnsi="Arial" w:cs="Arial"/>
          <w:sz w:val="24"/>
          <w:szCs w:val="24"/>
        </w:rPr>
        <w:t xml:space="preserve"> que de acuerdo a los montos de las ofertas, tanto de la presentada en el procedimiento frustrado por propuesta manifiestamente inconveniente, así como en la Contratación Directa subsiguiente, hubiera correspondido la realización de una Licitación Pública;</w:t>
      </w:r>
      <w:r w:rsidR="0011309C">
        <w:rPr>
          <w:rFonts w:ascii="Arial" w:hAnsi="Arial" w:cs="Arial"/>
          <w:sz w:val="24"/>
          <w:szCs w:val="24"/>
        </w:rPr>
        <w:t xml:space="preserve"> </w:t>
      </w:r>
      <w:r w:rsidR="0011309C">
        <w:rPr>
          <w:rFonts w:ascii="Arial" w:hAnsi="Arial" w:cs="Arial"/>
          <w:b/>
          <w:sz w:val="24"/>
          <w:szCs w:val="24"/>
        </w:rPr>
        <w:t xml:space="preserve"> </w:t>
      </w:r>
    </w:p>
    <w:p w:rsidR="0011309C" w:rsidRDefault="008521CC" w:rsidP="002F1560">
      <w:pPr>
        <w:pStyle w:val="Ttulo"/>
        <w:ind w:firstLine="708"/>
        <w:jc w:val="both"/>
        <w:rPr>
          <w:rFonts w:cs="Arial"/>
          <w:b w:val="0"/>
          <w:u w:val="none"/>
          <w:lang w:val="es-ES"/>
        </w:rPr>
      </w:pPr>
      <w:r>
        <w:rPr>
          <w:rFonts w:cs="Arial"/>
          <w:u w:val="none"/>
          <w:lang w:val="es-ES"/>
        </w:rPr>
        <w:t>ATENTO</w:t>
      </w:r>
      <w:r w:rsidR="0011309C" w:rsidRPr="00A51CB9">
        <w:rPr>
          <w:rFonts w:cs="Arial"/>
          <w:u w:val="none"/>
          <w:lang w:val="es-ES"/>
        </w:rPr>
        <w:t xml:space="preserve"> </w:t>
      </w:r>
      <w:r w:rsidR="0011309C">
        <w:rPr>
          <w:rFonts w:cs="Arial"/>
          <w:b w:val="0"/>
          <w:u w:val="none"/>
          <w:lang w:val="es-ES"/>
        </w:rPr>
        <w:t>lo precedentemente ex</w:t>
      </w:r>
      <w:r w:rsidR="00283EFE">
        <w:rPr>
          <w:rFonts w:cs="Arial"/>
          <w:b w:val="0"/>
          <w:u w:val="none"/>
          <w:lang w:val="es-ES"/>
        </w:rPr>
        <w:t>puesto y lo establecido por el A</w:t>
      </w:r>
      <w:r w:rsidR="0011309C">
        <w:rPr>
          <w:rFonts w:cs="Arial"/>
          <w:b w:val="0"/>
          <w:u w:val="none"/>
          <w:lang w:val="es-ES"/>
        </w:rPr>
        <w:t xml:space="preserve">rtículo 211 </w:t>
      </w:r>
      <w:r w:rsidR="00283EFE">
        <w:rPr>
          <w:rFonts w:cs="Arial"/>
          <w:b w:val="0"/>
          <w:u w:val="none"/>
          <w:lang w:val="es-ES"/>
        </w:rPr>
        <w:t>L</w:t>
      </w:r>
      <w:r w:rsidR="0011309C">
        <w:rPr>
          <w:rFonts w:cs="Arial"/>
          <w:b w:val="0"/>
          <w:u w:val="none"/>
          <w:lang w:val="es-ES"/>
        </w:rPr>
        <w:t>iteral B) de la Constitución de la República;</w:t>
      </w:r>
    </w:p>
    <w:p w:rsidR="00C41A2E" w:rsidRDefault="0011309C" w:rsidP="008D0FC5">
      <w:pPr>
        <w:pStyle w:val="Ttulo"/>
        <w:rPr>
          <w:rFonts w:cs="Arial"/>
          <w:u w:val="none"/>
          <w:lang w:val="es-ES"/>
        </w:rPr>
      </w:pPr>
      <w:r>
        <w:rPr>
          <w:rFonts w:cs="Arial"/>
          <w:u w:val="none"/>
          <w:lang w:val="es-ES"/>
        </w:rPr>
        <w:t>EL TRIBUNAL ACUERDA</w:t>
      </w:r>
    </w:p>
    <w:p w:rsidR="00283EFE" w:rsidRPr="00C41A2E" w:rsidRDefault="008D0FC5" w:rsidP="008D0FC5">
      <w:pPr>
        <w:pStyle w:val="Ttulo"/>
        <w:jc w:val="left"/>
        <w:rPr>
          <w:rFonts w:cs="Arial"/>
          <w:u w:val="none"/>
          <w:lang w:val="es-ES"/>
        </w:rPr>
      </w:pPr>
      <w:r>
        <w:rPr>
          <w:rFonts w:cs="Arial"/>
          <w:u w:val="none"/>
        </w:rPr>
        <w:t xml:space="preserve">1) </w:t>
      </w:r>
      <w:r w:rsidR="0011309C" w:rsidRPr="00283EFE">
        <w:rPr>
          <w:rFonts w:cs="Arial"/>
          <w:b w:val="0"/>
          <w:u w:val="none"/>
        </w:rPr>
        <w:t xml:space="preserve">Observar el </w:t>
      </w:r>
      <w:r w:rsidR="008521CC" w:rsidRPr="00283EFE">
        <w:rPr>
          <w:rFonts w:cs="Arial"/>
          <w:b w:val="0"/>
          <w:u w:val="none"/>
        </w:rPr>
        <w:t>gasto</w:t>
      </w:r>
      <w:r>
        <w:rPr>
          <w:rFonts w:cs="Arial"/>
          <w:b w:val="0"/>
          <w:u w:val="none"/>
        </w:rPr>
        <w:t>;</w:t>
      </w:r>
    </w:p>
    <w:p w:rsidR="00283EFE" w:rsidRPr="00283EFE" w:rsidRDefault="008D0FC5" w:rsidP="008D0FC5">
      <w:pPr>
        <w:pStyle w:val="Ttulo"/>
        <w:jc w:val="left"/>
        <w:rPr>
          <w:rFonts w:cs="Arial"/>
          <w:b w:val="0"/>
          <w:u w:val="none"/>
          <w:lang w:val="es-ES"/>
        </w:rPr>
      </w:pPr>
      <w:r>
        <w:rPr>
          <w:rFonts w:cs="Arial"/>
          <w:u w:val="none"/>
        </w:rPr>
        <w:t xml:space="preserve">2) </w:t>
      </w:r>
      <w:r w:rsidR="0011309C" w:rsidRPr="00283EFE">
        <w:rPr>
          <w:rFonts w:cs="Arial"/>
          <w:b w:val="0"/>
          <w:u w:val="none"/>
        </w:rPr>
        <w:t>Oficiar a la Contadora Auditora</w:t>
      </w:r>
      <w:r w:rsidR="00554BF5">
        <w:rPr>
          <w:rFonts w:cs="Arial"/>
          <w:b w:val="0"/>
          <w:u w:val="none"/>
        </w:rPr>
        <w:t xml:space="preserve"> en</w:t>
      </w:r>
      <w:r w:rsidR="0011309C" w:rsidRPr="00283EFE">
        <w:rPr>
          <w:rFonts w:cs="Arial"/>
          <w:b w:val="0"/>
          <w:u w:val="none"/>
        </w:rPr>
        <w:t xml:space="preserve"> los tér</w:t>
      </w:r>
      <w:r>
        <w:rPr>
          <w:rFonts w:cs="Arial"/>
          <w:b w:val="0"/>
          <w:u w:val="none"/>
        </w:rPr>
        <w:t>minos de la presente Resolución; y</w:t>
      </w:r>
    </w:p>
    <w:p w:rsidR="0011309C" w:rsidRDefault="008D0FC5" w:rsidP="008D0FC5">
      <w:pPr>
        <w:pStyle w:val="Ttulo"/>
        <w:jc w:val="left"/>
        <w:rPr>
          <w:rFonts w:cs="Arial"/>
          <w:b w:val="0"/>
          <w:u w:val="none"/>
        </w:rPr>
      </w:pPr>
      <w:r>
        <w:rPr>
          <w:rFonts w:cs="Arial"/>
          <w:u w:val="none"/>
        </w:rPr>
        <w:t xml:space="preserve">3) </w:t>
      </w:r>
      <w:r w:rsidR="0011309C" w:rsidRPr="00283EFE">
        <w:rPr>
          <w:rFonts w:cs="Arial"/>
          <w:b w:val="0"/>
          <w:u w:val="none"/>
        </w:rPr>
        <w:t>Devolver los antecedentes.</w:t>
      </w:r>
    </w:p>
    <w:p w:rsidR="008D0FC5" w:rsidRDefault="008D0FC5" w:rsidP="008D0FC5">
      <w:pPr>
        <w:pStyle w:val="Ttulo"/>
        <w:jc w:val="left"/>
        <w:rPr>
          <w:rFonts w:cs="Arial"/>
          <w:b w:val="0"/>
          <w:u w:val="none"/>
        </w:rPr>
      </w:pPr>
    </w:p>
    <w:p w:rsidR="008D0FC5" w:rsidRPr="00283EFE" w:rsidRDefault="008D0FC5" w:rsidP="008D0FC5">
      <w:pPr>
        <w:pStyle w:val="Ttulo"/>
        <w:jc w:val="left"/>
        <w:rPr>
          <w:rFonts w:cs="Arial"/>
          <w:b w:val="0"/>
          <w:u w:val="none"/>
          <w:lang w:val="es-ES"/>
        </w:rPr>
      </w:pPr>
      <w:proofErr w:type="spellStart"/>
      <w:proofErr w:type="gramStart"/>
      <w:r>
        <w:rPr>
          <w:rFonts w:cs="Arial"/>
          <w:b w:val="0"/>
          <w:u w:val="none"/>
        </w:rPr>
        <w:t>lc</w:t>
      </w:r>
      <w:proofErr w:type="spellEnd"/>
      <w:proofErr w:type="gramEnd"/>
    </w:p>
    <w:p w:rsidR="0011309C" w:rsidRDefault="0011309C" w:rsidP="00C41A2E">
      <w:pPr>
        <w:spacing w:line="360" w:lineRule="auto"/>
        <w:ind w:left="708"/>
        <w:jc w:val="both"/>
        <w:rPr>
          <w:rFonts w:ascii="Arial" w:hAnsi="Arial" w:cs="Arial"/>
          <w:sz w:val="24"/>
          <w:szCs w:val="24"/>
        </w:rPr>
      </w:pPr>
    </w:p>
    <w:sectPr w:rsidR="0011309C" w:rsidSect="008C2906">
      <w:footerReference w:type="default" r:id="rId8"/>
      <w:pgSz w:w="11906" w:h="16838"/>
      <w:pgMar w:top="3175"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363" w:rsidRDefault="00203363" w:rsidP="00130506">
      <w:pPr>
        <w:spacing w:after="0" w:line="240" w:lineRule="auto"/>
      </w:pPr>
      <w:r>
        <w:separator/>
      </w:r>
    </w:p>
  </w:endnote>
  <w:endnote w:type="continuationSeparator" w:id="0">
    <w:p w:rsidR="00203363" w:rsidRDefault="00203363" w:rsidP="0013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FC5" w:rsidRDefault="008D0FC5">
    <w:pPr>
      <w:pStyle w:val="Piedepgina"/>
      <w:jc w:val="center"/>
    </w:pPr>
    <w:r>
      <w:fldChar w:fldCharType="begin"/>
    </w:r>
    <w:r>
      <w:instrText>PAGE   \* MERGEFORMAT</w:instrText>
    </w:r>
    <w:r>
      <w:fldChar w:fldCharType="separate"/>
    </w:r>
    <w:r w:rsidR="008C2906">
      <w:rPr>
        <w:noProof/>
      </w:rPr>
      <w:t>3</w:t>
    </w:r>
    <w:r>
      <w:fldChar w:fldCharType="end"/>
    </w:r>
  </w:p>
  <w:p w:rsidR="008D0FC5" w:rsidRDefault="008D0FC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363" w:rsidRDefault="00203363" w:rsidP="00130506">
      <w:pPr>
        <w:spacing w:after="0" w:line="240" w:lineRule="auto"/>
      </w:pPr>
      <w:r>
        <w:separator/>
      </w:r>
    </w:p>
  </w:footnote>
  <w:footnote w:type="continuationSeparator" w:id="0">
    <w:p w:rsidR="00203363" w:rsidRDefault="00203363" w:rsidP="001305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645974"/>
    <w:multiLevelType w:val="hybridMultilevel"/>
    <w:tmpl w:val="44748550"/>
    <w:lvl w:ilvl="0" w:tplc="8B1E5F52">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AC5"/>
    <w:rsid w:val="00007DAD"/>
    <w:rsid w:val="0002550E"/>
    <w:rsid w:val="00041BD9"/>
    <w:rsid w:val="0008567F"/>
    <w:rsid w:val="000A2AC2"/>
    <w:rsid w:val="000A317C"/>
    <w:rsid w:val="000A5D49"/>
    <w:rsid w:val="0011128B"/>
    <w:rsid w:val="00111C31"/>
    <w:rsid w:val="0011309C"/>
    <w:rsid w:val="001247C2"/>
    <w:rsid w:val="00130506"/>
    <w:rsid w:val="001527BA"/>
    <w:rsid w:val="001E4CBE"/>
    <w:rsid w:val="00203363"/>
    <w:rsid w:val="00211AE9"/>
    <w:rsid w:val="00237B70"/>
    <w:rsid w:val="00281BB0"/>
    <w:rsid w:val="00283EFE"/>
    <w:rsid w:val="002A3A94"/>
    <w:rsid w:val="002D1150"/>
    <w:rsid w:val="002F1560"/>
    <w:rsid w:val="003064DF"/>
    <w:rsid w:val="0036232F"/>
    <w:rsid w:val="00407AC5"/>
    <w:rsid w:val="00460329"/>
    <w:rsid w:val="00512A53"/>
    <w:rsid w:val="00514197"/>
    <w:rsid w:val="005222D3"/>
    <w:rsid w:val="00543D00"/>
    <w:rsid w:val="00554BF5"/>
    <w:rsid w:val="005B0A27"/>
    <w:rsid w:val="00630EDC"/>
    <w:rsid w:val="00674971"/>
    <w:rsid w:val="006C090B"/>
    <w:rsid w:val="00791B64"/>
    <w:rsid w:val="007C49B7"/>
    <w:rsid w:val="007F074F"/>
    <w:rsid w:val="00817132"/>
    <w:rsid w:val="008521CC"/>
    <w:rsid w:val="008C2906"/>
    <w:rsid w:val="008D0FC5"/>
    <w:rsid w:val="00901E89"/>
    <w:rsid w:val="009A2118"/>
    <w:rsid w:val="009F170C"/>
    <w:rsid w:val="00A51CB9"/>
    <w:rsid w:val="00B51747"/>
    <w:rsid w:val="00BA62FD"/>
    <w:rsid w:val="00C41A2E"/>
    <w:rsid w:val="00CA213B"/>
    <w:rsid w:val="00CB2974"/>
    <w:rsid w:val="00CB2AFE"/>
    <w:rsid w:val="00D42D8B"/>
    <w:rsid w:val="00D61E17"/>
    <w:rsid w:val="00DB3F04"/>
    <w:rsid w:val="00E02013"/>
    <w:rsid w:val="00E31694"/>
    <w:rsid w:val="00E87EFF"/>
    <w:rsid w:val="00F37C63"/>
    <w:rsid w:val="00F7306D"/>
    <w:rsid w:val="00F95C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67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30506"/>
    <w:pPr>
      <w:tabs>
        <w:tab w:val="center" w:pos="4252"/>
        <w:tab w:val="right" w:pos="8504"/>
      </w:tabs>
      <w:spacing w:after="0" w:line="240" w:lineRule="auto"/>
    </w:pPr>
  </w:style>
  <w:style w:type="character" w:customStyle="1" w:styleId="EncabezadoCar">
    <w:name w:val="Encabezado Car"/>
    <w:link w:val="Encabezado"/>
    <w:uiPriority w:val="99"/>
    <w:locked/>
    <w:rsid w:val="00130506"/>
    <w:rPr>
      <w:rFonts w:cs="Times New Roman"/>
    </w:rPr>
  </w:style>
  <w:style w:type="paragraph" w:styleId="Piedepgina">
    <w:name w:val="footer"/>
    <w:basedOn w:val="Normal"/>
    <w:link w:val="PiedepginaCar"/>
    <w:uiPriority w:val="99"/>
    <w:rsid w:val="00130506"/>
    <w:pPr>
      <w:tabs>
        <w:tab w:val="center" w:pos="4252"/>
        <w:tab w:val="right" w:pos="8504"/>
      </w:tabs>
      <w:spacing w:after="0" w:line="240" w:lineRule="auto"/>
    </w:pPr>
  </w:style>
  <w:style w:type="character" w:customStyle="1" w:styleId="PiedepginaCar">
    <w:name w:val="Pie de página Car"/>
    <w:link w:val="Piedepgina"/>
    <w:uiPriority w:val="99"/>
    <w:locked/>
    <w:rsid w:val="00130506"/>
    <w:rPr>
      <w:rFonts w:cs="Times New Roman"/>
    </w:rPr>
  </w:style>
  <w:style w:type="paragraph" w:styleId="Ttulo">
    <w:name w:val="Title"/>
    <w:basedOn w:val="Normal"/>
    <w:link w:val="TtuloCar"/>
    <w:uiPriority w:val="99"/>
    <w:qFormat/>
    <w:rsid w:val="002F1560"/>
    <w:pPr>
      <w:spacing w:after="0" w:line="360" w:lineRule="auto"/>
      <w:jc w:val="center"/>
    </w:pPr>
    <w:rPr>
      <w:rFonts w:ascii="Arial" w:eastAsia="Times New Roman" w:hAnsi="Arial"/>
      <w:b/>
      <w:sz w:val="24"/>
      <w:szCs w:val="24"/>
      <w:u w:val="single"/>
      <w:lang w:val="es-UY" w:eastAsia="es-ES"/>
    </w:rPr>
  </w:style>
  <w:style w:type="character" w:customStyle="1" w:styleId="TtuloCar">
    <w:name w:val="Título Car"/>
    <w:link w:val="Ttulo"/>
    <w:uiPriority w:val="99"/>
    <w:locked/>
    <w:rsid w:val="002F1560"/>
    <w:rPr>
      <w:rFonts w:ascii="Arial" w:hAnsi="Arial" w:cs="Times New Roman"/>
      <w:b/>
      <w:sz w:val="24"/>
      <w:szCs w:val="24"/>
      <w:u w:val="single"/>
      <w:lang w:val="es-UY" w:eastAsia="es-ES"/>
    </w:rPr>
  </w:style>
  <w:style w:type="paragraph" w:styleId="Textodeglobo">
    <w:name w:val="Balloon Text"/>
    <w:basedOn w:val="Normal"/>
    <w:link w:val="TextodegloboCar"/>
    <w:uiPriority w:val="99"/>
    <w:semiHidden/>
    <w:unhideWhenUsed/>
    <w:rsid w:val="00512A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2A5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67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30506"/>
    <w:pPr>
      <w:tabs>
        <w:tab w:val="center" w:pos="4252"/>
        <w:tab w:val="right" w:pos="8504"/>
      </w:tabs>
      <w:spacing w:after="0" w:line="240" w:lineRule="auto"/>
    </w:pPr>
  </w:style>
  <w:style w:type="character" w:customStyle="1" w:styleId="EncabezadoCar">
    <w:name w:val="Encabezado Car"/>
    <w:link w:val="Encabezado"/>
    <w:uiPriority w:val="99"/>
    <w:locked/>
    <w:rsid w:val="00130506"/>
    <w:rPr>
      <w:rFonts w:cs="Times New Roman"/>
    </w:rPr>
  </w:style>
  <w:style w:type="paragraph" w:styleId="Piedepgina">
    <w:name w:val="footer"/>
    <w:basedOn w:val="Normal"/>
    <w:link w:val="PiedepginaCar"/>
    <w:uiPriority w:val="99"/>
    <w:rsid w:val="00130506"/>
    <w:pPr>
      <w:tabs>
        <w:tab w:val="center" w:pos="4252"/>
        <w:tab w:val="right" w:pos="8504"/>
      </w:tabs>
      <w:spacing w:after="0" w:line="240" w:lineRule="auto"/>
    </w:pPr>
  </w:style>
  <w:style w:type="character" w:customStyle="1" w:styleId="PiedepginaCar">
    <w:name w:val="Pie de página Car"/>
    <w:link w:val="Piedepgina"/>
    <w:uiPriority w:val="99"/>
    <w:locked/>
    <w:rsid w:val="00130506"/>
    <w:rPr>
      <w:rFonts w:cs="Times New Roman"/>
    </w:rPr>
  </w:style>
  <w:style w:type="paragraph" w:styleId="Ttulo">
    <w:name w:val="Title"/>
    <w:basedOn w:val="Normal"/>
    <w:link w:val="TtuloCar"/>
    <w:uiPriority w:val="99"/>
    <w:qFormat/>
    <w:rsid w:val="002F1560"/>
    <w:pPr>
      <w:spacing w:after="0" w:line="360" w:lineRule="auto"/>
      <w:jc w:val="center"/>
    </w:pPr>
    <w:rPr>
      <w:rFonts w:ascii="Arial" w:eastAsia="Times New Roman" w:hAnsi="Arial"/>
      <w:b/>
      <w:sz w:val="24"/>
      <w:szCs w:val="24"/>
      <w:u w:val="single"/>
      <w:lang w:val="es-UY" w:eastAsia="es-ES"/>
    </w:rPr>
  </w:style>
  <w:style w:type="character" w:customStyle="1" w:styleId="TtuloCar">
    <w:name w:val="Título Car"/>
    <w:link w:val="Ttulo"/>
    <w:uiPriority w:val="99"/>
    <w:locked/>
    <w:rsid w:val="002F1560"/>
    <w:rPr>
      <w:rFonts w:ascii="Arial" w:hAnsi="Arial" w:cs="Times New Roman"/>
      <w:b/>
      <w:sz w:val="24"/>
      <w:szCs w:val="24"/>
      <w:u w:val="single"/>
      <w:lang w:val="es-UY" w:eastAsia="es-ES"/>
    </w:rPr>
  </w:style>
  <w:style w:type="paragraph" w:styleId="Textodeglobo">
    <w:name w:val="Balloon Text"/>
    <w:basedOn w:val="Normal"/>
    <w:link w:val="TextodegloboCar"/>
    <w:uiPriority w:val="99"/>
    <w:semiHidden/>
    <w:unhideWhenUsed/>
    <w:rsid w:val="00512A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2A5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1517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686</Words>
  <Characters>4008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CARPETA Nº 2016-17-1-0008933</vt:lpstr>
    </vt:vector>
  </TitlesOfParts>
  <Company/>
  <LinksUpToDate>false</LinksUpToDate>
  <CharactersWithSpaces>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2016-17-1-0008933</dc:title>
  <dc:creator>ALEJANDRA NOEMI ALMIRATI ALMIRATI</dc:creator>
  <cp:lastModifiedBy>Tribunal1</cp:lastModifiedBy>
  <cp:revision>5</cp:revision>
  <cp:lastPrinted>2017-01-18T17:11:00Z</cp:lastPrinted>
  <dcterms:created xsi:type="dcterms:W3CDTF">2017-01-18T17:02:00Z</dcterms:created>
  <dcterms:modified xsi:type="dcterms:W3CDTF">2017-01-18T17:12:00Z</dcterms:modified>
</cp:coreProperties>
</file>