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0A1" w:rsidRPr="00786EEB" w:rsidRDefault="00B210A1" w:rsidP="00A41D1E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C31D14">
        <w:rPr>
          <w:rFonts w:ascii="Arial" w:hAnsi="Arial" w:cs="Arial"/>
          <w:b/>
          <w:sz w:val="28"/>
          <w:szCs w:val="28"/>
          <w:lang w:val="es-ES_tradnl"/>
        </w:rPr>
        <w:t>3600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B210A1" w:rsidRDefault="00B210A1" w:rsidP="00B210A1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B210A1" w:rsidRPr="00762B34" w:rsidRDefault="00B210A1" w:rsidP="00B210A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B210A1" w:rsidRPr="00762B34" w:rsidRDefault="00B210A1" w:rsidP="00B210A1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B210A1" w:rsidRPr="00762B34" w:rsidRDefault="00B210A1" w:rsidP="00B210A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  <w:bookmarkStart w:id="0" w:name="_GoBack"/>
      <w:bookmarkEnd w:id="0"/>
    </w:p>
    <w:p w:rsidR="00B210A1" w:rsidRPr="00762B34" w:rsidRDefault="00B210A1" w:rsidP="00B210A1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B210A1" w:rsidRPr="00762B34" w:rsidRDefault="00B210A1" w:rsidP="00B210A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Helvetica" w:hAnsi="Helvetica"/>
          <w:b/>
          <w:lang w:val="es-ES_tradnl"/>
        </w:rPr>
        <w:t>12 DE OCTUBRE DE 2016</w:t>
      </w:r>
    </w:p>
    <w:p w:rsidR="00B210A1" w:rsidRPr="00762B34" w:rsidRDefault="00B210A1" w:rsidP="00B210A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77605B" w:rsidRPr="00BD1694" w:rsidRDefault="00C31D14" w:rsidP="00C31D1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</w:rPr>
      </w:pPr>
      <w:r w:rsidRPr="00BD1694">
        <w:rPr>
          <w:rFonts w:ascii="Arial" w:hAnsi="Arial" w:cs="Arial"/>
          <w:b/>
        </w:rPr>
        <w:t xml:space="preserve">(E. E. Nº </w:t>
      </w:r>
      <w:r w:rsidR="00B210A1" w:rsidRPr="00C31D14">
        <w:rPr>
          <w:rFonts w:ascii="Arial" w:hAnsi="Arial" w:cs="Arial"/>
          <w:b/>
          <w:sz w:val="24"/>
          <w:szCs w:val="24"/>
        </w:rPr>
        <w:t>2016-17-1-0006516</w:t>
      </w:r>
      <w:r w:rsidR="00B210A1" w:rsidRPr="00BD1694">
        <w:rPr>
          <w:rFonts w:ascii="Arial" w:hAnsi="Arial" w:cs="Arial"/>
          <w:b/>
        </w:rPr>
        <w:t xml:space="preserve">, </w:t>
      </w:r>
      <w:proofErr w:type="spellStart"/>
      <w:r w:rsidR="00B210A1" w:rsidRPr="00BD1694">
        <w:rPr>
          <w:rFonts w:ascii="Arial" w:hAnsi="Arial" w:cs="Arial"/>
          <w:b/>
        </w:rPr>
        <w:t>Ent</w:t>
      </w:r>
      <w:proofErr w:type="spellEnd"/>
      <w:r w:rsidR="00B210A1" w:rsidRPr="00BD1694">
        <w:rPr>
          <w:rFonts w:ascii="Arial" w:hAnsi="Arial" w:cs="Arial"/>
          <w:b/>
        </w:rPr>
        <w:t>. N°</w:t>
      </w:r>
      <w:r w:rsidRPr="00C31D14">
        <w:rPr>
          <w:rFonts w:ascii="Arial" w:hAnsi="Arial" w:cs="Arial"/>
          <w:b/>
          <w:sz w:val="24"/>
          <w:szCs w:val="24"/>
        </w:rPr>
        <w:t>5033/16</w:t>
      </w:r>
      <w:r w:rsidRPr="00BD1694">
        <w:rPr>
          <w:rFonts w:ascii="Arial" w:hAnsi="Arial" w:cs="Arial"/>
          <w:b/>
        </w:rPr>
        <w:t>)</w:t>
      </w:r>
    </w:p>
    <w:p w:rsidR="00C31D14" w:rsidRPr="00BD1694" w:rsidRDefault="00C31D14" w:rsidP="00C31D1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</w:rPr>
      </w:pPr>
    </w:p>
    <w:p w:rsidR="0077605B" w:rsidRPr="0077605B" w:rsidRDefault="0077605B" w:rsidP="00C31D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VISTO: </w:t>
      </w:r>
      <w:r>
        <w:rPr>
          <w:rFonts w:ascii="Arial" w:hAnsi="Arial" w:cs="Arial"/>
          <w:sz w:val="24"/>
          <w:szCs w:val="24"/>
        </w:rPr>
        <w:t xml:space="preserve">las actuaciones remitidas por la Administración Nacional de Educación Pública – Consejo Directivo Central, relacionadas con la Licitación Pública N° 29/16 convocada para la ejecución de obras de reparaciones generales en el local de la Escuela N° 1 del </w:t>
      </w:r>
      <w:r w:rsidR="00BD1694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epartamento de Colonia;</w:t>
      </w:r>
    </w:p>
    <w:p w:rsidR="0077605B" w:rsidRDefault="0077605B" w:rsidP="00C31D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RESULTANDO:</w:t>
      </w:r>
      <w:r w:rsidR="00C31D14">
        <w:rPr>
          <w:rFonts w:ascii="Arial" w:hAnsi="Arial" w:cs="Arial"/>
          <w:b/>
          <w:sz w:val="24"/>
          <w:szCs w:val="24"/>
        </w:rPr>
        <w:t xml:space="preserve"> </w:t>
      </w:r>
      <w:r w:rsidR="004E7D5C">
        <w:rPr>
          <w:rFonts w:ascii="Arial" w:hAnsi="Arial" w:cs="Arial"/>
          <w:b/>
          <w:sz w:val="24"/>
          <w:szCs w:val="24"/>
        </w:rPr>
        <w:t xml:space="preserve">  </w:t>
      </w:r>
      <w:r w:rsidR="0019590E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cumplido el requisito legal de publicidad, con fecha 11.08.16 se realizó el acto de apertura</w:t>
      </w:r>
      <w:r w:rsidR="0019590E">
        <w:rPr>
          <w:rFonts w:ascii="Arial" w:hAnsi="Arial" w:cs="Arial"/>
          <w:sz w:val="24"/>
          <w:szCs w:val="24"/>
        </w:rPr>
        <w:t xml:space="preserve"> de ofertas, al que se presentaron seis </w:t>
      </w:r>
      <w:r w:rsidR="00BD1694">
        <w:rPr>
          <w:rFonts w:ascii="Arial" w:hAnsi="Arial" w:cs="Arial"/>
          <w:sz w:val="24"/>
          <w:szCs w:val="24"/>
        </w:rPr>
        <w:t>F</w:t>
      </w:r>
      <w:r w:rsidR="0019590E">
        <w:rPr>
          <w:rFonts w:ascii="Arial" w:hAnsi="Arial" w:cs="Arial"/>
          <w:sz w:val="24"/>
          <w:szCs w:val="24"/>
        </w:rPr>
        <w:t xml:space="preserve">irmas: </w:t>
      </w:r>
      <w:proofErr w:type="spellStart"/>
      <w:r>
        <w:rPr>
          <w:rFonts w:ascii="Arial" w:hAnsi="Arial" w:cs="Arial"/>
          <w:sz w:val="24"/>
          <w:szCs w:val="24"/>
        </w:rPr>
        <w:t>Tecnos</w:t>
      </w:r>
      <w:proofErr w:type="spellEnd"/>
      <w:r>
        <w:rPr>
          <w:rFonts w:ascii="Arial" w:hAnsi="Arial" w:cs="Arial"/>
          <w:sz w:val="24"/>
          <w:szCs w:val="24"/>
        </w:rPr>
        <w:t xml:space="preserve"> Ingeniería S.R.L</w:t>
      </w:r>
      <w:r w:rsidR="0019590E"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</w:rPr>
        <w:t>FTV Ingeniería S.R.L</w:t>
      </w:r>
      <w:r w:rsidR="00BD1694">
        <w:rPr>
          <w:rFonts w:ascii="Arial" w:hAnsi="Arial" w:cs="Arial"/>
          <w:sz w:val="24"/>
          <w:szCs w:val="24"/>
        </w:rPr>
        <w:t>.</w:t>
      </w:r>
      <w:r w:rsidR="0019590E">
        <w:rPr>
          <w:rFonts w:ascii="Arial" w:hAnsi="Arial" w:cs="Arial"/>
          <w:sz w:val="24"/>
          <w:szCs w:val="24"/>
        </w:rPr>
        <w:t xml:space="preserve">; </w:t>
      </w:r>
      <w:proofErr w:type="spellStart"/>
      <w:r>
        <w:rPr>
          <w:rFonts w:ascii="Arial" w:hAnsi="Arial" w:cs="Arial"/>
          <w:sz w:val="24"/>
          <w:szCs w:val="24"/>
        </w:rPr>
        <w:t>Filipiak</w:t>
      </w:r>
      <w:proofErr w:type="spellEnd"/>
      <w:r>
        <w:rPr>
          <w:rFonts w:ascii="Arial" w:hAnsi="Arial" w:cs="Arial"/>
          <w:sz w:val="24"/>
          <w:szCs w:val="24"/>
        </w:rPr>
        <w:t xml:space="preserve"> Ingeniería S.R.L</w:t>
      </w:r>
      <w:r w:rsidR="0019590E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19590E">
        <w:rPr>
          <w:rFonts w:ascii="Arial" w:hAnsi="Arial" w:cs="Arial"/>
          <w:sz w:val="24"/>
          <w:szCs w:val="24"/>
        </w:rPr>
        <w:t>Imperplast</w:t>
      </w:r>
      <w:proofErr w:type="spellEnd"/>
      <w:r w:rsidRPr="0019590E">
        <w:rPr>
          <w:rFonts w:ascii="Arial" w:hAnsi="Arial" w:cs="Arial"/>
          <w:sz w:val="24"/>
          <w:szCs w:val="24"/>
        </w:rPr>
        <w:t xml:space="preserve"> S.R.L</w:t>
      </w:r>
      <w:r w:rsidR="0019590E" w:rsidRPr="0019590E">
        <w:rPr>
          <w:rFonts w:ascii="Arial" w:hAnsi="Arial" w:cs="Arial"/>
          <w:sz w:val="24"/>
          <w:szCs w:val="24"/>
        </w:rPr>
        <w:t xml:space="preserve">; </w:t>
      </w:r>
      <w:r w:rsidRPr="0019590E">
        <w:rPr>
          <w:rFonts w:ascii="Arial" w:hAnsi="Arial" w:cs="Arial"/>
          <w:sz w:val="24"/>
          <w:szCs w:val="24"/>
        </w:rPr>
        <w:t xml:space="preserve">Joan Manuel </w:t>
      </w:r>
      <w:proofErr w:type="spellStart"/>
      <w:r w:rsidRPr="0019590E">
        <w:rPr>
          <w:rFonts w:ascii="Arial" w:hAnsi="Arial" w:cs="Arial"/>
          <w:sz w:val="24"/>
          <w:szCs w:val="24"/>
        </w:rPr>
        <w:t>Schenck</w:t>
      </w:r>
      <w:proofErr w:type="spellEnd"/>
      <w:r w:rsidR="0019590E">
        <w:rPr>
          <w:rFonts w:ascii="Arial" w:hAnsi="Arial" w:cs="Arial"/>
          <w:sz w:val="24"/>
          <w:szCs w:val="24"/>
        </w:rPr>
        <w:t xml:space="preserve">; y </w:t>
      </w:r>
      <w:r>
        <w:rPr>
          <w:rFonts w:ascii="Arial" w:hAnsi="Arial" w:cs="Arial"/>
          <w:sz w:val="24"/>
          <w:szCs w:val="24"/>
        </w:rPr>
        <w:t>Eduardo Schmidt</w:t>
      </w:r>
      <w:r w:rsidR="0019590E">
        <w:rPr>
          <w:rFonts w:ascii="Arial" w:hAnsi="Arial" w:cs="Arial"/>
          <w:sz w:val="24"/>
          <w:szCs w:val="24"/>
        </w:rPr>
        <w:t>;</w:t>
      </w:r>
    </w:p>
    <w:p w:rsidR="0019590E" w:rsidRDefault="004E7D5C" w:rsidP="00C31D14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="0019590E" w:rsidRPr="0019590E">
        <w:rPr>
          <w:rFonts w:ascii="Arial" w:hAnsi="Arial" w:cs="Arial"/>
          <w:b/>
          <w:sz w:val="24"/>
          <w:szCs w:val="24"/>
        </w:rPr>
        <w:t>2)</w:t>
      </w:r>
      <w:r w:rsidR="0019590E">
        <w:rPr>
          <w:rFonts w:ascii="Arial" w:hAnsi="Arial" w:cs="Arial"/>
          <w:b/>
          <w:sz w:val="24"/>
          <w:szCs w:val="24"/>
        </w:rPr>
        <w:t xml:space="preserve"> </w:t>
      </w:r>
      <w:r w:rsidR="0019590E">
        <w:rPr>
          <w:rFonts w:ascii="Arial" w:hAnsi="Arial" w:cs="Arial"/>
          <w:sz w:val="24"/>
          <w:szCs w:val="24"/>
        </w:rPr>
        <w:t>que</w:t>
      </w:r>
      <w:r w:rsidR="00627BD6">
        <w:rPr>
          <w:rFonts w:ascii="Arial" w:hAnsi="Arial" w:cs="Arial"/>
          <w:sz w:val="24"/>
          <w:szCs w:val="24"/>
        </w:rPr>
        <w:t xml:space="preserve"> la Administración </w:t>
      </w:r>
      <w:r w:rsidR="0019590E">
        <w:rPr>
          <w:rFonts w:ascii="Arial" w:hAnsi="Arial" w:cs="Arial"/>
          <w:sz w:val="24"/>
          <w:szCs w:val="24"/>
        </w:rPr>
        <w:t>accedi</w:t>
      </w:r>
      <w:r w:rsidR="00627BD6">
        <w:rPr>
          <w:rFonts w:ascii="Arial" w:hAnsi="Arial" w:cs="Arial"/>
          <w:sz w:val="24"/>
          <w:szCs w:val="24"/>
        </w:rPr>
        <w:t>ó</w:t>
      </w:r>
      <w:r w:rsidR="0019590E">
        <w:rPr>
          <w:rFonts w:ascii="Arial" w:hAnsi="Arial" w:cs="Arial"/>
          <w:sz w:val="24"/>
          <w:szCs w:val="24"/>
        </w:rPr>
        <w:t xml:space="preserve"> a información proporcionada por el RUPE,</w:t>
      </w:r>
      <w:r w:rsidR="00627BD6">
        <w:rPr>
          <w:rFonts w:ascii="Arial" w:hAnsi="Arial" w:cs="Arial"/>
          <w:sz w:val="24"/>
          <w:szCs w:val="24"/>
        </w:rPr>
        <w:t xml:space="preserve"> de la que </w:t>
      </w:r>
      <w:r w:rsidR="0019590E">
        <w:rPr>
          <w:rFonts w:ascii="Arial" w:hAnsi="Arial" w:cs="Arial"/>
          <w:sz w:val="24"/>
          <w:szCs w:val="24"/>
        </w:rPr>
        <w:t xml:space="preserve">surge que todos los oferentes se encuentran en estado </w:t>
      </w:r>
      <w:r w:rsidR="0019590E">
        <w:rPr>
          <w:rFonts w:ascii="Arial" w:hAnsi="Arial" w:cs="Arial"/>
          <w:i/>
          <w:sz w:val="24"/>
          <w:szCs w:val="24"/>
        </w:rPr>
        <w:t>activo</w:t>
      </w:r>
      <w:r w:rsidR="0019590E">
        <w:rPr>
          <w:rFonts w:ascii="Arial" w:hAnsi="Arial" w:cs="Arial"/>
          <w:sz w:val="24"/>
          <w:szCs w:val="24"/>
        </w:rPr>
        <w:t xml:space="preserve"> en el mismo;</w:t>
      </w:r>
    </w:p>
    <w:p w:rsidR="0019590E" w:rsidRDefault="0019590E" w:rsidP="00C31D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9590E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respecto del análisis de admisibilidad de las ofertas presentadas, con fecha 26.08.16 el </w:t>
      </w:r>
      <w:r w:rsidRPr="0019590E">
        <w:rPr>
          <w:rFonts w:ascii="Arial" w:hAnsi="Arial" w:cs="Arial"/>
          <w:sz w:val="24"/>
          <w:szCs w:val="24"/>
        </w:rPr>
        <w:t>Área Gestión y Contralor de Obras</w:t>
      </w:r>
      <w:r>
        <w:rPr>
          <w:rFonts w:ascii="Arial" w:hAnsi="Arial" w:cs="Arial"/>
          <w:sz w:val="24"/>
          <w:szCs w:val="24"/>
        </w:rPr>
        <w:t xml:space="preserve"> informó que no son admisibles las ofertas presentadas por las siguientes </w:t>
      </w:r>
      <w:r w:rsidR="00BD1694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irmas: </w:t>
      </w:r>
      <w:r w:rsidRPr="00BD1694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) Joan Manuel </w:t>
      </w:r>
      <w:proofErr w:type="spellStart"/>
      <w:r>
        <w:rPr>
          <w:rFonts w:ascii="Arial" w:hAnsi="Arial" w:cs="Arial"/>
          <w:sz w:val="24"/>
          <w:szCs w:val="24"/>
        </w:rPr>
        <w:t>Schenck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r w:rsidRPr="00BD1694">
        <w:rPr>
          <w:rFonts w:ascii="Arial" w:hAnsi="Arial" w:cs="Arial"/>
          <w:b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) Eduardo Schmidt, por no presentar el certificado válido del RNEOP del MTOP para ofertar en el acto de apertura, en contravención de</w:t>
      </w:r>
      <w:r w:rsidR="00627B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 w:rsidR="00627BD6"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z w:val="24"/>
          <w:szCs w:val="24"/>
        </w:rPr>
        <w:t xml:space="preserve"> </w:t>
      </w:r>
      <w:r w:rsidR="00BD169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rtículo</w:t>
      </w:r>
      <w:r w:rsidR="00627BD6">
        <w:rPr>
          <w:rFonts w:ascii="Arial" w:hAnsi="Arial" w:cs="Arial"/>
          <w:sz w:val="24"/>
          <w:szCs w:val="24"/>
        </w:rPr>
        <w:t>s</w:t>
      </w:r>
      <w:r w:rsidR="00A41D1E">
        <w:rPr>
          <w:rFonts w:ascii="Arial" w:hAnsi="Arial" w:cs="Arial"/>
          <w:sz w:val="24"/>
          <w:szCs w:val="24"/>
        </w:rPr>
        <w:t xml:space="preserve"> 9.3 L</w:t>
      </w:r>
      <w:r>
        <w:rPr>
          <w:rFonts w:ascii="Arial" w:hAnsi="Arial" w:cs="Arial"/>
          <w:sz w:val="24"/>
          <w:szCs w:val="24"/>
        </w:rPr>
        <w:t>it</w:t>
      </w:r>
      <w:r w:rsidR="00A41D1E">
        <w:rPr>
          <w:rFonts w:ascii="Arial" w:hAnsi="Arial" w:cs="Arial"/>
          <w:sz w:val="24"/>
          <w:szCs w:val="24"/>
        </w:rPr>
        <w:t>eral f) y 13.1 L</w:t>
      </w:r>
      <w:r>
        <w:rPr>
          <w:rFonts w:ascii="Arial" w:hAnsi="Arial" w:cs="Arial"/>
          <w:sz w:val="24"/>
          <w:szCs w:val="24"/>
        </w:rPr>
        <w:t>it</w:t>
      </w:r>
      <w:r w:rsidR="00A41D1E">
        <w:rPr>
          <w:rFonts w:ascii="Arial" w:hAnsi="Arial" w:cs="Arial"/>
          <w:sz w:val="24"/>
          <w:szCs w:val="24"/>
        </w:rPr>
        <w:t>eral</w:t>
      </w:r>
      <w:r>
        <w:rPr>
          <w:rFonts w:ascii="Arial" w:hAnsi="Arial" w:cs="Arial"/>
          <w:sz w:val="24"/>
          <w:szCs w:val="24"/>
        </w:rPr>
        <w:t xml:space="preserve"> b</w:t>
      </w:r>
      <w:r w:rsidR="00A41D1E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del Pliego de Condiciones Particulares; y </w:t>
      </w:r>
      <w:r w:rsidRPr="00BD1694">
        <w:rPr>
          <w:rFonts w:ascii="Arial" w:hAnsi="Arial" w:cs="Arial"/>
          <w:b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Imperplast</w:t>
      </w:r>
      <w:proofErr w:type="spellEnd"/>
      <w:r>
        <w:rPr>
          <w:rFonts w:ascii="Arial" w:hAnsi="Arial" w:cs="Arial"/>
          <w:sz w:val="24"/>
          <w:szCs w:val="24"/>
        </w:rPr>
        <w:t xml:space="preserve"> S.R.L por contravención al </w:t>
      </w:r>
      <w:r w:rsidR="00BD169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rtículo 3.2 in fine del Pliego de Condiciones Particulares, en tanto modificó la cantidad establecida en el </w:t>
      </w:r>
      <w:proofErr w:type="spellStart"/>
      <w:r>
        <w:rPr>
          <w:rFonts w:ascii="Arial" w:hAnsi="Arial" w:cs="Arial"/>
          <w:sz w:val="24"/>
          <w:szCs w:val="24"/>
        </w:rPr>
        <w:t>Rubrado</w:t>
      </w:r>
      <w:proofErr w:type="spellEnd"/>
      <w:r>
        <w:rPr>
          <w:rFonts w:ascii="Arial" w:hAnsi="Arial" w:cs="Arial"/>
          <w:sz w:val="24"/>
          <w:szCs w:val="24"/>
        </w:rPr>
        <w:t xml:space="preserve"> Oficial para el rubro 3.2 “Reacondicionami</w:t>
      </w:r>
      <w:r w:rsidR="00627BD6">
        <w:rPr>
          <w:rFonts w:ascii="Arial" w:hAnsi="Arial" w:cs="Arial"/>
          <w:sz w:val="24"/>
          <w:szCs w:val="24"/>
        </w:rPr>
        <w:t xml:space="preserve">ento de lucernarios sobre baños”, siendo </w:t>
      </w:r>
      <w:r>
        <w:rPr>
          <w:rFonts w:ascii="Arial" w:hAnsi="Arial" w:cs="Arial"/>
          <w:sz w:val="24"/>
          <w:szCs w:val="24"/>
        </w:rPr>
        <w:t>admisibles las ofertas presentad</w:t>
      </w:r>
      <w:r w:rsidR="00627BD6">
        <w:rPr>
          <w:rFonts w:ascii="Arial" w:hAnsi="Arial" w:cs="Arial"/>
          <w:sz w:val="24"/>
          <w:szCs w:val="24"/>
        </w:rPr>
        <w:t xml:space="preserve">as por  </w:t>
      </w:r>
      <w:proofErr w:type="spellStart"/>
      <w:r w:rsidR="00627BD6">
        <w:rPr>
          <w:rFonts w:ascii="Arial" w:hAnsi="Arial" w:cs="Arial"/>
          <w:sz w:val="24"/>
          <w:szCs w:val="24"/>
        </w:rPr>
        <w:t>Tecnos</w:t>
      </w:r>
      <w:proofErr w:type="spellEnd"/>
      <w:r w:rsidR="00627BD6">
        <w:rPr>
          <w:rFonts w:ascii="Arial" w:hAnsi="Arial" w:cs="Arial"/>
          <w:sz w:val="24"/>
          <w:szCs w:val="24"/>
        </w:rPr>
        <w:t xml:space="preserve"> Ingeniería S.R.L,</w:t>
      </w:r>
      <w:r w:rsidR="00116A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FTV Ingeniería S.R.L</w:t>
      </w:r>
      <w:r w:rsidR="00116AE3"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Filipiak</w:t>
      </w:r>
      <w:proofErr w:type="spellEnd"/>
      <w:r>
        <w:rPr>
          <w:rFonts w:ascii="Arial" w:hAnsi="Arial" w:cs="Arial"/>
          <w:sz w:val="24"/>
          <w:szCs w:val="24"/>
        </w:rPr>
        <w:t xml:space="preserve"> Ingeniería S.R.L</w:t>
      </w:r>
      <w:r w:rsidR="00116AE3">
        <w:rPr>
          <w:rFonts w:ascii="Arial" w:hAnsi="Arial" w:cs="Arial"/>
          <w:sz w:val="24"/>
          <w:szCs w:val="24"/>
        </w:rPr>
        <w:t xml:space="preserve">, las </w:t>
      </w:r>
      <w:r w:rsidR="00116AE3">
        <w:rPr>
          <w:rFonts w:ascii="Arial" w:hAnsi="Arial" w:cs="Arial"/>
          <w:sz w:val="24"/>
          <w:szCs w:val="24"/>
        </w:rPr>
        <w:lastRenderedPageBreak/>
        <w:t>que, de conformidad con</w:t>
      </w:r>
      <w:r w:rsidR="00627BD6">
        <w:rPr>
          <w:rFonts w:ascii="Arial" w:hAnsi="Arial" w:cs="Arial"/>
          <w:sz w:val="24"/>
          <w:szCs w:val="24"/>
        </w:rPr>
        <w:t xml:space="preserve"> lo establecido en </w:t>
      </w:r>
      <w:r w:rsidR="00116AE3">
        <w:rPr>
          <w:rFonts w:ascii="Arial" w:hAnsi="Arial" w:cs="Arial"/>
          <w:sz w:val="24"/>
          <w:szCs w:val="24"/>
        </w:rPr>
        <w:t xml:space="preserve">el referido informe del Área Gestión y Contralor de Obras, </w:t>
      </w:r>
      <w:r w:rsidR="00627BD6">
        <w:rPr>
          <w:rFonts w:ascii="Arial" w:hAnsi="Arial" w:cs="Arial"/>
          <w:sz w:val="24"/>
          <w:szCs w:val="24"/>
        </w:rPr>
        <w:t>no son</w:t>
      </w:r>
      <w:r>
        <w:rPr>
          <w:rFonts w:ascii="Arial" w:hAnsi="Arial" w:cs="Arial"/>
          <w:sz w:val="24"/>
          <w:szCs w:val="24"/>
        </w:rPr>
        <w:t xml:space="preserve"> objeto de observaciones formal</w:t>
      </w:r>
      <w:r w:rsidR="00116AE3">
        <w:rPr>
          <w:rFonts w:ascii="Arial" w:hAnsi="Arial" w:cs="Arial"/>
          <w:sz w:val="24"/>
          <w:szCs w:val="24"/>
        </w:rPr>
        <w:t>es y son técnicamente correctas;</w:t>
      </w:r>
    </w:p>
    <w:p w:rsidR="00116AE3" w:rsidRDefault="00116AE3" w:rsidP="00C31D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16AE3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se procedió a la evaluación de las ofertas </w:t>
      </w:r>
      <w:r w:rsidR="00627BD6">
        <w:rPr>
          <w:rFonts w:ascii="Arial" w:hAnsi="Arial" w:cs="Arial"/>
          <w:sz w:val="24"/>
          <w:szCs w:val="24"/>
        </w:rPr>
        <w:t>admisibles</w:t>
      </w:r>
      <w:r>
        <w:rPr>
          <w:rFonts w:ascii="Arial" w:hAnsi="Arial" w:cs="Arial"/>
          <w:sz w:val="24"/>
          <w:szCs w:val="24"/>
        </w:rPr>
        <w:t xml:space="preserve"> confeccionándose un cuadro compara</w:t>
      </w:r>
      <w:r w:rsidR="00627BD6">
        <w:rPr>
          <w:rFonts w:ascii="Arial" w:hAnsi="Arial" w:cs="Arial"/>
          <w:sz w:val="24"/>
          <w:szCs w:val="24"/>
        </w:rPr>
        <w:t xml:space="preserve">tivo de precios a tales efectos, </w:t>
      </w:r>
      <w:r>
        <w:rPr>
          <w:rFonts w:ascii="Arial" w:hAnsi="Arial" w:cs="Arial"/>
          <w:sz w:val="24"/>
          <w:szCs w:val="24"/>
        </w:rPr>
        <w:t xml:space="preserve">de conformidad con lo dispuesto en el </w:t>
      </w:r>
      <w:r w:rsidR="008E76A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rtículo 14.1 del Pliego de Condiciones Particulares, con aplicación del beneficio previsto para MIPYME:</w:t>
      </w:r>
    </w:p>
    <w:tbl>
      <w:tblPr>
        <w:tblStyle w:val="Tablaconcuadrcula"/>
        <w:tblW w:w="8764" w:type="dxa"/>
        <w:tblLook w:val="04A0" w:firstRow="1" w:lastRow="0" w:firstColumn="1" w:lastColumn="0" w:noHBand="0" w:noVBand="1"/>
      </w:tblPr>
      <w:tblGrid>
        <w:gridCol w:w="2921"/>
        <w:gridCol w:w="2921"/>
        <w:gridCol w:w="2922"/>
      </w:tblGrid>
      <w:tr w:rsidR="00116AE3" w:rsidRPr="00EE4738" w:rsidTr="00116AE3">
        <w:trPr>
          <w:trHeight w:val="505"/>
        </w:trPr>
        <w:tc>
          <w:tcPr>
            <w:tcW w:w="2921" w:type="dxa"/>
            <w:vAlign w:val="center"/>
          </w:tcPr>
          <w:p w:rsidR="00116AE3" w:rsidRPr="00EE4738" w:rsidRDefault="00116AE3" w:rsidP="00C31D1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EMPRESA</w:t>
            </w:r>
          </w:p>
        </w:tc>
        <w:tc>
          <w:tcPr>
            <w:tcW w:w="2921" w:type="dxa"/>
            <w:vAlign w:val="center"/>
          </w:tcPr>
          <w:p w:rsidR="00116AE3" w:rsidRPr="00EE4738" w:rsidRDefault="00116AE3" w:rsidP="00C31D1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MONTO TEÓRICO COMPARATIVO ($)</w:t>
            </w:r>
          </w:p>
        </w:tc>
        <w:tc>
          <w:tcPr>
            <w:tcW w:w="2922" w:type="dxa"/>
            <w:vAlign w:val="center"/>
          </w:tcPr>
          <w:p w:rsidR="00116AE3" w:rsidRPr="00EE4738" w:rsidRDefault="00116AE3" w:rsidP="00C31D1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% SOBRE PRECIO OFICIAL</w:t>
            </w:r>
          </w:p>
        </w:tc>
      </w:tr>
      <w:tr w:rsidR="00116AE3" w:rsidRPr="00EE4738" w:rsidTr="00116AE3">
        <w:trPr>
          <w:trHeight w:val="505"/>
        </w:trPr>
        <w:tc>
          <w:tcPr>
            <w:tcW w:w="2921" w:type="dxa"/>
            <w:vAlign w:val="center"/>
          </w:tcPr>
          <w:p w:rsidR="00116AE3" w:rsidRPr="00EE4738" w:rsidRDefault="00116AE3" w:rsidP="00C31D1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Filipiak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Ingeniería SRL</w:t>
            </w:r>
          </w:p>
        </w:tc>
        <w:tc>
          <w:tcPr>
            <w:tcW w:w="2921" w:type="dxa"/>
            <w:vAlign w:val="center"/>
          </w:tcPr>
          <w:p w:rsidR="00116AE3" w:rsidRPr="00EE4738" w:rsidRDefault="00116AE3" w:rsidP="008E76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8E76A4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075.615</w:t>
            </w:r>
          </w:p>
        </w:tc>
        <w:tc>
          <w:tcPr>
            <w:tcW w:w="2922" w:type="dxa"/>
            <w:vAlign w:val="center"/>
          </w:tcPr>
          <w:p w:rsidR="00116AE3" w:rsidRPr="00EE4738" w:rsidRDefault="00116AE3" w:rsidP="00C31D1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3E61B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6,58</w:t>
            </w:r>
          </w:p>
        </w:tc>
      </w:tr>
      <w:tr w:rsidR="00116AE3" w:rsidRPr="00EE4738" w:rsidTr="00116AE3">
        <w:trPr>
          <w:trHeight w:val="483"/>
        </w:trPr>
        <w:tc>
          <w:tcPr>
            <w:tcW w:w="2921" w:type="dxa"/>
            <w:vAlign w:val="center"/>
          </w:tcPr>
          <w:p w:rsidR="00116AE3" w:rsidRPr="00EE4738" w:rsidRDefault="00116AE3" w:rsidP="00C31D1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Tecnos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Ingeniería SRL</w:t>
            </w:r>
          </w:p>
        </w:tc>
        <w:tc>
          <w:tcPr>
            <w:tcW w:w="2921" w:type="dxa"/>
            <w:vAlign w:val="center"/>
          </w:tcPr>
          <w:p w:rsidR="00116AE3" w:rsidRPr="00EE4738" w:rsidRDefault="00116AE3" w:rsidP="008E76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8E76A4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787.060</w:t>
            </w:r>
          </w:p>
        </w:tc>
        <w:tc>
          <w:tcPr>
            <w:tcW w:w="2922" w:type="dxa"/>
            <w:vAlign w:val="center"/>
          </w:tcPr>
          <w:p w:rsidR="00116AE3" w:rsidRPr="00EE4738" w:rsidRDefault="00116AE3" w:rsidP="00C31D1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11,04</w:t>
            </w:r>
          </w:p>
        </w:tc>
      </w:tr>
      <w:tr w:rsidR="00116AE3" w:rsidRPr="00EE4738" w:rsidTr="00116AE3">
        <w:trPr>
          <w:trHeight w:val="527"/>
        </w:trPr>
        <w:tc>
          <w:tcPr>
            <w:tcW w:w="2921" w:type="dxa"/>
            <w:vAlign w:val="center"/>
          </w:tcPr>
          <w:p w:rsidR="00116AE3" w:rsidRPr="00EE4738" w:rsidRDefault="00116AE3" w:rsidP="00C31D1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FTV Ingeniería SRL</w:t>
            </w:r>
          </w:p>
        </w:tc>
        <w:tc>
          <w:tcPr>
            <w:tcW w:w="2921" w:type="dxa"/>
            <w:vAlign w:val="center"/>
          </w:tcPr>
          <w:p w:rsidR="00116AE3" w:rsidRPr="00EE4738" w:rsidRDefault="00116AE3" w:rsidP="008E76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8E76A4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268.217</w:t>
            </w:r>
          </w:p>
        </w:tc>
        <w:tc>
          <w:tcPr>
            <w:tcW w:w="2922" w:type="dxa"/>
            <w:vAlign w:val="center"/>
          </w:tcPr>
          <w:p w:rsidR="00116AE3" w:rsidRPr="00EE4738" w:rsidRDefault="00116AE3" w:rsidP="00C31D1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36,58</w:t>
            </w:r>
          </w:p>
        </w:tc>
      </w:tr>
    </w:tbl>
    <w:p w:rsidR="00116AE3" w:rsidRDefault="00116AE3" w:rsidP="00C31D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5"/>
        <w:gridCol w:w="2925"/>
      </w:tblGrid>
      <w:tr w:rsidR="00116AE3" w:rsidTr="00116AE3">
        <w:trPr>
          <w:trHeight w:val="479"/>
        </w:trPr>
        <w:tc>
          <w:tcPr>
            <w:tcW w:w="2995" w:type="dxa"/>
            <w:vAlign w:val="center"/>
          </w:tcPr>
          <w:p w:rsidR="00116AE3" w:rsidRPr="00E77AEB" w:rsidRDefault="00116AE3" w:rsidP="00C31D1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PRECIO OFICIAL ($)</w:t>
            </w:r>
          </w:p>
        </w:tc>
        <w:tc>
          <w:tcPr>
            <w:tcW w:w="2925" w:type="dxa"/>
            <w:vAlign w:val="center"/>
          </w:tcPr>
          <w:p w:rsidR="00116AE3" w:rsidRPr="00E77AEB" w:rsidRDefault="00116AE3" w:rsidP="008E76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8E76A4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714.906</w:t>
            </w:r>
          </w:p>
        </w:tc>
      </w:tr>
    </w:tbl>
    <w:p w:rsidR="00116AE3" w:rsidRDefault="00116AE3" w:rsidP="00C31D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116AE3" w:rsidRPr="00116AE3" w:rsidRDefault="00116AE3" w:rsidP="00C31D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16AE3">
        <w:rPr>
          <w:rFonts w:ascii="Arial" w:hAnsi="Arial" w:cs="Arial"/>
          <w:b/>
          <w:sz w:val="24"/>
          <w:szCs w:val="24"/>
        </w:rPr>
        <w:t>5)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</w:t>
      </w:r>
      <w:r w:rsidR="00156DB7">
        <w:rPr>
          <w:rFonts w:ascii="Arial" w:hAnsi="Arial" w:cs="Arial"/>
          <w:sz w:val="24"/>
          <w:szCs w:val="24"/>
        </w:rPr>
        <w:t>el Área de Gestión y Contralor de Obras estableció que</w:t>
      </w:r>
      <w:r>
        <w:rPr>
          <w:rFonts w:ascii="Arial" w:hAnsi="Arial" w:cs="Arial"/>
          <w:sz w:val="24"/>
          <w:szCs w:val="24"/>
        </w:rPr>
        <w:t xml:space="preserve"> la oferta más conveniente es la presentada por </w:t>
      </w:r>
      <w:proofErr w:type="spellStart"/>
      <w:r>
        <w:rPr>
          <w:rFonts w:ascii="Arial" w:hAnsi="Arial" w:cs="Arial"/>
          <w:sz w:val="24"/>
          <w:szCs w:val="24"/>
        </w:rPr>
        <w:t>Filipiak</w:t>
      </w:r>
      <w:proofErr w:type="spellEnd"/>
      <w:r>
        <w:rPr>
          <w:rFonts w:ascii="Arial" w:hAnsi="Arial" w:cs="Arial"/>
          <w:sz w:val="24"/>
          <w:szCs w:val="24"/>
        </w:rPr>
        <w:t xml:space="preserve"> Ingeniería SRL</w:t>
      </w:r>
      <w:r w:rsidR="00156DB7">
        <w:rPr>
          <w:rFonts w:ascii="Arial" w:hAnsi="Arial" w:cs="Arial"/>
          <w:sz w:val="24"/>
          <w:szCs w:val="24"/>
        </w:rPr>
        <w:t xml:space="preserve"> y recomendó </w:t>
      </w:r>
      <w:r w:rsidR="00627BD6">
        <w:rPr>
          <w:rFonts w:ascii="Arial" w:hAnsi="Arial" w:cs="Arial"/>
          <w:sz w:val="24"/>
          <w:szCs w:val="24"/>
        </w:rPr>
        <w:t>su adjudicación por</w:t>
      </w:r>
      <w:r>
        <w:rPr>
          <w:rFonts w:ascii="Arial" w:hAnsi="Arial" w:cs="Arial"/>
          <w:sz w:val="24"/>
          <w:szCs w:val="24"/>
        </w:rPr>
        <w:t xml:space="preserve"> un monto global de </w:t>
      </w:r>
      <w:r w:rsidR="008E76A4">
        <w:rPr>
          <w:rFonts w:ascii="Arial" w:hAnsi="Arial" w:cs="Arial"/>
          <w:sz w:val="24"/>
          <w:szCs w:val="24"/>
        </w:rPr>
        <w:t xml:space="preserve">                </w:t>
      </w:r>
      <w:r>
        <w:rPr>
          <w:rFonts w:ascii="Arial" w:hAnsi="Arial" w:cs="Arial"/>
          <w:sz w:val="24"/>
          <w:szCs w:val="24"/>
        </w:rPr>
        <w:t>$</w:t>
      </w:r>
      <w:r w:rsidR="008E76A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9</w:t>
      </w:r>
      <w:r w:rsidR="008E76A4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426.272, con 15% de </w:t>
      </w:r>
      <w:r w:rsidR="008E76A4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mprevistos, 22% de IVA y </w:t>
      </w:r>
      <w:r w:rsidR="008E76A4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eyes </w:t>
      </w:r>
      <w:r w:rsidR="008E76A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ociales incluidas, con un plazo de ejecución de 90 días calendario l</w:t>
      </w:r>
      <w:r w:rsidR="00156DB7">
        <w:rPr>
          <w:rFonts w:ascii="Arial" w:hAnsi="Arial" w:cs="Arial"/>
          <w:sz w:val="24"/>
          <w:szCs w:val="24"/>
        </w:rPr>
        <w:t>aborables para la construcción y,</w:t>
      </w:r>
      <w:r w:rsidR="00156DB7" w:rsidRPr="00156DB7">
        <w:rPr>
          <w:rFonts w:ascii="Arial" w:hAnsi="Arial" w:cs="Arial"/>
          <w:sz w:val="24"/>
          <w:szCs w:val="24"/>
        </w:rPr>
        <w:t xml:space="preserve"> </w:t>
      </w:r>
      <w:r w:rsidR="00156DB7">
        <w:rPr>
          <w:rFonts w:ascii="Arial" w:hAnsi="Arial" w:cs="Arial"/>
          <w:sz w:val="24"/>
          <w:szCs w:val="24"/>
        </w:rPr>
        <w:t xml:space="preserve">asimismo, </w:t>
      </w:r>
      <w:r w:rsidR="00743C46">
        <w:rPr>
          <w:rFonts w:ascii="Arial" w:hAnsi="Arial" w:cs="Arial"/>
          <w:sz w:val="24"/>
          <w:szCs w:val="24"/>
        </w:rPr>
        <w:t xml:space="preserve">con fecha 05.09.16, la Comisión Asesora de Adjudicaciones recomendó </w:t>
      </w:r>
      <w:r w:rsidR="00156DB7">
        <w:rPr>
          <w:rFonts w:ascii="Arial" w:hAnsi="Arial" w:cs="Arial"/>
          <w:sz w:val="24"/>
          <w:szCs w:val="24"/>
        </w:rPr>
        <w:t>la</w:t>
      </w:r>
      <w:r w:rsidR="00743C46">
        <w:rPr>
          <w:rFonts w:ascii="Arial" w:hAnsi="Arial" w:cs="Arial"/>
          <w:sz w:val="24"/>
          <w:szCs w:val="24"/>
        </w:rPr>
        <w:t xml:space="preserve"> adjudicación</w:t>
      </w:r>
      <w:r w:rsidR="00156DB7">
        <w:rPr>
          <w:rFonts w:ascii="Arial" w:hAnsi="Arial" w:cs="Arial"/>
          <w:sz w:val="24"/>
          <w:szCs w:val="24"/>
        </w:rPr>
        <w:t xml:space="preserve"> de la </w:t>
      </w:r>
      <w:r w:rsidR="008E76A4">
        <w:rPr>
          <w:rFonts w:ascii="Arial" w:hAnsi="Arial" w:cs="Arial"/>
          <w:sz w:val="24"/>
          <w:szCs w:val="24"/>
        </w:rPr>
        <w:t>L</w:t>
      </w:r>
      <w:r w:rsidR="00156DB7">
        <w:rPr>
          <w:rFonts w:ascii="Arial" w:hAnsi="Arial" w:cs="Arial"/>
          <w:sz w:val="24"/>
          <w:szCs w:val="24"/>
        </w:rPr>
        <w:t>icitación de referencia en los mismos términos</w:t>
      </w:r>
      <w:r w:rsidR="00743C46">
        <w:rPr>
          <w:rFonts w:ascii="Arial" w:hAnsi="Arial" w:cs="Arial"/>
          <w:sz w:val="24"/>
          <w:szCs w:val="24"/>
        </w:rPr>
        <w:t>;</w:t>
      </w:r>
    </w:p>
    <w:p w:rsidR="0019590E" w:rsidRDefault="003E61B8" w:rsidP="00C31D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E61B8">
        <w:rPr>
          <w:rFonts w:ascii="Arial" w:hAnsi="Arial" w:cs="Arial"/>
          <w:b/>
          <w:sz w:val="24"/>
          <w:szCs w:val="24"/>
        </w:rPr>
        <w:t>6)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 w:rsidR="00743C46">
        <w:rPr>
          <w:rFonts w:ascii="Arial" w:hAnsi="Arial" w:cs="Arial"/>
          <w:sz w:val="24"/>
          <w:szCs w:val="24"/>
        </w:rPr>
        <w:t xml:space="preserve"> con fecha 07.09.16 fueron afectados los montos de </w:t>
      </w:r>
      <w:r>
        <w:rPr>
          <w:rFonts w:ascii="Arial" w:hAnsi="Arial" w:cs="Arial"/>
          <w:sz w:val="24"/>
          <w:szCs w:val="24"/>
        </w:rPr>
        <w:t>$ 1:900.000 y $ 60.000 con cargo al Programa 608 Proyecto 704 Objeto del Gasto 382</w:t>
      </w:r>
      <w:r w:rsidR="00743C46">
        <w:rPr>
          <w:rFonts w:ascii="Arial" w:hAnsi="Arial" w:cs="Arial"/>
          <w:sz w:val="24"/>
          <w:szCs w:val="24"/>
        </w:rPr>
        <w:t>;</w:t>
      </w:r>
      <w:r w:rsidR="00743C46">
        <w:rPr>
          <w:rFonts w:ascii="Arial" w:hAnsi="Arial" w:cs="Arial"/>
          <w:sz w:val="24"/>
          <w:szCs w:val="24"/>
        </w:rPr>
        <w:tab/>
      </w:r>
    </w:p>
    <w:p w:rsidR="0077605B" w:rsidRPr="0077605B" w:rsidRDefault="00743C46" w:rsidP="00C31D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43C46">
        <w:rPr>
          <w:rFonts w:ascii="Arial" w:hAnsi="Arial" w:cs="Arial"/>
          <w:b/>
          <w:sz w:val="24"/>
          <w:szCs w:val="24"/>
        </w:rPr>
        <w:t>7)</w:t>
      </w:r>
      <w:r>
        <w:rPr>
          <w:rFonts w:ascii="Arial" w:hAnsi="Arial" w:cs="Arial"/>
          <w:sz w:val="24"/>
          <w:szCs w:val="24"/>
        </w:rPr>
        <w:t xml:space="preserve"> que por Resolución DSI N° 124/16 de fecha 12.09.16 la Dirección Sectorial de Infraestructura dispuso adjudicar la </w:t>
      </w:r>
      <w:r w:rsidR="008E76A4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icitación </w:t>
      </w:r>
      <w:r>
        <w:rPr>
          <w:rFonts w:ascii="Arial" w:hAnsi="Arial" w:cs="Arial"/>
          <w:sz w:val="24"/>
          <w:szCs w:val="24"/>
        </w:rPr>
        <w:lastRenderedPageBreak/>
        <w:t xml:space="preserve">de referencia en la forma recomendada por </w:t>
      </w:r>
      <w:r w:rsidRPr="00E158A3">
        <w:rPr>
          <w:rFonts w:ascii="Arial" w:hAnsi="Arial" w:cs="Arial"/>
          <w:sz w:val="24"/>
          <w:szCs w:val="24"/>
        </w:rPr>
        <w:t>Área Gestión y Contralor de Obras</w:t>
      </w:r>
      <w:r>
        <w:rPr>
          <w:rFonts w:ascii="Arial" w:hAnsi="Arial" w:cs="Arial"/>
          <w:sz w:val="24"/>
          <w:szCs w:val="24"/>
        </w:rPr>
        <w:t xml:space="preserve"> y la Comisión Asesora de Adjudicaciones;</w:t>
      </w:r>
    </w:p>
    <w:p w:rsidR="0077605B" w:rsidRDefault="0077605B" w:rsidP="00C31D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CONSIDERANDO:</w:t>
      </w:r>
      <w:r w:rsidR="00743C46">
        <w:rPr>
          <w:rFonts w:ascii="Arial" w:hAnsi="Arial" w:cs="Arial"/>
          <w:b/>
          <w:sz w:val="24"/>
          <w:szCs w:val="24"/>
        </w:rPr>
        <w:t xml:space="preserve"> </w:t>
      </w:r>
      <w:r w:rsidR="00743C46" w:rsidRPr="00743C46">
        <w:rPr>
          <w:rFonts w:ascii="Arial" w:hAnsi="Arial" w:cs="Arial"/>
          <w:sz w:val="24"/>
          <w:szCs w:val="24"/>
        </w:rPr>
        <w:t>que el procedimiento se</w:t>
      </w:r>
      <w:r w:rsidR="00743C46">
        <w:rPr>
          <w:rFonts w:ascii="Arial" w:hAnsi="Arial" w:cs="Arial"/>
          <w:sz w:val="24"/>
          <w:szCs w:val="24"/>
        </w:rPr>
        <w:t xml:space="preserve"> ajustó a lo dispuesto en los </w:t>
      </w:r>
      <w:r w:rsidR="00B210A1">
        <w:rPr>
          <w:rFonts w:ascii="Arial" w:hAnsi="Arial" w:cs="Arial"/>
          <w:sz w:val="24"/>
          <w:szCs w:val="24"/>
        </w:rPr>
        <w:t>A</w:t>
      </w:r>
      <w:r w:rsidR="00743C46">
        <w:rPr>
          <w:rFonts w:ascii="Arial" w:hAnsi="Arial" w:cs="Arial"/>
          <w:sz w:val="24"/>
          <w:szCs w:val="24"/>
        </w:rPr>
        <w:t>rtículos 33 y siguientes del TOCAF y al Pli</w:t>
      </w:r>
      <w:r w:rsidR="00811F6D">
        <w:rPr>
          <w:rFonts w:ascii="Arial" w:hAnsi="Arial" w:cs="Arial"/>
          <w:sz w:val="24"/>
          <w:szCs w:val="24"/>
        </w:rPr>
        <w:t>ego de Condiciones Particulares;</w:t>
      </w:r>
    </w:p>
    <w:p w:rsidR="00811F6D" w:rsidRPr="00BA6B82" w:rsidRDefault="0077605B" w:rsidP="00C31D14">
      <w:pPr>
        <w:tabs>
          <w:tab w:val="left" w:pos="-342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  <w:r>
        <w:rPr>
          <w:rFonts w:ascii="Arial" w:hAnsi="Arial" w:cs="Arial"/>
          <w:b/>
          <w:sz w:val="24"/>
          <w:szCs w:val="24"/>
        </w:rPr>
        <w:tab/>
        <w:t>ATENTO:</w:t>
      </w:r>
      <w:r w:rsidR="00811F6D">
        <w:rPr>
          <w:rFonts w:ascii="Arial" w:hAnsi="Arial" w:cs="Arial"/>
          <w:b/>
          <w:sz w:val="24"/>
          <w:szCs w:val="24"/>
        </w:rPr>
        <w:t xml:space="preserve"> </w:t>
      </w:r>
      <w:r w:rsidR="00811F6D" w:rsidRPr="00BA6B82">
        <w:rPr>
          <w:rFonts w:ascii="Arial" w:eastAsia="Times New Roman" w:hAnsi="Arial" w:cs="Arial"/>
          <w:sz w:val="24"/>
          <w:szCs w:val="20"/>
          <w:lang w:val="es-ES" w:eastAsia="es-ES"/>
        </w:rPr>
        <w:t>a lo exp</w:t>
      </w:r>
      <w:r w:rsidR="00B210A1">
        <w:rPr>
          <w:rFonts w:ascii="Arial" w:eastAsia="Times New Roman" w:hAnsi="Arial" w:cs="Arial"/>
          <w:sz w:val="24"/>
          <w:szCs w:val="20"/>
          <w:lang w:val="es-ES" w:eastAsia="es-ES"/>
        </w:rPr>
        <w:t>uesto y a lo dispuesto por el  A</w:t>
      </w:r>
      <w:r w:rsidR="00811F6D" w:rsidRPr="00BA6B82">
        <w:rPr>
          <w:rFonts w:ascii="Arial" w:eastAsia="Times New Roman" w:hAnsi="Arial" w:cs="Arial"/>
          <w:sz w:val="24"/>
          <w:szCs w:val="20"/>
          <w:lang w:val="es-ES" w:eastAsia="es-ES"/>
        </w:rPr>
        <w:t xml:space="preserve">rtículo 211 </w:t>
      </w:r>
      <w:r w:rsidR="00B210A1">
        <w:rPr>
          <w:rFonts w:ascii="Arial" w:eastAsia="Times New Roman" w:hAnsi="Arial" w:cs="Arial"/>
          <w:sz w:val="24"/>
          <w:szCs w:val="20"/>
          <w:lang w:val="es-ES" w:eastAsia="es-ES"/>
        </w:rPr>
        <w:t>L</w:t>
      </w:r>
      <w:r w:rsidR="00811F6D" w:rsidRPr="00BA6B82">
        <w:rPr>
          <w:rFonts w:ascii="Arial" w:eastAsia="Times New Roman" w:hAnsi="Arial" w:cs="Arial"/>
          <w:sz w:val="24"/>
          <w:szCs w:val="20"/>
          <w:lang w:val="es-ES" w:eastAsia="es-ES"/>
        </w:rPr>
        <w:t>iteral B) de la Constitución de la República;</w:t>
      </w:r>
    </w:p>
    <w:p w:rsidR="00811F6D" w:rsidRPr="00A41D1E" w:rsidRDefault="00811F6D" w:rsidP="00A41D1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0"/>
          <w:lang w:val="es-MX" w:eastAsia="es-ES"/>
        </w:rPr>
      </w:pPr>
      <w:r w:rsidRPr="00BA6B82">
        <w:rPr>
          <w:rFonts w:ascii="Arial" w:eastAsia="Times New Roman" w:hAnsi="Arial" w:cs="Arial"/>
          <w:b/>
          <w:bCs/>
          <w:sz w:val="24"/>
          <w:szCs w:val="20"/>
          <w:lang w:val="es-MX" w:eastAsia="es-ES"/>
        </w:rPr>
        <w:t>EL TRIBUNAL ACUERD</w:t>
      </w:r>
      <w:r w:rsidR="00A41D1E">
        <w:rPr>
          <w:rFonts w:ascii="Arial" w:eastAsia="Times New Roman" w:hAnsi="Arial" w:cs="Arial"/>
          <w:b/>
          <w:bCs/>
          <w:sz w:val="24"/>
          <w:szCs w:val="20"/>
          <w:lang w:val="es-MX" w:eastAsia="es-ES"/>
        </w:rPr>
        <w:t>A</w:t>
      </w:r>
    </w:p>
    <w:p w:rsidR="00811F6D" w:rsidRPr="00053412" w:rsidRDefault="00811F6D" w:rsidP="00C31D14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0"/>
          <w:lang w:val="es-MX" w:eastAsia="es-ES"/>
        </w:rPr>
      </w:pPr>
      <w:r w:rsidRPr="004A2BE7">
        <w:rPr>
          <w:rFonts w:ascii="Arial" w:eastAsia="Times New Roman" w:hAnsi="Arial" w:cs="Arial"/>
          <w:b/>
          <w:sz w:val="24"/>
          <w:szCs w:val="20"/>
          <w:lang w:val="es-MX" w:eastAsia="es-ES"/>
        </w:rPr>
        <w:t>1)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 xml:space="preserve"> Cometer</w:t>
      </w:r>
      <w:r w:rsidRPr="00053412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>a</w:t>
      </w:r>
      <w:r w:rsidR="00C57060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>l</w:t>
      </w:r>
      <w:r w:rsidR="00C57060">
        <w:rPr>
          <w:rFonts w:ascii="Arial" w:eastAsia="Times New Roman" w:hAnsi="Arial" w:cs="Arial"/>
          <w:sz w:val="24"/>
          <w:szCs w:val="20"/>
          <w:lang w:val="es-MX" w:eastAsia="es-ES"/>
        </w:rPr>
        <w:t>a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 xml:space="preserve"> Contador</w:t>
      </w:r>
      <w:r w:rsidR="00C57060">
        <w:rPr>
          <w:rFonts w:ascii="Arial" w:eastAsia="Times New Roman" w:hAnsi="Arial" w:cs="Arial"/>
          <w:sz w:val="24"/>
          <w:szCs w:val="20"/>
          <w:lang w:val="es-MX" w:eastAsia="es-ES"/>
        </w:rPr>
        <w:t>a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 xml:space="preserve"> Delegad</w:t>
      </w:r>
      <w:r w:rsidR="00C57060">
        <w:rPr>
          <w:rFonts w:ascii="Arial" w:eastAsia="Times New Roman" w:hAnsi="Arial" w:cs="Arial"/>
          <w:sz w:val="24"/>
          <w:szCs w:val="20"/>
          <w:lang w:val="es-MX" w:eastAsia="es-ES"/>
        </w:rPr>
        <w:t>a</w:t>
      </w:r>
      <w:r w:rsidRPr="00053412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 xml:space="preserve">la </w:t>
      </w:r>
      <w:r w:rsidRPr="00053412">
        <w:rPr>
          <w:rFonts w:ascii="Arial" w:eastAsia="Times New Roman" w:hAnsi="Arial" w:cs="Arial"/>
          <w:sz w:val="24"/>
          <w:szCs w:val="20"/>
          <w:lang w:val="es-MX" w:eastAsia="es-ES"/>
        </w:rPr>
        <w:t>intervención del gasto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 xml:space="preserve">, </w:t>
      </w:r>
      <w:r w:rsidRPr="00053412">
        <w:rPr>
          <w:rFonts w:ascii="Arial" w:eastAsia="Times New Roman" w:hAnsi="Arial" w:cs="Arial"/>
          <w:sz w:val="24"/>
          <w:szCs w:val="20"/>
          <w:lang w:val="es-MX" w:eastAsia="es-ES"/>
        </w:rPr>
        <w:t xml:space="preserve">una vez imputado al </w:t>
      </w:r>
      <w:r w:rsidR="00C57060">
        <w:rPr>
          <w:rFonts w:ascii="Arial" w:eastAsia="Times New Roman" w:hAnsi="Arial" w:cs="Arial"/>
          <w:sz w:val="24"/>
          <w:szCs w:val="20"/>
          <w:lang w:val="es-MX" w:eastAsia="es-ES"/>
        </w:rPr>
        <w:t>G</w:t>
      </w:r>
      <w:r w:rsidRPr="00053412">
        <w:rPr>
          <w:rFonts w:ascii="Arial" w:eastAsia="Times New Roman" w:hAnsi="Arial" w:cs="Arial"/>
          <w:sz w:val="24"/>
          <w:szCs w:val="20"/>
          <w:lang w:val="es-MX" w:eastAsia="es-ES"/>
        </w:rPr>
        <w:t>rupo adecuado con dispo</w:t>
      </w:r>
      <w:r w:rsidR="005A4174">
        <w:rPr>
          <w:rFonts w:ascii="Arial" w:eastAsia="Times New Roman" w:hAnsi="Arial" w:cs="Arial"/>
          <w:sz w:val="24"/>
          <w:szCs w:val="20"/>
          <w:lang w:val="es-MX" w:eastAsia="es-ES"/>
        </w:rPr>
        <w:t>nibilidad suficiente, así como el co</w:t>
      </w:r>
      <w:r w:rsidR="008C0586">
        <w:rPr>
          <w:rFonts w:ascii="Arial" w:eastAsia="Times New Roman" w:hAnsi="Arial" w:cs="Arial"/>
          <w:sz w:val="24"/>
          <w:szCs w:val="20"/>
          <w:lang w:val="es-MX" w:eastAsia="es-ES"/>
        </w:rPr>
        <w:t>ntrol de lo preceptuado por el A</w:t>
      </w:r>
      <w:r w:rsidR="005A4174">
        <w:rPr>
          <w:rFonts w:ascii="Arial" w:eastAsia="Times New Roman" w:hAnsi="Arial" w:cs="Arial"/>
          <w:sz w:val="24"/>
          <w:szCs w:val="20"/>
          <w:lang w:val="es-MX" w:eastAsia="es-ES"/>
        </w:rPr>
        <w:t xml:space="preserve">rtículo 3 de la </w:t>
      </w:r>
      <w:r w:rsidR="00C57060">
        <w:rPr>
          <w:rFonts w:ascii="Arial" w:eastAsia="Times New Roman" w:hAnsi="Arial" w:cs="Arial"/>
          <w:sz w:val="24"/>
          <w:szCs w:val="20"/>
          <w:lang w:val="es-MX" w:eastAsia="es-ES"/>
        </w:rPr>
        <w:t>L</w:t>
      </w:r>
      <w:r w:rsidR="005A4174">
        <w:rPr>
          <w:rFonts w:ascii="Arial" w:eastAsia="Times New Roman" w:hAnsi="Arial" w:cs="Arial"/>
          <w:sz w:val="24"/>
          <w:szCs w:val="20"/>
          <w:lang w:val="es-MX" w:eastAsia="es-ES"/>
        </w:rPr>
        <w:t>ey N° 18.244, al momento del otorgamiento del contrato</w:t>
      </w:r>
      <w:r w:rsidR="00C57060">
        <w:rPr>
          <w:rFonts w:ascii="Arial" w:eastAsia="Times New Roman" w:hAnsi="Arial" w:cs="Arial"/>
          <w:sz w:val="24"/>
          <w:szCs w:val="20"/>
          <w:lang w:val="es-MX" w:eastAsia="es-ES"/>
        </w:rPr>
        <w:t>;</w:t>
      </w:r>
    </w:p>
    <w:p w:rsidR="00811F6D" w:rsidRPr="00053412" w:rsidRDefault="00811F6D" w:rsidP="00C31D14">
      <w:pPr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val="es-MX" w:eastAsia="es-ES"/>
        </w:rPr>
      </w:pPr>
      <w:r w:rsidRPr="00053412">
        <w:rPr>
          <w:rFonts w:ascii="Arial" w:eastAsia="Times New Roman" w:hAnsi="Arial" w:cs="Arial"/>
          <w:b/>
          <w:sz w:val="24"/>
          <w:szCs w:val="20"/>
          <w:lang w:val="es-MX" w:eastAsia="es-ES"/>
        </w:rPr>
        <w:t>2)</w:t>
      </w:r>
      <w:r w:rsidRPr="00053412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Comunicar </w:t>
      </w:r>
      <w:r w:rsidR="00C57060">
        <w:rPr>
          <w:rFonts w:ascii="Arial" w:eastAsia="Times New Roman" w:hAnsi="Arial" w:cs="Arial"/>
          <w:sz w:val="24"/>
          <w:szCs w:val="20"/>
          <w:lang w:val="es-MX" w:eastAsia="es-ES"/>
        </w:rPr>
        <w:t xml:space="preserve">a </w:t>
      </w:r>
      <w:r w:rsidR="00C57060">
        <w:rPr>
          <w:rFonts w:ascii="Arial" w:eastAsia="Times New Roman" w:hAnsi="Arial" w:cs="Arial"/>
          <w:sz w:val="24"/>
          <w:szCs w:val="20"/>
          <w:lang w:val="es-MX" w:eastAsia="es-ES"/>
        </w:rPr>
        <w:t>la Contadora Delegada</w:t>
      </w:r>
      <w:r w:rsidR="00C57060">
        <w:rPr>
          <w:rFonts w:ascii="Arial" w:eastAsia="Times New Roman" w:hAnsi="Arial" w:cs="Arial"/>
          <w:sz w:val="24"/>
          <w:szCs w:val="20"/>
          <w:lang w:val="es-MX" w:eastAsia="es-ES"/>
        </w:rPr>
        <w:t>;</w:t>
      </w:r>
    </w:p>
    <w:p w:rsidR="00C11B78" w:rsidRDefault="00811F6D" w:rsidP="00C31D14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  <w:r w:rsidRPr="00053412">
        <w:rPr>
          <w:rFonts w:ascii="Arial" w:eastAsia="Times New Roman" w:hAnsi="Arial" w:cs="Arial"/>
          <w:b/>
          <w:sz w:val="24"/>
          <w:szCs w:val="20"/>
          <w:lang w:val="es-MX" w:eastAsia="es-ES"/>
        </w:rPr>
        <w:t>3)</w:t>
      </w:r>
      <w:r w:rsidRPr="00053412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Devolver las actuaciones.</w:t>
      </w:r>
      <w:r w:rsidR="008C0586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                      </w:t>
      </w:r>
    </w:p>
    <w:p w:rsidR="008C0586" w:rsidRPr="008C0586" w:rsidRDefault="008C0586" w:rsidP="00C31D14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</w:p>
    <w:p w:rsidR="00C11B78" w:rsidRPr="008C0586" w:rsidRDefault="008C0586" w:rsidP="00C31D1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C0586">
        <w:rPr>
          <w:rFonts w:ascii="Arial" w:hAnsi="Arial" w:cs="Arial"/>
          <w:sz w:val="20"/>
          <w:szCs w:val="20"/>
        </w:rPr>
        <w:t>CLC</w:t>
      </w:r>
    </w:p>
    <w:sectPr w:rsidR="00C11B78" w:rsidRPr="008C0586" w:rsidSect="00AA7267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06A"/>
    <w:rsid w:val="0005507B"/>
    <w:rsid w:val="000A6369"/>
    <w:rsid w:val="0010106A"/>
    <w:rsid w:val="001047B2"/>
    <w:rsid w:val="00116AE3"/>
    <w:rsid w:val="00130655"/>
    <w:rsid w:val="00146FE9"/>
    <w:rsid w:val="00156DB7"/>
    <w:rsid w:val="0019590E"/>
    <w:rsid w:val="00204C5B"/>
    <w:rsid w:val="003E61B8"/>
    <w:rsid w:val="00476B74"/>
    <w:rsid w:val="004E7D5C"/>
    <w:rsid w:val="00590FF0"/>
    <w:rsid w:val="005A4174"/>
    <w:rsid w:val="00627BD6"/>
    <w:rsid w:val="006A4AA1"/>
    <w:rsid w:val="00743C46"/>
    <w:rsid w:val="00750BF5"/>
    <w:rsid w:val="0077605B"/>
    <w:rsid w:val="007E1D92"/>
    <w:rsid w:val="00802F39"/>
    <w:rsid w:val="00811F6D"/>
    <w:rsid w:val="008720E2"/>
    <w:rsid w:val="008C0586"/>
    <w:rsid w:val="008E76A4"/>
    <w:rsid w:val="009267A3"/>
    <w:rsid w:val="00944445"/>
    <w:rsid w:val="009F3ED7"/>
    <w:rsid w:val="00A41D1E"/>
    <w:rsid w:val="00AA7267"/>
    <w:rsid w:val="00AC249A"/>
    <w:rsid w:val="00AE37A5"/>
    <w:rsid w:val="00B210A1"/>
    <w:rsid w:val="00B8064A"/>
    <w:rsid w:val="00BA6F70"/>
    <w:rsid w:val="00BD1694"/>
    <w:rsid w:val="00C11B78"/>
    <w:rsid w:val="00C31D14"/>
    <w:rsid w:val="00C34A91"/>
    <w:rsid w:val="00C57060"/>
    <w:rsid w:val="00CD49EE"/>
    <w:rsid w:val="00D4301E"/>
    <w:rsid w:val="00D728A3"/>
    <w:rsid w:val="00E158A3"/>
    <w:rsid w:val="00E46603"/>
    <w:rsid w:val="00E77AEB"/>
    <w:rsid w:val="00EC4121"/>
    <w:rsid w:val="00EE4738"/>
    <w:rsid w:val="00F1454B"/>
    <w:rsid w:val="00FC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44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44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7BD5A-228C-45B0-973E-672D14C3C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600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ALVAREZ LOPEZ</dc:creator>
  <cp:lastModifiedBy>Tribunal1</cp:lastModifiedBy>
  <cp:revision>14</cp:revision>
  <cp:lastPrinted>2016-10-14T20:28:00Z</cp:lastPrinted>
  <dcterms:created xsi:type="dcterms:W3CDTF">2016-10-14T15:47:00Z</dcterms:created>
  <dcterms:modified xsi:type="dcterms:W3CDTF">2016-10-14T20:28:00Z</dcterms:modified>
</cp:coreProperties>
</file>