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38" w:rsidRPr="00786EEB" w:rsidRDefault="00A80938" w:rsidP="00A80938">
      <w:pPr>
        <w:tabs>
          <w:tab w:val="center" w:pos="4253"/>
        </w:tabs>
        <w:suppressAutoHyphens/>
        <w:spacing w:after="0" w:line="360" w:lineRule="auto"/>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3584</w:t>
      </w:r>
      <w:r w:rsidRPr="00786EEB">
        <w:rPr>
          <w:rFonts w:ascii="Arial" w:hAnsi="Arial" w:cs="Arial"/>
          <w:b/>
          <w:sz w:val="28"/>
          <w:szCs w:val="28"/>
          <w:lang w:val="es-ES_tradnl"/>
        </w:rPr>
        <w:t>/16</w:t>
      </w:r>
    </w:p>
    <w:p w:rsidR="00A80938" w:rsidRDefault="00A80938" w:rsidP="00A80938">
      <w:pPr>
        <w:tabs>
          <w:tab w:val="center" w:pos="4253"/>
        </w:tabs>
        <w:suppressAutoHyphens/>
        <w:spacing w:after="0" w:line="360" w:lineRule="auto"/>
        <w:jc w:val="right"/>
        <w:rPr>
          <w:rFonts w:ascii="Arial" w:hAnsi="Arial" w:cs="Arial"/>
          <w:b/>
          <w:lang w:val="es-ES_tradnl"/>
        </w:rPr>
      </w:pPr>
    </w:p>
    <w:p w:rsidR="00A80938" w:rsidRPr="00A80938" w:rsidRDefault="00A80938" w:rsidP="00A80938">
      <w:pPr>
        <w:tabs>
          <w:tab w:val="center" w:pos="4253"/>
        </w:tabs>
        <w:suppressAutoHyphens/>
        <w:spacing w:after="0" w:line="240" w:lineRule="auto"/>
        <w:jc w:val="center"/>
        <w:rPr>
          <w:rFonts w:ascii="Arial" w:hAnsi="Arial" w:cs="Arial"/>
          <w:b/>
          <w:sz w:val="24"/>
          <w:szCs w:val="24"/>
          <w:lang w:val="es-ES_tradnl"/>
        </w:rPr>
      </w:pPr>
      <w:r w:rsidRPr="00A80938">
        <w:rPr>
          <w:rFonts w:ascii="Arial" w:hAnsi="Arial" w:cs="Arial"/>
          <w:b/>
          <w:sz w:val="24"/>
          <w:szCs w:val="24"/>
          <w:lang w:val="es-ES_tradnl"/>
        </w:rPr>
        <w:t>RESOLUCION ADOPTADA POR EL</w:t>
      </w:r>
    </w:p>
    <w:p w:rsidR="00A80938" w:rsidRPr="00A80938" w:rsidRDefault="00A80938" w:rsidP="00A80938">
      <w:pPr>
        <w:tabs>
          <w:tab w:val="left" w:pos="-720"/>
        </w:tabs>
        <w:suppressAutoHyphens/>
        <w:spacing w:after="0" w:line="240" w:lineRule="auto"/>
        <w:jc w:val="center"/>
        <w:rPr>
          <w:rFonts w:ascii="Arial" w:hAnsi="Arial" w:cs="Arial"/>
          <w:b/>
          <w:sz w:val="24"/>
          <w:szCs w:val="24"/>
          <w:lang w:val="es-ES_tradnl"/>
        </w:rPr>
      </w:pPr>
    </w:p>
    <w:p w:rsidR="00A80938" w:rsidRPr="00A80938" w:rsidRDefault="00A80938" w:rsidP="00A80938">
      <w:pPr>
        <w:tabs>
          <w:tab w:val="center" w:pos="4253"/>
        </w:tabs>
        <w:suppressAutoHyphens/>
        <w:spacing w:after="0" w:line="240" w:lineRule="auto"/>
        <w:jc w:val="center"/>
        <w:rPr>
          <w:rFonts w:ascii="Arial" w:hAnsi="Arial" w:cs="Arial"/>
          <w:b/>
          <w:sz w:val="24"/>
          <w:szCs w:val="24"/>
          <w:lang w:val="es-ES_tradnl"/>
        </w:rPr>
      </w:pPr>
      <w:r w:rsidRPr="00A80938">
        <w:rPr>
          <w:rFonts w:ascii="Arial" w:hAnsi="Arial" w:cs="Arial"/>
          <w:b/>
          <w:sz w:val="24"/>
          <w:szCs w:val="24"/>
          <w:lang w:val="es-ES_tradnl"/>
        </w:rPr>
        <w:t>TRIBUNAL DE CUENTAS</w:t>
      </w:r>
    </w:p>
    <w:p w:rsidR="00A80938" w:rsidRPr="00A80938" w:rsidRDefault="00A80938" w:rsidP="00A80938">
      <w:pPr>
        <w:tabs>
          <w:tab w:val="left" w:pos="-720"/>
        </w:tabs>
        <w:suppressAutoHyphens/>
        <w:spacing w:after="0" w:line="240" w:lineRule="auto"/>
        <w:jc w:val="center"/>
        <w:rPr>
          <w:rFonts w:ascii="Arial" w:hAnsi="Arial" w:cs="Arial"/>
          <w:b/>
          <w:sz w:val="24"/>
          <w:szCs w:val="24"/>
          <w:lang w:val="es-ES_tradnl"/>
        </w:rPr>
      </w:pPr>
    </w:p>
    <w:p w:rsidR="00A80938" w:rsidRPr="00A80938" w:rsidRDefault="00A80938" w:rsidP="00A80938">
      <w:pPr>
        <w:tabs>
          <w:tab w:val="center" w:pos="4253"/>
        </w:tabs>
        <w:suppressAutoHyphens/>
        <w:spacing w:after="0" w:line="240" w:lineRule="auto"/>
        <w:jc w:val="center"/>
        <w:rPr>
          <w:rFonts w:ascii="Arial" w:hAnsi="Arial" w:cs="Arial"/>
          <w:b/>
          <w:sz w:val="24"/>
          <w:szCs w:val="24"/>
          <w:lang w:val="es-ES_tradnl"/>
        </w:rPr>
      </w:pPr>
      <w:r w:rsidRPr="00A80938">
        <w:rPr>
          <w:rFonts w:ascii="Arial" w:hAnsi="Arial" w:cs="Arial"/>
          <w:b/>
          <w:sz w:val="24"/>
          <w:szCs w:val="24"/>
          <w:lang w:val="es-ES_tradnl"/>
        </w:rPr>
        <w:t xml:space="preserve">EN SESION DE FECHA </w:t>
      </w:r>
      <w:r w:rsidRPr="00A80938">
        <w:rPr>
          <w:rFonts w:ascii="Helvetica" w:hAnsi="Helvetica"/>
          <w:b/>
          <w:sz w:val="24"/>
          <w:szCs w:val="24"/>
          <w:lang w:val="es-ES_tradnl"/>
        </w:rPr>
        <w:t>12 DE OCTUBRE DE 2016</w:t>
      </w:r>
    </w:p>
    <w:p w:rsidR="00A80938" w:rsidRPr="00A80938" w:rsidRDefault="00A80938" w:rsidP="00A80938">
      <w:pPr>
        <w:tabs>
          <w:tab w:val="center" w:pos="4253"/>
        </w:tabs>
        <w:suppressAutoHyphens/>
        <w:spacing w:after="0" w:line="240" w:lineRule="auto"/>
        <w:jc w:val="center"/>
        <w:rPr>
          <w:rFonts w:ascii="Arial" w:hAnsi="Arial" w:cs="Arial"/>
          <w:b/>
          <w:sz w:val="24"/>
          <w:szCs w:val="24"/>
          <w:lang w:val="es-ES_tradnl"/>
        </w:rPr>
      </w:pPr>
    </w:p>
    <w:p w:rsidR="00A80938" w:rsidRPr="00A80938" w:rsidRDefault="00A80938" w:rsidP="00A80938">
      <w:pPr>
        <w:tabs>
          <w:tab w:val="center" w:pos="4253"/>
        </w:tabs>
        <w:suppressAutoHyphens/>
        <w:spacing w:after="0" w:line="240" w:lineRule="auto"/>
        <w:jc w:val="center"/>
        <w:rPr>
          <w:rFonts w:ascii="Arial" w:hAnsi="Arial" w:cs="Arial"/>
          <w:b/>
          <w:sz w:val="24"/>
          <w:szCs w:val="24"/>
        </w:rPr>
      </w:pPr>
      <w:r w:rsidRPr="00A80938">
        <w:rPr>
          <w:rFonts w:ascii="Arial" w:hAnsi="Arial" w:cs="Arial"/>
          <w:b/>
          <w:sz w:val="24"/>
          <w:szCs w:val="24"/>
        </w:rPr>
        <w:t xml:space="preserve">(E. E. Nº  2016-17-1-0003645, </w:t>
      </w:r>
      <w:proofErr w:type="spellStart"/>
      <w:r w:rsidRPr="00A80938">
        <w:rPr>
          <w:rFonts w:ascii="Arial" w:hAnsi="Arial" w:cs="Arial"/>
          <w:b/>
          <w:sz w:val="24"/>
          <w:szCs w:val="24"/>
        </w:rPr>
        <w:t>Ent</w:t>
      </w:r>
      <w:proofErr w:type="spellEnd"/>
      <w:r w:rsidRPr="00A80938">
        <w:rPr>
          <w:rFonts w:ascii="Arial" w:hAnsi="Arial" w:cs="Arial"/>
          <w:b/>
          <w:sz w:val="24"/>
          <w:szCs w:val="24"/>
        </w:rPr>
        <w:t>. N° 4949/16)</w:t>
      </w:r>
    </w:p>
    <w:p w:rsidR="00A80938" w:rsidRPr="00A80938" w:rsidRDefault="00A80938" w:rsidP="00A80938">
      <w:pPr>
        <w:tabs>
          <w:tab w:val="center" w:pos="4253"/>
        </w:tabs>
        <w:suppressAutoHyphens/>
        <w:spacing w:after="0" w:line="360" w:lineRule="auto"/>
        <w:jc w:val="center"/>
        <w:rPr>
          <w:rFonts w:ascii="Helvetica" w:hAnsi="Helvetica"/>
          <w:b/>
          <w:sz w:val="24"/>
          <w:szCs w:val="24"/>
        </w:rPr>
      </w:pPr>
    </w:p>
    <w:p w:rsidR="008F0506" w:rsidRDefault="008F0506" w:rsidP="00A80938">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nuevas actuaciones remitidas por la Administración Nacional de Usinas y Transmisiones Eléctricas relacionadas con la reiteración del gasto derivado de la Licitación Pública N° P47404, convocada para la ejecución de trabajos de remodelación y ampliación de la red de distribución en el ámbito geográfico de la Gerencia Oeste; </w:t>
      </w:r>
    </w:p>
    <w:p w:rsidR="00A80938" w:rsidRDefault="008F0506" w:rsidP="00A80938">
      <w:pPr>
        <w:spacing w:after="0" w:line="360" w:lineRule="auto"/>
        <w:ind w:firstLine="708"/>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por Resolución G.G N° 10/16 de fecha 26.05.16, el Gerente General,</w:t>
      </w:r>
      <w:r w:rsidR="00A80938">
        <w:rPr>
          <w:rFonts w:ascii="Arial" w:hAnsi="Arial" w:cs="Arial"/>
          <w:sz w:val="24"/>
          <w:szCs w:val="24"/>
        </w:rPr>
        <w:t xml:space="preserve"> </w:t>
      </w:r>
      <w:r>
        <w:rPr>
          <w:rFonts w:ascii="Arial" w:hAnsi="Arial" w:cs="Arial"/>
          <w:sz w:val="24"/>
          <w:szCs w:val="24"/>
        </w:rPr>
        <w:t xml:space="preserve">en uso de atribuciones delegadas, adjudicó la licitación de referencia a las firmas Servicios de Ingeniería Eléctrica Uruguay S.A, Compañía </w:t>
      </w:r>
      <w:r w:rsidR="00A80938">
        <w:rPr>
          <w:rFonts w:ascii="Arial" w:hAnsi="Arial" w:cs="Arial"/>
          <w:sz w:val="24"/>
          <w:szCs w:val="24"/>
        </w:rPr>
        <w:t xml:space="preserve">  </w:t>
      </w:r>
      <w:r>
        <w:rPr>
          <w:rFonts w:ascii="Arial" w:hAnsi="Arial" w:cs="Arial"/>
          <w:sz w:val="24"/>
          <w:szCs w:val="24"/>
        </w:rPr>
        <w:t xml:space="preserve">Electrotécnica </w:t>
      </w:r>
      <w:r w:rsidR="00A80938">
        <w:rPr>
          <w:rFonts w:ascii="Arial" w:hAnsi="Arial" w:cs="Arial"/>
          <w:sz w:val="24"/>
          <w:szCs w:val="24"/>
        </w:rPr>
        <w:t xml:space="preserve"> </w:t>
      </w:r>
      <w:r>
        <w:rPr>
          <w:rFonts w:ascii="Arial" w:hAnsi="Arial" w:cs="Arial"/>
          <w:sz w:val="24"/>
          <w:szCs w:val="24"/>
        </w:rPr>
        <w:t xml:space="preserve">industrial </w:t>
      </w:r>
      <w:r w:rsidR="00A80938">
        <w:rPr>
          <w:rFonts w:ascii="Arial" w:hAnsi="Arial" w:cs="Arial"/>
          <w:sz w:val="24"/>
          <w:szCs w:val="24"/>
        </w:rPr>
        <w:t xml:space="preserve">  </w:t>
      </w:r>
      <w:r>
        <w:rPr>
          <w:rFonts w:ascii="Arial" w:hAnsi="Arial" w:cs="Arial"/>
          <w:sz w:val="24"/>
          <w:szCs w:val="24"/>
        </w:rPr>
        <w:t xml:space="preserve">S.R.L </w:t>
      </w:r>
      <w:r w:rsidR="00A80938">
        <w:rPr>
          <w:rFonts w:ascii="Arial" w:hAnsi="Arial" w:cs="Arial"/>
          <w:sz w:val="24"/>
          <w:szCs w:val="24"/>
        </w:rPr>
        <w:t xml:space="preserve"> </w:t>
      </w:r>
      <w:r>
        <w:rPr>
          <w:rFonts w:ascii="Arial" w:hAnsi="Arial" w:cs="Arial"/>
          <w:sz w:val="24"/>
          <w:szCs w:val="24"/>
        </w:rPr>
        <w:t xml:space="preserve">y </w:t>
      </w:r>
      <w:r w:rsidR="00A80938">
        <w:rPr>
          <w:rFonts w:ascii="Arial" w:hAnsi="Arial" w:cs="Arial"/>
          <w:sz w:val="24"/>
          <w:szCs w:val="24"/>
        </w:rPr>
        <w:t xml:space="preserve"> </w:t>
      </w:r>
      <w:r>
        <w:rPr>
          <w:rFonts w:ascii="Arial" w:hAnsi="Arial" w:cs="Arial"/>
          <w:sz w:val="24"/>
          <w:szCs w:val="24"/>
        </w:rPr>
        <w:t xml:space="preserve">Río Golf S.A, </w:t>
      </w:r>
      <w:r w:rsidR="00A80938">
        <w:rPr>
          <w:rFonts w:ascii="Arial" w:hAnsi="Arial" w:cs="Arial"/>
          <w:sz w:val="24"/>
          <w:szCs w:val="24"/>
        </w:rPr>
        <w:t xml:space="preserve"> </w:t>
      </w:r>
      <w:r>
        <w:rPr>
          <w:rFonts w:ascii="Arial" w:hAnsi="Arial" w:cs="Arial"/>
          <w:sz w:val="24"/>
          <w:szCs w:val="24"/>
        </w:rPr>
        <w:t>por</w:t>
      </w:r>
      <w:r w:rsidR="00A80938">
        <w:rPr>
          <w:rFonts w:ascii="Arial" w:hAnsi="Arial" w:cs="Arial"/>
          <w:sz w:val="24"/>
          <w:szCs w:val="24"/>
        </w:rPr>
        <w:t xml:space="preserve"> </w:t>
      </w:r>
      <w:r>
        <w:rPr>
          <w:rFonts w:ascii="Arial" w:hAnsi="Arial" w:cs="Arial"/>
          <w:sz w:val="24"/>
          <w:szCs w:val="24"/>
        </w:rPr>
        <w:t xml:space="preserve"> un monto de </w:t>
      </w:r>
    </w:p>
    <w:p w:rsidR="008F0506" w:rsidRDefault="008F0506" w:rsidP="00A80938">
      <w:pPr>
        <w:spacing w:after="0" w:line="360" w:lineRule="auto"/>
        <w:jc w:val="both"/>
        <w:rPr>
          <w:rFonts w:ascii="Arial" w:hAnsi="Arial" w:cs="Arial"/>
          <w:sz w:val="24"/>
          <w:szCs w:val="24"/>
        </w:rPr>
      </w:pPr>
      <w:r>
        <w:rPr>
          <w:rFonts w:ascii="Arial" w:hAnsi="Arial" w:cs="Arial"/>
          <w:sz w:val="24"/>
          <w:szCs w:val="24"/>
        </w:rPr>
        <w:t>$ 400:825.439,</w:t>
      </w:r>
      <w:r w:rsidR="00A80938">
        <w:rPr>
          <w:rFonts w:ascii="Arial" w:hAnsi="Arial" w:cs="Arial"/>
          <w:sz w:val="24"/>
          <w:szCs w:val="24"/>
        </w:rPr>
        <w:t xml:space="preserve"> </w:t>
      </w:r>
      <w:r>
        <w:rPr>
          <w:rFonts w:ascii="Arial" w:hAnsi="Arial" w:cs="Arial"/>
          <w:sz w:val="24"/>
          <w:szCs w:val="24"/>
        </w:rPr>
        <w:t>(impuestos incluidos);</w:t>
      </w:r>
    </w:p>
    <w:p w:rsidR="008F0506" w:rsidRDefault="008F0506" w:rsidP="00A80938">
      <w:pPr>
        <w:spacing w:after="0" w:line="360" w:lineRule="auto"/>
        <w:ind w:firstLine="2552"/>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por Resolución N° 2345/16 adoptada en Sesión de fecha 06.07.16, este Tribunal observó el gasto en razón de que:</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 xml:space="preserve">2.1) </w:t>
      </w:r>
      <w:r>
        <w:rPr>
          <w:rFonts w:ascii="Arial" w:hAnsi="Arial" w:cs="Arial"/>
          <w:sz w:val="24"/>
          <w:szCs w:val="24"/>
        </w:rPr>
        <w:t>el artículo 5.6 del Pliego de Condiciones Particulares contraviene lo dispuesto en el artículo 9 del Pliego Único de Bases y Condiciones Generales para los Contratos de Obra Pública al exigir, junto a la presentación de las ofertas, documentación a la que es posible acceder a través del RUPE o cualquier otro sistema de información de libre acceso;</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el </w:t>
      </w:r>
      <w:r w:rsidR="00A80938">
        <w:rPr>
          <w:rFonts w:ascii="Arial" w:hAnsi="Arial" w:cs="Arial"/>
          <w:sz w:val="24"/>
          <w:szCs w:val="24"/>
        </w:rPr>
        <w:t>A</w:t>
      </w:r>
      <w:r>
        <w:rPr>
          <w:rFonts w:ascii="Arial" w:hAnsi="Arial" w:cs="Arial"/>
          <w:sz w:val="24"/>
          <w:szCs w:val="24"/>
        </w:rPr>
        <w:t xml:space="preserve">rtículo 6.2 del Pliego de Condiciones Particulares prevé que </w:t>
      </w:r>
      <w:r>
        <w:rPr>
          <w:rFonts w:ascii="Arial" w:hAnsi="Arial" w:cs="Arial"/>
          <w:i/>
          <w:iCs/>
          <w:sz w:val="24"/>
          <w:szCs w:val="24"/>
        </w:rPr>
        <w:t xml:space="preserve">“el oferente listará las desviaciones menores de su oferta con relación a las especificaciones. UTE, en los casos en que estime necesario, se reserva el derecho de considerarlas a los efectos comparativos o de rechazar la oferta”, </w:t>
      </w:r>
      <w:r>
        <w:rPr>
          <w:rFonts w:ascii="Arial" w:hAnsi="Arial" w:cs="Arial"/>
          <w:sz w:val="24"/>
          <w:szCs w:val="24"/>
        </w:rPr>
        <w:t xml:space="preserve">lo </w:t>
      </w:r>
      <w:r>
        <w:rPr>
          <w:rFonts w:ascii="Arial" w:hAnsi="Arial" w:cs="Arial"/>
          <w:sz w:val="24"/>
          <w:szCs w:val="24"/>
        </w:rPr>
        <w:lastRenderedPageBreak/>
        <w:t xml:space="preserve">que contraviene el </w:t>
      </w:r>
      <w:r w:rsidR="00A80938">
        <w:rPr>
          <w:rFonts w:ascii="Arial" w:hAnsi="Arial" w:cs="Arial"/>
          <w:sz w:val="24"/>
          <w:szCs w:val="24"/>
        </w:rPr>
        <w:t>A</w:t>
      </w:r>
      <w:r>
        <w:rPr>
          <w:rFonts w:ascii="Arial" w:hAnsi="Arial" w:cs="Arial"/>
          <w:sz w:val="24"/>
          <w:szCs w:val="24"/>
        </w:rPr>
        <w:t xml:space="preserve">rtículo 63 del TOCAF, puesto que habilita a los proponentes a presentar apartamientos respecto de las bases del llamado, en detrimento de los postulados del principio de estricto cumplimiento de los pliegos de condiciones, el que deriva de los principios de legalidad e igualdad de los oferentes establecidos en el </w:t>
      </w:r>
      <w:r w:rsidR="00A80938">
        <w:rPr>
          <w:rFonts w:ascii="Arial" w:hAnsi="Arial" w:cs="Arial"/>
          <w:sz w:val="24"/>
          <w:szCs w:val="24"/>
        </w:rPr>
        <w:t>A</w:t>
      </w:r>
      <w:r>
        <w:rPr>
          <w:rFonts w:ascii="Arial" w:hAnsi="Arial" w:cs="Arial"/>
          <w:sz w:val="24"/>
          <w:szCs w:val="24"/>
        </w:rPr>
        <w:t xml:space="preserve">rtículo 149 </w:t>
      </w:r>
      <w:r w:rsidR="00A80938">
        <w:rPr>
          <w:rFonts w:ascii="Arial" w:hAnsi="Arial" w:cs="Arial"/>
          <w:sz w:val="24"/>
          <w:szCs w:val="24"/>
        </w:rPr>
        <w:t>L</w:t>
      </w:r>
      <w:r>
        <w:rPr>
          <w:rFonts w:ascii="Arial" w:hAnsi="Arial" w:cs="Arial"/>
          <w:sz w:val="24"/>
          <w:szCs w:val="24"/>
        </w:rPr>
        <w:t>iteral B) del TOCAF;</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2.3)</w:t>
      </w:r>
      <w:r>
        <w:rPr>
          <w:rFonts w:ascii="Arial" w:hAnsi="Arial" w:cs="Arial"/>
          <w:sz w:val="24"/>
          <w:szCs w:val="24"/>
        </w:rPr>
        <w:t xml:space="preserve"> no surge del Pliego de Condiciones Particulares en forma precisa cuál es el monto fijado para la constitución de la garantía de mantenimiento de oferta, en caso de que los proponentes opten por la presentación de la misma, en contravención del </w:t>
      </w:r>
      <w:r w:rsidR="00A80938">
        <w:rPr>
          <w:rFonts w:ascii="Arial" w:hAnsi="Arial" w:cs="Arial"/>
          <w:sz w:val="24"/>
          <w:szCs w:val="24"/>
        </w:rPr>
        <w:t>A</w:t>
      </w:r>
      <w:r>
        <w:rPr>
          <w:rFonts w:ascii="Arial" w:hAnsi="Arial" w:cs="Arial"/>
          <w:sz w:val="24"/>
          <w:szCs w:val="24"/>
        </w:rPr>
        <w:t>rtículo 64 del TOCAF;  y</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2.4)</w:t>
      </w:r>
      <w:r>
        <w:rPr>
          <w:rFonts w:ascii="Arial" w:hAnsi="Arial" w:cs="Arial"/>
          <w:sz w:val="24"/>
          <w:szCs w:val="24"/>
        </w:rPr>
        <w:t xml:space="preserve"> se contravino el </w:t>
      </w:r>
      <w:r w:rsidR="00A80938">
        <w:rPr>
          <w:rFonts w:ascii="Arial" w:hAnsi="Arial" w:cs="Arial"/>
          <w:sz w:val="24"/>
          <w:szCs w:val="24"/>
        </w:rPr>
        <w:t>A</w:t>
      </w:r>
      <w:r>
        <w:rPr>
          <w:rFonts w:ascii="Arial" w:hAnsi="Arial" w:cs="Arial"/>
          <w:sz w:val="24"/>
          <w:szCs w:val="24"/>
        </w:rPr>
        <w:t>rtículo 15 del TOCAF, al comprometerse un gasto sin disponibilidad presupuestal suficiente en el rubro de imputación para el Ejercicio 2016;</w:t>
      </w:r>
    </w:p>
    <w:p w:rsidR="008F0506" w:rsidRDefault="008F0506" w:rsidP="00A8093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 </w:t>
      </w:r>
      <w:r>
        <w:rPr>
          <w:rFonts w:ascii="Arial" w:hAnsi="Arial" w:cs="Arial"/>
          <w:sz w:val="24"/>
          <w:szCs w:val="24"/>
        </w:rPr>
        <w:t>que el Directorio reiteró el gasto, por Resolución N° 16.-1969 de fecha 01.09.16, argumentando que:</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 xml:space="preserve">3.1) </w:t>
      </w:r>
      <w:r>
        <w:rPr>
          <w:rFonts w:ascii="Arial" w:hAnsi="Arial" w:cs="Arial"/>
          <w:sz w:val="24"/>
          <w:szCs w:val="24"/>
        </w:rPr>
        <w:t>tanto a la fecha de la publicación del Pliego de Condiciones Particulares en la página web de ACCE, como al momento de la apertura de ofertas, UTE aún no se había incorporado al RUPE, lo que se efectivizó el 21.12.15;</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 xml:space="preserve">3.2) </w:t>
      </w:r>
      <w:r>
        <w:rPr>
          <w:rFonts w:ascii="Arial" w:hAnsi="Arial" w:cs="Arial"/>
          <w:sz w:val="24"/>
          <w:szCs w:val="24"/>
        </w:rPr>
        <w:t>a efectos de establecer la razonabilidad con que las ofertas se ajustan a la descripción del objeto requerido en el llamado, la Administración debe analizar las desviaciones que las mismas pudieren presentar y determinar si, a pesar de éstas, se mantiene el objeto licitado satisfaciendo la necesidad que originó el llamado y, en caso de que las desviaciones sean menores, corresponde aceptar la oferta;</w:t>
      </w:r>
    </w:p>
    <w:p w:rsidR="008F0506" w:rsidRDefault="008F0506" w:rsidP="00A80938">
      <w:pPr>
        <w:spacing w:after="0" w:line="360" w:lineRule="auto"/>
        <w:jc w:val="both"/>
        <w:rPr>
          <w:rFonts w:ascii="Arial" w:hAnsi="Arial" w:cs="Arial"/>
          <w:sz w:val="24"/>
          <w:szCs w:val="24"/>
        </w:rPr>
      </w:pPr>
      <w:r>
        <w:rPr>
          <w:rFonts w:ascii="Arial" w:hAnsi="Arial" w:cs="Arial"/>
          <w:b/>
          <w:bCs/>
          <w:sz w:val="24"/>
          <w:szCs w:val="24"/>
        </w:rPr>
        <w:t xml:space="preserve">3.3) </w:t>
      </w:r>
      <w:r>
        <w:rPr>
          <w:rFonts w:ascii="Arial" w:hAnsi="Arial" w:cs="Arial"/>
          <w:sz w:val="24"/>
          <w:szCs w:val="24"/>
        </w:rPr>
        <w:t xml:space="preserve">en el Volumen VI –Datos particulares del contrato- Punto 8, se establece claramente y en forma precisa que cuando el oferente opte por depositar garantía de mantenimiento de oferta, el monto de dicha garantía será de: Obra 1 $749.760, Obra 2 $749.760, Obra 3 $585.040, Obra 4 $585.040, Obra 5 $363.520 y Obra 6 $272.640, por lo que, respecto de este punto, el Pliego de </w:t>
      </w:r>
      <w:r>
        <w:rPr>
          <w:rFonts w:ascii="Arial" w:hAnsi="Arial" w:cs="Arial"/>
          <w:sz w:val="24"/>
          <w:szCs w:val="24"/>
        </w:rPr>
        <w:lastRenderedPageBreak/>
        <w:t xml:space="preserve">Condiciones Particulares se ajusta estrictamente a lo indicado en el </w:t>
      </w:r>
      <w:r w:rsidR="00A80938">
        <w:rPr>
          <w:rFonts w:ascii="Arial" w:hAnsi="Arial" w:cs="Arial"/>
          <w:sz w:val="24"/>
          <w:szCs w:val="24"/>
        </w:rPr>
        <w:t>A</w:t>
      </w:r>
      <w:r>
        <w:rPr>
          <w:rFonts w:ascii="Arial" w:hAnsi="Arial" w:cs="Arial"/>
          <w:sz w:val="24"/>
          <w:szCs w:val="24"/>
        </w:rPr>
        <w:t>rtículo 64 del TOCAF;</w:t>
      </w:r>
    </w:p>
    <w:p w:rsidR="008F0506" w:rsidRDefault="008F0506" w:rsidP="00A80938">
      <w:pPr>
        <w:spacing w:after="0" w:line="360" w:lineRule="auto"/>
        <w:jc w:val="both"/>
        <w:rPr>
          <w:rFonts w:ascii="Arial" w:hAnsi="Arial" w:cs="Arial"/>
          <w:b/>
          <w:bCs/>
          <w:sz w:val="24"/>
          <w:szCs w:val="24"/>
        </w:rPr>
      </w:pPr>
      <w:r>
        <w:rPr>
          <w:rFonts w:ascii="Arial" w:hAnsi="Arial" w:cs="Arial"/>
          <w:b/>
          <w:bCs/>
          <w:sz w:val="24"/>
          <w:szCs w:val="24"/>
        </w:rPr>
        <w:t xml:space="preserve">3.4) </w:t>
      </w:r>
      <w:r>
        <w:rPr>
          <w:rFonts w:ascii="Arial" w:hAnsi="Arial" w:cs="Arial"/>
          <w:sz w:val="24"/>
          <w:szCs w:val="24"/>
        </w:rPr>
        <w:t>respecto de la falta de disponibilidad presupuestal para el Ejercicio 2016, se destaca que la contratación es necesaria para atender obras de reforma y ampliación de redes en la Regional Oeste, a efectos de cumplir el correspondiente al período comprendido desde el segundo semestre de 2016 al primer semestre de 2018, cuyo incumplimiento de conexión en plazo es penalizado por la URSEA;</w:t>
      </w:r>
    </w:p>
    <w:p w:rsidR="008F0506" w:rsidRDefault="008F0506" w:rsidP="00A80938">
      <w:pPr>
        <w:spacing w:after="0" w:line="360" w:lineRule="auto"/>
        <w:ind w:firstLine="709"/>
        <w:jc w:val="both"/>
        <w:rPr>
          <w:rFonts w:ascii="Arial" w:hAnsi="Arial" w:cs="Arial"/>
          <w:sz w:val="24"/>
          <w:szCs w:val="24"/>
        </w:rPr>
      </w:pPr>
      <w:r>
        <w:rPr>
          <w:rFonts w:ascii="Arial" w:hAnsi="Arial" w:cs="Arial"/>
          <w:b/>
          <w:bCs/>
          <w:sz w:val="24"/>
          <w:szCs w:val="24"/>
        </w:rPr>
        <w:t>CONSIDERANDO:</w:t>
      </w:r>
      <w:r>
        <w:rPr>
          <w:rFonts w:ascii="Arial" w:hAnsi="Arial" w:cs="Arial"/>
          <w:b/>
          <w:bCs/>
          <w:sz w:val="24"/>
          <w:szCs w:val="24"/>
        </w:rPr>
        <w:tab/>
        <w:t xml:space="preserve">1) </w:t>
      </w:r>
      <w:r>
        <w:rPr>
          <w:rFonts w:ascii="Arial" w:hAnsi="Arial" w:cs="Arial"/>
          <w:sz w:val="24"/>
          <w:szCs w:val="24"/>
        </w:rPr>
        <w:t>que la acreditación de la capacidad del Administrador es un requisito formal que la Administración debió controlar al momento de la apertura de ofertas, ingresando al sistema informático que brinda dicha información al cual tiene libre acceso, sin perjuicio de la fecha de su incorporación al RUPE;</w:t>
      </w:r>
    </w:p>
    <w:p w:rsidR="008F0506" w:rsidRDefault="008F0506" w:rsidP="00A80938">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el artículo 5.6 apartado 3° del Pliego de Condiciones Particulares no establece parámetros objetivos para determinar a priori cuáles son los criterios aplicables a efectos de determinar la admisibilidad de las ofertas que incurrieran en desviaciones, siendo que el artículo 63 del TOCAF exige que los oferentes presenten sus propuestas en las condiciones y formas requeridas, las que deben ajustarse razonablemente a la descripción del objeto; dicha norma no avala que las propuestas presenten apartamientos de a las bases del llamado;</w:t>
      </w:r>
    </w:p>
    <w:p w:rsidR="008F0506" w:rsidRDefault="008F0506" w:rsidP="00A80938">
      <w:pPr>
        <w:spacing w:line="360" w:lineRule="auto"/>
        <w:ind w:firstLine="2835"/>
        <w:jc w:val="both"/>
        <w:rPr>
          <w:rFonts w:ascii="Arial" w:hAnsi="Arial" w:cs="Arial"/>
          <w:sz w:val="24"/>
          <w:szCs w:val="24"/>
          <w:lang w:val="es-ES" w:eastAsia="es-ES"/>
        </w:rPr>
      </w:pPr>
      <w:r>
        <w:rPr>
          <w:rFonts w:ascii="Arial" w:hAnsi="Arial" w:cs="Arial"/>
          <w:b/>
          <w:bCs/>
          <w:sz w:val="24"/>
          <w:szCs w:val="24"/>
        </w:rPr>
        <w:t xml:space="preserve">3) </w:t>
      </w:r>
      <w:r>
        <w:rPr>
          <w:rFonts w:ascii="Arial" w:hAnsi="Arial" w:cs="Arial"/>
          <w:sz w:val="24"/>
          <w:szCs w:val="24"/>
        </w:rPr>
        <w:t xml:space="preserve">los argumentos esgrimidos respecto de la contravención a lo preceptuado por el </w:t>
      </w:r>
      <w:r w:rsidR="00A80938">
        <w:rPr>
          <w:rFonts w:ascii="Arial" w:hAnsi="Arial" w:cs="Arial"/>
          <w:sz w:val="24"/>
          <w:szCs w:val="24"/>
        </w:rPr>
        <w:t>A</w:t>
      </w:r>
      <w:r>
        <w:rPr>
          <w:rFonts w:ascii="Arial" w:hAnsi="Arial" w:cs="Arial"/>
          <w:sz w:val="24"/>
          <w:szCs w:val="24"/>
        </w:rPr>
        <w:t>rtículo 15 del TOCAF no guardan relación con la observación oportunamente formulada;</w:t>
      </w:r>
    </w:p>
    <w:p w:rsidR="008F0506" w:rsidRDefault="008F0506">
      <w:pPr>
        <w:spacing w:line="360" w:lineRule="auto"/>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80938">
        <w:rPr>
          <w:rFonts w:ascii="Arial" w:hAnsi="Arial" w:cs="Arial"/>
          <w:b/>
          <w:bCs/>
          <w:sz w:val="24"/>
          <w:szCs w:val="24"/>
        </w:rPr>
        <w:t>4</w:t>
      </w:r>
      <w:r w:rsidRPr="00A80938">
        <w:rPr>
          <w:rFonts w:ascii="Arial" w:hAnsi="Arial" w:cs="Arial"/>
          <w:b/>
          <w:sz w:val="24"/>
          <w:szCs w:val="24"/>
        </w:rPr>
        <w:t>)</w:t>
      </w:r>
      <w:r w:rsidR="00A80938">
        <w:rPr>
          <w:rFonts w:ascii="Arial" w:hAnsi="Arial" w:cs="Arial"/>
          <w:sz w:val="24"/>
          <w:szCs w:val="24"/>
        </w:rPr>
        <w:t xml:space="preserve"> </w:t>
      </w:r>
      <w:r>
        <w:rPr>
          <w:rFonts w:ascii="Arial" w:hAnsi="Arial" w:cs="Arial"/>
          <w:sz w:val="24"/>
          <w:szCs w:val="24"/>
        </w:rPr>
        <w:t xml:space="preserve">que siendo que de acuerdo a lo informado, los montos de las garantías de las obras están establecidos en el Volumen VI Punto 8 del P. de C. Particulares, se dio cumplimiento a lo dispuesto por el </w:t>
      </w:r>
      <w:r w:rsidR="00A80938">
        <w:rPr>
          <w:rFonts w:ascii="Arial" w:hAnsi="Arial" w:cs="Arial"/>
          <w:sz w:val="24"/>
          <w:szCs w:val="24"/>
        </w:rPr>
        <w:t>A</w:t>
      </w:r>
      <w:r>
        <w:rPr>
          <w:rFonts w:ascii="Arial" w:hAnsi="Arial" w:cs="Arial"/>
          <w:sz w:val="24"/>
          <w:szCs w:val="24"/>
        </w:rPr>
        <w:t>rt</w:t>
      </w:r>
      <w:r w:rsidR="00A80938">
        <w:rPr>
          <w:rFonts w:ascii="Arial" w:hAnsi="Arial" w:cs="Arial"/>
          <w:sz w:val="24"/>
          <w:szCs w:val="24"/>
        </w:rPr>
        <w:t>ículo</w:t>
      </w:r>
      <w:r>
        <w:rPr>
          <w:rFonts w:ascii="Arial" w:hAnsi="Arial" w:cs="Arial"/>
          <w:sz w:val="24"/>
          <w:szCs w:val="24"/>
        </w:rPr>
        <w:t xml:space="preserve"> 64 del </w:t>
      </w:r>
      <w:r w:rsidR="00A80938">
        <w:rPr>
          <w:rFonts w:ascii="Arial" w:hAnsi="Arial" w:cs="Arial"/>
          <w:sz w:val="24"/>
          <w:szCs w:val="24"/>
        </w:rPr>
        <w:t>TOCAF</w:t>
      </w:r>
      <w:r>
        <w:rPr>
          <w:rFonts w:ascii="Arial" w:hAnsi="Arial" w:cs="Arial"/>
          <w:sz w:val="24"/>
          <w:szCs w:val="24"/>
        </w:rPr>
        <w:t xml:space="preserve">; </w:t>
      </w:r>
    </w:p>
    <w:p w:rsidR="008F0506" w:rsidRDefault="008F0506" w:rsidP="00A80938">
      <w:pPr>
        <w:spacing w:after="0" w:line="360" w:lineRule="auto"/>
        <w:ind w:firstLine="708"/>
        <w:jc w:val="both"/>
        <w:rPr>
          <w:rFonts w:ascii="Arial" w:hAnsi="Arial" w:cs="Arial"/>
          <w:sz w:val="24"/>
          <w:szCs w:val="24"/>
          <w:lang w:val="es-MX" w:eastAsia="es-ES"/>
        </w:rPr>
      </w:pPr>
      <w:r>
        <w:rPr>
          <w:rFonts w:ascii="Arial" w:hAnsi="Arial" w:cs="Arial"/>
          <w:b/>
          <w:bCs/>
          <w:sz w:val="24"/>
          <w:szCs w:val="24"/>
        </w:rPr>
        <w:lastRenderedPageBreak/>
        <w:t>ATENTO:</w:t>
      </w:r>
      <w:r>
        <w:rPr>
          <w:rFonts w:ascii="Arial" w:hAnsi="Arial" w:cs="Arial"/>
          <w:b/>
          <w:bCs/>
          <w:sz w:val="24"/>
          <w:szCs w:val="24"/>
          <w:lang w:val="es-MX" w:eastAsia="es-ES"/>
        </w:rPr>
        <w:t xml:space="preserve"> </w:t>
      </w:r>
      <w:r>
        <w:rPr>
          <w:rFonts w:ascii="Arial" w:hAnsi="Arial" w:cs="Arial"/>
          <w:sz w:val="24"/>
          <w:szCs w:val="24"/>
          <w:lang w:val="es-MX" w:eastAsia="es-ES"/>
        </w:rPr>
        <w:t xml:space="preserve">a lo expresado y a lo dispuesto por el </w:t>
      </w:r>
      <w:r w:rsidR="00A80938">
        <w:rPr>
          <w:rFonts w:ascii="Arial" w:hAnsi="Arial" w:cs="Arial"/>
          <w:sz w:val="24"/>
          <w:szCs w:val="24"/>
          <w:lang w:val="es-MX" w:eastAsia="es-ES"/>
        </w:rPr>
        <w:t>A</w:t>
      </w:r>
      <w:r>
        <w:rPr>
          <w:rFonts w:ascii="Arial" w:hAnsi="Arial" w:cs="Arial"/>
          <w:sz w:val="24"/>
          <w:szCs w:val="24"/>
          <w:lang w:val="es-MX" w:eastAsia="es-ES"/>
        </w:rPr>
        <w:t xml:space="preserve">rtículo 211 </w:t>
      </w:r>
      <w:r w:rsidR="00A80938">
        <w:rPr>
          <w:rFonts w:ascii="Arial" w:hAnsi="Arial" w:cs="Arial"/>
          <w:sz w:val="24"/>
          <w:szCs w:val="24"/>
          <w:lang w:val="es-MX" w:eastAsia="es-ES"/>
        </w:rPr>
        <w:t>L</w:t>
      </w:r>
      <w:r>
        <w:rPr>
          <w:rFonts w:ascii="Arial" w:hAnsi="Arial" w:cs="Arial"/>
          <w:sz w:val="24"/>
          <w:szCs w:val="24"/>
          <w:lang w:val="es-MX" w:eastAsia="es-ES"/>
        </w:rPr>
        <w:t>iteral B) de la Constitución de la República;</w:t>
      </w:r>
    </w:p>
    <w:p w:rsidR="008F0506" w:rsidRDefault="008F0506" w:rsidP="00A80938">
      <w:pPr>
        <w:spacing w:after="0" w:line="360" w:lineRule="auto"/>
        <w:jc w:val="center"/>
        <w:rPr>
          <w:rFonts w:ascii="Arial" w:hAnsi="Arial" w:cs="Arial"/>
          <w:b/>
          <w:bCs/>
          <w:sz w:val="24"/>
          <w:szCs w:val="24"/>
          <w:lang w:val="es-MX" w:eastAsia="es-ES"/>
        </w:rPr>
      </w:pPr>
      <w:r>
        <w:rPr>
          <w:rFonts w:ascii="Arial" w:hAnsi="Arial" w:cs="Arial"/>
          <w:b/>
          <w:bCs/>
          <w:sz w:val="24"/>
          <w:szCs w:val="24"/>
          <w:lang w:val="es-MX" w:eastAsia="es-ES"/>
        </w:rPr>
        <w:t>EL TRIBUNAL ACUERDA</w:t>
      </w:r>
    </w:p>
    <w:p w:rsidR="008F0506" w:rsidRDefault="008F0506" w:rsidP="00A80938">
      <w:pPr>
        <w:spacing w:after="0" w:line="360" w:lineRule="auto"/>
        <w:ind w:left="426" w:hanging="426"/>
        <w:jc w:val="both"/>
        <w:rPr>
          <w:rFonts w:ascii="Arial" w:hAnsi="Arial" w:cs="Arial"/>
          <w:sz w:val="24"/>
          <w:szCs w:val="24"/>
          <w:lang w:val="es-MX" w:eastAsia="es-ES"/>
        </w:rPr>
      </w:pPr>
      <w:r>
        <w:rPr>
          <w:rFonts w:ascii="Arial" w:hAnsi="Arial" w:cs="Arial"/>
          <w:b/>
          <w:bCs/>
          <w:sz w:val="24"/>
          <w:szCs w:val="24"/>
          <w:lang w:val="es-MX" w:eastAsia="es-ES"/>
        </w:rPr>
        <w:t>1)</w:t>
      </w:r>
      <w:r>
        <w:rPr>
          <w:rFonts w:ascii="Arial" w:hAnsi="Arial" w:cs="Arial"/>
          <w:sz w:val="24"/>
          <w:szCs w:val="24"/>
          <w:lang w:val="es-MX" w:eastAsia="es-ES"/>
        </w:rPr>
        <w:t xml:space="preserve"> Levantar la observación formulada en el Considerando N° 6) de la Resolución N° 2345/16 dictada en Sesión de fecha 06.07.16, referente al monto de la garantía de mantenimiento de oferta (Considerando 4).</w:t>
      </w:r>
    </w:p>
    <w:p w:rsidR="008F0506" w:rsidRDefault="008F0506" w:rsidP="00A80938">
      <w:pPr>
        <w:spacing w:after="0" w:line="360" w:lineRule="auto"/>
        <w:ind w:left="426" w:hanging="426"/>
        <w:jc w:val="both"/>
        <w:rPr>
          <w:rFonts w:ascii="Arial" w:hAnsi="Arial" w:cs="Arial"/>
          <w:sz w:val="24"/>
          <w:szCs w:val="24"/>
          <w:lang w:val="es-MX" w:eastAsia="es-ES"/>
        </w:rPr>
      </w:pPr>
      <w:r>
        <w:rPr>
          <w:rFonts w:ascii="Arial" w:hAnsi="Arial" w:cs="Arial"/>
          <w:b/>
          <w:bCs/>
          <w:sz w:val="24"/>
          <w:szCs w:val="24"/>
          <w:lang w:val="es-MX" w:eastAsia="es-ES"/>
        </w:rPr>
        <w:t>2)</w:t>
      </w:r>
      <w:r>
        <w:rPr>
          <w:rFonts w:ascii="Arial" w:hAnsi="Arial" w:cs="Arial"/>
          <w:sz w:val="24"/>
          <w:szCs w:val="24"/>
          <w:lang w:val="es-MX" w:eastAsia="es-ES"/>
        </w:rPr>
        <w:t xml:space="preserve"> </w:t>
      </w:r>
      <w:r w:rsidR="00A80938">
        <w:rPr>
          <w:rFonts w:ascii="Arial" w:hAnsi="Arial" w:cs="Arial"/>
          <w:sz w:val="24"/>
          <w:szCs w:val="24"/>
          <w:lang w:val="es-MX" w:eastAsia="es-ES"/>
        </w:rPr>
        <w:t xml:space="preserve"> </w:t>
      </w:r>
      <w:r>
        <w:rPr>
          <w:rFonts w:ascii="Arial" w:hAnsi="Arial" w:cs="Arial"/>
          <w:sz w:val="24"/>
          <w:szCs w:val="24"/>
          <w:lang w:val="es-MX" w:eastAsia="es-ES"/>
        </w:rPr>
        <w:t xml:space="preserve">Mantener en todos sus términos las observaciones formuladas en la referida </w:t>
      </w:r>
      <w:r w:rsidR="00A80938">
        <w:rPr>
          <w:rFonts w:ascii="Arial" w:hAnsi="Arial" w:cs="Arial"/>
          <w:sz w:val="24"/>
          <w:szCs w:val="24"/>
          <w:lang w:val="es-MX" w:eastAsia="es-ES"/>
        </w:rPr>
        <w:t xml:space="preserve"> </w:t>
      </w:r>
      <w:r>
        <w:rPr>
          <w:rFonts w:ascii="Arial" w:hAnsi="Arial" w:cs="Arial"/>
          <w:sz w:val="24"/>
          <w:szCs w:val="24"/>
          <w:lang w:val="es-MX" w:eastAsia="es-ES"/>
        </w:rPr>
        <w:t>Resolución, de acuerdo a lo establecido en los Considerandos 1) a 3).</w:t>
      </w:r>
    </w:p>
    <w:p w:rsidR="008F0506" w:rsidRDefault="008F0506">
      <w:pPr>
        <w:spacing w:after="0" w:line="360" w:lineRule="auto"/>
        <w:jc w:val="both"/>
        <w:rPr>
          <w:rFonts w:ascii="Arial" w:hAnsi="Arial" w:cs="Arial"/>
          <w:sz w:val="24"/>
          <w:szCs w:val="24"/>
          <w:lang w:val="es-ES" w:eastAsia="es-ES"/>
        </w:rPr>
      </w:pPr>
      <w:r>
        <w:rPr>
          <w:rFonts w:ascii="Arial" w:hAnsi="Arial" w:cs="Arial"/>
          <w:b/>
          <w:bCs/>
          <w:sz w:val="24"/>
          <w:szCs w:val="24"/>
          <w:lang w:val="es-MX" w:eastAsia="es-ES"/>
        </w:rPr>
        <w:t>3)</w:t>
      </w:r>
      <w:r>
        <w:rPr>
          <w:rFonts w:ascii="Arial" w:hAnsi="Arial" w:cs="Arial"/>
          <w:sz w:val="24"/>
          <w:szCs w:val="24"/>
          <w:lang w:val="es-MX" w:eastAsia="es-ES"/>
        </w:rPr>
        <w:t xml:space="preserve"> </w:t>
      </w:r>
      <w:r w:rsidR="00A80938">
        <w:rPr>
          <w:rFonts w:ascii="Arial" w:hAnsi="Arial" w:cs="Arial"/>
          <w:sz w:val="24"/>
          <w:szCs w:val="24"/>
          <w:lang w:val="es-MX" w:eastAsia="es-ES"/>
        </w:rPr>
        <w:t xml:space="preserve">  </w:t>
      </w:r>
      <w:r>
        <w:rPr>
          <w:rFonts w:ascii="Arial" w:hAnsi="Arial" w:cs="Arial"/>
          <w:sz w:val="24"/>
          <w:szCs w:val="24"/>
          <w:lang w:val="es-ES" w:eastAsia="es-ES"/>
        </w:rPr>
        <w:t>Comunicar a la Administración actuante</w:t>
      </w:r>
      <w:r w:rsidR="00A80938">
        <w:rPr>
          <w:rFonts w:ascii="Arial" w:hAnsi="Arial" w:cs="Arial"/>
          <w:sz w:val="24"/>
          <w:szCs w:val="24"/>
          <w:lang w:val="es-ES" w:eastAsia="es-ES"/>
        </w:rPr>
        <w:t>; y</w:t>
      </w:r>
    </w:p>
    <w:p w:rsidR="00A80938" w:rsidRPr="00A80938" w:rsidRDefault="00A80938">
      <w:pPr>
        <w:spacing w:after="0" w:line="360" w:lineRule="auto"/>
        <w:jc w:val="both"/>
        <w:rPr>
          <w:rFonts w:ascii="Arial" w:hAnsi="Arial" w:cs="Arial"/>
          <w:b/>
          <w:sz w:val="24"/>
          <w:szCs w:val="24"/>
          <w:lang w:val="es-ES" w:eastAsia="es-ES"/>
        </w:rPr>
      </w:pPr>
      <w:r w:rsidRPr="00A80938">
        <w:rPr>
          <w:rFonts w:ascii="Arial" w:hAnsi="Arial" w:cs="Arial"/>
          <w:b/>
          <w:sz w:val="24"/>
          <w:szCs w:val="24"/>
          <w:lang w:val="es-ES" w:eastAsia="es-ES"/>
        </w:rPr>
        <w:t>4)</w:t>
      </w:r>
      <w:r>
        <w:rPr>
          <w:rFonts w:ascii="Arial" w:hAnsi="Arial" w:cs="Arial"/>
          <w:b/>
          <w:sz w:val="24"/>
          <w:szCs w:val="24"/>
          <w:lang w:val="es-ES" w:eastAsia="es-ES"/>
        </w:rPr>
        <w:t xml:space="preserve">   </w:t>
      </w:r>
      <w:r w:rsidRPr="00A80938">
        <w:rPr>
          <w:rFonts w:ascii="Arial" w:hAnsi="Arial" w:cs="Arial"/>
          <w:sz w:val="24"/>
          <w:szCs w:val="24"/>
          <w:lang w:val="es-ES" w:eastAsia="es-ES"/>
        </w:rPr>
        <w:t>Dar cuenta a la Asamblea General.</w:t>
      </w:r>
    </w:p>
    <w:p w:rsidR="008F0506" w:rsidRDefault="008F0506">
      <w:pPr>
        <w:spacing w:after="0" w:line="360" w:lineRule="auto"/>
        <w:jc w:val="both"/>
        <w:rPr>
          <w:rFonts w:ascii="Arial" w:hAnsi="Arial" w:cs="Arial"/>
          <w:sz w:val="24"/>
          <w:szCs w:val="24"/>
          <w:lang w:val="es-ES" w:eastAsia="es-ES"/>
        </w:rPr>
      </w:pPr>
    </w:p>
    <w:p w:rsidR="008F0506" w:rsidRDefault="008F0506">
      <w:pPr>
        <w:spacing w:after="0" w:line="360" w:lineRule="auto"/>
        <w:jc w:val="both"/>
        <w:rPr>
          <w:rFonts w:ascii="Arial" w:hAnsi="Arial" w:cs="Arial"/>
          <w:sz w:val="24"/>
          <w:szCs w:val="24"/>
          <w:lang w:val="es-ES" w:eastAsia="es-ES"/>
        </w:rPr>
      </w:pPr>
    </w:p>
    <w:p w:rsidR="00A80938" w:rsidRDefault="00A80938">
      <w:pPr>
        <w:spacing w:after="0" w:line="360" w:lineRule="auto"/>
        <w:jc w:val="both"/>
        <w:rPr>
          <w:rFonts w:ascii="Arial" w:hAnsi="Arial" w:cs="Arial"/>
          <w:sz w:val="24"/>
          <w:szCs w:val="24"/>
          <w:lang w:val="es-ES" w:eastAsia="es-ES"/>
        </w:rPr>
      </w:pPr>
    </w:p>
    <w:p w:rsidR="00A80938" w:rsidRDefault="00A80938">
      <w:pPr>
        <w:spacing w:after="0" w:line="360" w:lineRule="auto"/>
        <w:jc w:val="both"/>
        <w:rPr>
          <w:rFonts w:ascii="Arial" w:hAnsi="Arial" w:cs="Arial"/>
          <w:sz w:val="24"/>
          <w:szCs w:val="24"/>
          <w:lang w:val="es-ES" w:eastAsia="es-ES"/>
        </w:rPr>
      </w:pPr>
    </w:p>
    <w:p w:rsidR="00A80938" w:rsidRDefault="00A80938">
      <w:pPr>
        <w:spacing w:after="0" w:line="360" w:lineRule="auto"/>
        <w:jc w:val="both"/>
        <w:rPr>
          <w:rFonts w:ascii="Arial" w:hAnsi="Arial" w:cs="Arial"/>
          <w:sz w:val="24"/>
          <w:szCs w:val="24"/>
          <w:lang w:val="es-ES" w:eastAsia="es-ES"/>
        </w:rPr>
      </w:pPr>
    </w:p>
    <w:p w:rsidR="00A80938" w:rsidRDefault="00A80938">
      <w:pPr>
        <w:spacing w:after="0" w:line="360" w:lineRule="auto"/>
        <w:jc w:val="both"/>
        <w:rPr>
          <w:rFonts w:ascii="Arial" w:hAnsi="Arial" w:cs="Arial"/>
          <w:sz w:val="24"/>
          <w:szCs w:val="24"/>
          <w:lang w:val="es-ES" w:eastAsia="es-ES"/>
        </w:rPr>
      </w:pPr>
      <w:proofErr w:type="spellStart"/>
      <w:proofErr w:type="gramStart"/>
      <w:r>
        <w:rPr>
          <w:rFonts w:ascii="Arial" w:hAnsi="Arial" w:cs="Arial"/>
          <w:sz w:val="24"/>
          <w:szCs w:val="24"/>
          <w:lang w:val="es-ES" w:eastAsia="es-ES"/>
        </w:rPr>
        <w:t>cr</w:t>
      </w:r>
      <w:proofErr w:type="spellEnd"/>
      <w:proofErr w:type="gramEnd"/>
    </w:p>
    <w:sectPr w:rsidR="00A80938" w:rsidSect="00890C70">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06"/>
    <w:rsid w:val="005B5D55"/>
    <w:rsid w:val="00890C70"/>
    <w:rsid w:val="008F0506"/>
    <w:rsid w:val="00A8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CARPETA N°: 2016-17-1-0003645</vt:lpstr>
    </vt:vector>
  </TitlesOfParts>
  <Company>Tribunal de Cuentas</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2016-17-1-0003645</dc:title>
  <dc:creator>MARIA ALEJANDRA ALVAREZ LOPEZ</dc:creator>
  <cp:lastModifiedBy>Miriam Cristina Rivero</cp:lastModifiedBy>
  <cp:revision>2</cp:revision>
  <cp:lastPrinted>2016-10-14T16:56:00Z</cp:lastPrinted>
  <dcterms:created xsi:type="dcterms:W3CDTF">2016-10-14T16:57:00Z</dcterms:created>
  <dcterms:modified xsi:type="dcterms:W3CDTF">2016-10-14T16:57:00Z</dcterms:modified>
</cp:coreProperties>
</file>