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D5A" w:rsidRPr="00786EEB" w:rsidRDefault="004A1D5A" w:rsidP="004A1D5A">
      <w:pPr>
        <w:tabs>
          <w:tab w:val="center" w:pos="4253"/>
        </w:tabs>
        <w:suppressAutoHyphens/>
        <w:spacing w:after="0"/>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3514</w:t>
      </w:r>
      <w:r w:rsidRPr="00786EEB">
        <w:rPr>
          <w:rFonts w:ascii="Arial" w:hAnsi="Arial" w:cs="Arial"/>
          <w:b/>
          <w:sz w:val="28"/>
          <w:szCs w:val="28"/>
          <w:lang w:val="es-ES_tradnl"/>
        </w:rPr>
        <w:t>/16</w:t>
      </w:r>
    </w:p>
    <w:p w:rsidR="004A1D5A" w:rsidRDefault="004A1D5A" w:rsidP="004A1D5A">
      <w:pPr>
        <w:tabs>
          <w:tab w:val="center" w:pos="4253"/>
        </w:tabs>
        <w:suppressAutoHyphens/>
        <w:spacing w:after="0"/>
        <w:jc w:val="right"/>
        <w:rPr>
          <w:rFonts w:ascii="Arial" w:hAnsi="Arial" w:cs="Arial"/>
          <w:b/>
          <w:lang w:val="es-ES_tradnl"/>
        </w:rPr>
      </w:pPr>
    </w:p>
    <w:p w:rsidR="004A1D5A" w:rsidRPr="00762B34" w:rsidRDefault="004A1D5A" w:rsidP="004A1D5A">
      <w:pPr>
        <w:tabs>
          <w:tab w:val="center" w:pos="4253"/>
        </w:tabs>
        <w:suppressAutoHyphens/>
        <w:spacing w:after="0"/>
        <w:jc w:val="center"/>
        <w:rPr>
          <w:rFonts w:ascii="Arial" w:hAnsi="Arial" w:cs="Arial"/>
          <w:b/>
          <w:lang w:val="es-ES_tradnl"/>
        </w:rPr>
      </w:pPr>
      <w:r w:rsidRPr="00762B34">
        <w:rPr>
          <w:rFonts w:ascii="Arial" w:hAnsi="Arial" w:cs="Arial"/>
          <w:b/>
          <w:lang w:val="es-ES_tradnl"/>
        </w:rPr>
        <w:t>RESOLUCION ADOPTADA POR EL</w:t>
      </w:r>
    </w:p>
    <w:p w:rsidR="004A1D5A" w:rsidRPr="00762B34" w:rsidRDefault="004A1D5A" w:rsidP="004A1D5A">
      <w:pPr>
        <w:tabs>
          <w:tab w:val="left" w:pos="-720"/>
        </w:tabs>
        <w:suppressAutoHyphens/>
        <w:spacing w:after="0"/>
        <w:jc w:val="center"/>
        <w:rPr>
          <w:rFonts w:ascii="Arial" w:hAnsi="Arial" w:cs="Arial"/>
          <w:b/>
          <w:lang w:val="es-ES_tradnl"/>
        </w:rPr>
      </w:pPr>
    </w:p>
    <w:p w:rsidR="004A1D5A" w:rsidRPr="00762B34" w:rsidRDefault="004A1D5A" w:rsidP="004A1D5A">
      <w:pPr>
        <w:tabs>
          <w:tab w:val="center" w:pos="4253"/>
        </w:tabs>
        <w:suppressAutoHyphens/>
        <w:spacing w:after="0"/>
        <w:jc w:val="center"/>
        <w:rPr>
          <w:rFonts w:ascii="Arial" w:hAnsi="Arial" w:cs="Arial"/>
          <w:b/>
          <w:lang w:val="es-ES_tradnl"/>
        </w:rPr>
      </w:pPr>
      <w:r w:rsidRPr="00762B34">
        <w:rPr>
          <w:rFonts w:ascii="Arial" w:hAnsi="Arial" w:cs="Arial"/>
          <w:b/>
          <w:lang w:val="es-ES_tradnl"/>
        </w:rPr>
        <w:t>TRIBUNAL DE CUENTAS</w:t>
      </w:r>
    </w:p>
    <w:p w:rsidR="004A1D5A" w:rsidRPr="00762B34" w:rsidRDefault="004A1D5A" w:rsidP="004A1D5A">
      <w:pPr>
        <w:tabs>
          <w:tab w:val="left" w:pos="-720"/>
        </w:tabs>
        <w:suppressAutoHyphens/>
        <w:spacing w:after="0"/>
        <w:jc w:val="center"/>
        <w:rPr>
          <w:rFonts w:ascii="Arial" w:hAnsi="Arial" w:cs="Arial"/>
          <w:b/>
          <w:lang w:val="es-ES_tradnl"/>
        </w:rPr>
      </w:pPr>
    </w:p>
    <w:p w:rsidR="004A1D5A" w:rsidRPr="00762B34" w:rsidRDefault="004A1D5A" w:rsidP="004A1D5A">
      <w:pPr>
        <w:tabs>
          <w:tab w:val="center" w:pos="4253"/>
        </w:tabs>
        <w:suppressAutoHyphens/>
        <w:spacing w:after="0"/>
        <w:jc w:val="center"/>
        <w:rPr>
          <w:rFonts w:ascii="Arial" w:hAnsi="Arial" w:cs="Arial"/>
          <w:b/>
          <w:lang w:val="es-ES_tradnl"/>
        </w:rPr>
      </w:pPr>
      <w:r w:rsidRPr="00762B34">
        <w:rPr>
          <w:rFonts w:ascii="Arial" w:hAnsi="Arial" w:cs="Arial"/>
          <w:b/>
          <w:lang w:val="es-ES_tradnl"/>
        </w:rPr>
        <w:t xml:space="preserve">EN SESION DE FECHA </w:t>
      </w:r>
      <w:r>
        <w:rPr>
          <w:rFonts w:ascii="Helvetica" w:hAnsi="Helvetica"/>
          <w:b/>
          <w:lang w:val="es-ES_tradnl"/>
        </w:rPr>
        <w:t>28 DE SETIEMBRE DE 2016</w:t>
      </w:r>
    </w:p>
    <w:p w:rsidR="004A1D5A" w:rsidRPr="00762B34" w:rsidRDefault="004A1D5A" w:rsidP="004A1D5A">
      <w:pPr>
        <w:tabs>
          <w:tab w:val="center" w:pos="4253"/>
        </w:tabs>
        <w:suppressAutoHyphens/>
        <w:spacing w:after="0"/>
        <w:jc w:val="center"/>
        <w:rPr>
          <w:rFonts w:ascii="Arial" w:hAnsi="Arial" w:cs="Arial"/>
          <w:b/>
          <w:lang w:val="es-ES_tradnl"/>
        </w:rPr>
      </w:pPr>
    </w:p>
    <w:p w:rsidR="004A1D5A" w:rsidRPr="003E0DC5" w:rsidRDefault="004A1D5A" w:rsidP="004A1D5A">
      <w:pPr>
        <w:tabs>
          <w:tab w:val="center" w:pos="4253"/>
        </w:tabs>
        <w:suppressAutoHyphens/>
        <w:spacing w:after="0"/>
        <w:jc w:val="center"/>
        <w:rPr>
          <w:rFonts w:ascii="Arial" w:hAnsi="Arial" w:cs="Arial"/>
          <w:b/>
        </w:rPr>
      </w:pPr>
      <w:r w:rsidRPr="003E0DC5">
        <w:rPr>
          <w:rFonts w:ascii="Arial" w:hAnsi="Arial" w:cs="Arial"/>
          <w:b/>
        </w:rPr>
        <w:t xml:space="preserve">(E. E. Nº </w:t>
      </w:r>
      <w:r w:rsidRPr="004E017A">
        <w:rPr>
          <w:rFonts w:ascii="Arial" w:hAnsi="Arial" w:cs="Arial"/>
          <w:b/>
          <w:sz w:val="24"/>
          <w:szCs w:val="24"/>
          <w:lang w:val="es-ES"/>
        </w:rPr>
        <w:t>2016-17-1-0004080</w:t>
      </w:r>
      <w:r w:rsidRPr="003E0DC5">
        <w:rPr>
          <w:rFonts w:ascii="Arial" w:hAnsi="Arial" w:cs="Arial"/>
          <w:b/>
        </w:rPr>
        <w:t xml:space="preserve">, </w:t>
      </w:r>
      <w:proofErr w:type="spellStart"/>
      <w:r w:rsidRPr="003E0DC5">
        <w:rPr>
          <w:rFonts w:ascii="Arial" w:hAnsi="Arial" w:cs="Arial"/>
          <w:b/>
        </w:rPr>
        <w:t>Ent</w:t>
      </w:r>
      <w:proofErr w:type="spellEnd"/>
      <w:r w:rsidRPr="003E0DC5">
        <w:rPr>
          <w:rFonts w:ascii="Arial" w:hAnsi="Arial" w:cs="Arial"/>
          <w:b/>
        </w:rPr>
        <w:t xml:space="preserve">. N° </w:t>
      </w:r>
      <w:r w:rsidRPr="004E017A">
        <w:rPr>
          <w:rFonts w:ascii="Arial" w:hAnsi="Arial" w:cs="Arial"/>
          <w:b/>
          <w:sz w:val="24"/>
          <w:szCs w:val="24"/>
          <w:lang w:val="es-ES"/>
        </w:rPr>
        <w:t>3114</w:t>
      </w:r>
      <w:r>
        <w:rPr>
          <w:rFonts w:ascii="Arial" w:hAnsi="Arial" w:cs="Arial"/>
          <w:b/>
          <w:sz w:val="24"/>
          <w:szCs w:val="24"/>
          <w:lang w:val="es-ES"/>
        </w:rPr>
        <w:t>/16</w:t>
      </w:r>
      <w:r w:rsidRPr="003E0DC5">
        <w:rPr>
          <w:rFonts w:ascii="Arial" w:hAnsi="Arial" w:cs="Arial"/>
          <w:b/>
        </w:rPr>
        <w:t>)</w:t>
      </w:r>
    </w:p>
    <w:p w:rsidR="004E017A" w:rsidRDefault="004E017A" w:rsidP="004E017A">
      <w:pPr>
        <w:spacing w:after="0" w:line="360" w:lineRule="auto"/>
        <w:jc w:val="right"/>
        <w:rPr>
          <w:rFonts w:ascii="Arial" w:hAnsi="Arial" w:cs="Arial"/>
          <w:sz w:val="24"/>
          <w:szCs w:val="24"/>
          <w:lang w:val="es-ES"/>
        </w:rPr>
      </w:pPr>
    </w:p>
    <w:p w:rsidR="0052632E" w:rsidRDefault="004E017A" w:rsidP="004A1D5A">
      <w:pPr>
        <w:spacing w:after="0" w:line="360" w:lineRule="auto"/>
        <w:ind w:firstLine="851"/>
        <w:jc w:val="both"/>
        <w:rPr>
          <w:rFonts w:ascii="Arial" w:hAnsi="Arial" w:cs="Arial"/>
          <w:sz w:val="24"/>
          <w:szCs w:val="24"/>
          <w:lang w:val="es-ES"/>
        </w:rPr>
      </w:pPr>
      <w:r w:rsidRPr="004E017A">
        <w:rPr>
          <w:rFonts w:ascii="Arial" w:hAnsi="Arial" w:cs="Arial"/>
          <w:b/>
          <w:sz w:val="24"/>
          <w:szCs w:val="24"/>
          <w:lang w:val="es-ES"/>
        </w:rPr>
        <w:t xml:space="preserve">VISTO: </w:t>
      </w:r>
      <w:r w:rsidRPr="004E017A">
        <w:rPr>
          <w:rFonts w:ascii="Arial" w:hAnsi="Arial" w:cs="Arial"/>
          <w:sz w:val="24"/>
          <w:szCs w:val="24"/>
          <w:lang w:val="es-ES"/>
        </w:rPr>
        <w:t>la Rendición de Cuentas y Balance de Ejecución Presupuestal de la Junta Departamental de Paysandú correspondiente al Ejercicio 2015;</w:t>
      </w:r>
    </w:p>
    <w:p w:rsidR="0052632E" w:rsidRDefault="004E017A" w:rsidP="004A1D5A">
      <w:pPr>
        <w:spacing w:after="0" w:line="360" w:lineRule="auto"/>
        <w:ind w:firstLine="851"/>
        <w:jc w:val="both"/>
        <w:rPr>
          <w:rFonts w:ascii="Arial" w:hAnsi="Arial" w:cs="Arial"/>
          <w:sz w:val="24"/>
          <w:szCs w:val="24"/>
          <w:lang w:val="es-ES"/>
        </w:rPr>
      </w:pPr>
      <w:r w:rsidRPr="004E017A">
        <w:rPr>
          <w:rFonts w:ascii="Arial" w:hAnsi="Arial" w:cs="Arial"/>
          <w:b/>
          <w:sz w:val="24"/>
          <w:szCs w:val="24"/>
          <w:lang w:val="es-ES"/>
        </w:rPr>
        <w:t>RESULTANDO:</w:t>
      </w:r>
      <w:r>
        <w:rPr>
          <w:rFonts w:ascii="Arial" w:hAnsi="Arial" w:cs="Arial"/>
          <w:sz w:val="24"/>
          <w:szCs w:val="24"/>
          <w:lang w:val="es-ES"/>
        </w:rPr>
        <w:t xml:space="preserve"> que el examen se efectuó de acuerdo con los</w:t>
      </w:r>
      <w:r w:rsidR="00C9376F">
        <w:rPr>
          <w:rFonts w:ascii="Arial" w:hAnsi="Arial" w:cs="Arial"/>
          <w:sz w:val="24"/>
          <w:szCs w:val="24"/>
          <w:lang w:val="es-ES"/>
        </w:rPr>
        <w:t xml:space="preserve">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r w:rsidR="0033211D">
        <w:rPr>
          <w:rFonts w:ascii="Arial" w:hAnsi="Arial" w:cs="Arial"/>
          <w:sz w:val="24"/>
          <w:szCs w:val="24"/>
          <w:lang w:val="es-ES"/>
        </w:rPr>
        <w:t>;</w:t>
      </w:r>
    </w:p>
    <w:p w:rsidR="0052632E" w:rsidRDefault="0033211D" w:rsidP="004A1D5A">
      <w:pPr>
        <w:spacing w:after="0" w:line="360" w:lineRule="auto"/>
        <w:ind w:firstLine="851"/>
        <w:jc w:val="both"/>
        <w:rPr>
          <w:rFonts w:ascii="Arial" w:hAnsi="Arial" w:cs="Arial"/>
          <w:sz w:val="24"/>
          <w:szCs w:val="24"/>
          <w:lang w:val="es-ES"/>
        </w:rPr>
      </w:pPr>
      <w:r w:rsidRPr="0033211D">
        <w:rPr>
          <w:rFonts w:ascii="Arial" w:hAnsi="Arial" w:cs="Arial"/>
          <w:b/>
          <w:sz w:val="24"/>
          <w:szCs w:val="24"/>
          <w:lang w:val="es-ES"/>
        </w:rPr>
        <w:t>CONSIDERANDO:</w:t>
      </w:r>
      <w:r>
        <w:rPr>
          <w:rFonts w:ascii="Arial" w:hAnsi="Arial" w:cs="Arial"/>
          <w:sz w:val="24"/>
          <w:szCs w:val="24"/>
          <w:lang w:val="es-ES"/>
        </w:rPr>
        <w:t xml:space="preserve"> que las conclusiones y evidencias obtenidas son</w:t>
      </w:r>
      <w:r w:rsidR="0052632E">
        <w:rPr>
          <w:rFonts w:ascii="Arial" w:hAnsi="Arial" w:cs="Arial"/>
          <w:sz w:val="24"/>
          <w:szCs w:val="24"/>
          <w:lang w:val="es-ES"/>
        </w:rPr>
        <w:t xml:space="preserve"> </w:t>
      </w:r>
      <w:r>
        <w:rPr>
          <w:rFonts w:ascii="Arial" w:hAnsi="Arial" w:cs="Arial"/>
          <w:sz w:val="24"/>
          <w:szCs w:val="24"/>
          <w:lang w:val="es-ES"/>
        </w:rPr>
        <w:t>las que se expresan en el Informe de Auditoría, que incluye Dictamen e Informe a la Administración;</w:t>
      </w:r>
    </w:p>
    <w:p w:rsidR="0033211D" w:rsidRDefault="0033211D" w:rsidP="004A1D5A">
      <w:pPr>
        <w:spacing w:after="0" w:line="360" w:lineRule="auto"/>
        <w:ind w:firstLine="851"/>
        <w:jc w:val="both"/>
        <w:rPr>
          <w:rFonts w:ascii="Arial" w:hAnsi="Arial" w:cs="Arial"/>
          <w:sz w:val="24"/>
          <w:szCs w:val="24"/>
          <w:lang w:val="es-ES"/>
        </w:rPr>
      </w:pPr>
      <w:r w:rsidRPr="0033211D">
        <w:rPr>
          <w:rFonts w:ascii="Arial" w:hAnsi="Arial" w:cs="Arial"/>
          <w:b/>
          <w:sz w:val="24"/>
          <w:szCs w:val="24"/>
          <w:lang w:val="es-ES"/>
        </w:rPr>
        <w:t>ATENTO:</w:t>
      </w:r>
      <w:r>
        <w:rPr>
          <w:rFonts w:ascii="Arial" w:hAnsi="Arial" w:cs="Arial"/>
          <w:sz w:val="24"/>
          <w:szCs w:val="24"/>
          <w:lang w:val="es-ES"/>
        </w:rPr>
        <w:t xml:space="preserve"> a lo dispuesto por el Artículo 211 Literal C) de la Constitución de la República;</w:t>
      </w:r>
    </w:p>
    <w:p w:rsidR="00CA53DF" w:rsidRDefault="00CA53DF" w:rsidP="00CA53DF">
      <w:pPr>
        <w:spacing w:after="0" w:line="360" w:lineRule="auto"/>
        <w:jc w:val="center"/>
        <w:rPr>
          <w:rFonts w:ascii="Arial" w:hAnsi="Arial" w:cs="Arial"/>
          <w:b/>
          <w:sz w:val="24"/>
          <w:szCs w:val="24"/>
          <w:lang w:val="es-ES"/>
        </w:rPr>
      </w:pPr>
      <w:r w:rsidRPr="00CA53DF">
        <w:rPr>
          <w:rFonts w:ascii="Arial" w:hAnsi="Arial" w:cs="Arial"/>
          <w:b/>
          <w:sz w:val="24"/>
          <w:szCs w:val="24"/>
          <w:lang w:val="es-ES"/>
        </w:rPr>
        <w:t>EL TRIBUNAL ACUERDA</w:t>
      </w:r>
    </w:p>
    <w:p w:rsidR="00CA53DF" w:rsidRDefault="00CA53DF" w:rsidP="00CA53DF">
      <w:pPr>
        <w:pStyle w:val="Prrafodelista"/>
        <w:numPr>
          <w:ilvl w:val="0"/>
          <w:numId w:val="2"/>
        </w:numPr>
        <w:spacing w:after="0" w:line="360" w:lineRule="auto"/>
        <w:jc w:val="both"/>
        <w:rPr>
          <w:rFonts w:ascii="Arial" w:hAnsi="Arial" w:cs="Arial"/>
          <w:sz w:val="24"/>
          <w:szCs w:val="24"/>
          <w:lang w:val="es-ES"/>
        </w:rPr>
      </w:pPr>
      <w:r w:rsidRPr="00CA53DF">
        <w:rPr>
          <w:rFonts w:ascii="Arial" w:hAnsi="Arial" w:cs="Arial"/>
          <w:sz w:val="24"/>
          <w:szCs w:val="24"/>
          <w:lang w:val="es-ES"/>
        </w:rPr>
        <w:t>Expedirse en los términos del Info</w:t>
      </w:r>
      <w:r w:rsidR="00393A46">
        <w:rPr>
          <w:rFonts w:ascii="Arial" w:hAnsi="Arial" w:cs="Arial"/>
          <w:sz w:val="24"/>
          <w:szCs w:val="24"/>
          <w:lang w:val="es-ES"/>
        </w:rPr>
        <w:t>rme de Auditoría que se adjunta;</w:t>
      </w:r>
    </w:p>
    <w:p w:rsidR="00CA53DF" w:rsidRDefault="00CA53DF" w:rsidP="00CA53DF">
      <w:pPr>
        <w:pStyle w:val="Prrafodelista"/>
        <w:numPr>
          <w:ilvl w:val="0"/>
          <w:numId w:val="2"/>
        </w:numPr>
        <w:spacing w:after="0" w:line="360" w:lineRule="auto"/>
        <w:jc w:val="both"/>
        <w:rPr>
          <w:rFonts w:ascii="Arial" w:hAnsi="Arial" w:cs="Arial"/>
          <w:sz w:val="24"/>
          <w:szCs w:val="24"/>
          <w:lang w:val="es-ES"/>
        </w:rPr>
      </w:pPr>
      <w:r>
        <w:rPr>
          <w:rFonts w:ascii="Arial" w:hAnsi="Arial" w:cs="Arial"/>
          <w:sz w:val="24"/>
          <w:szCs w:val="24"/>
          <w:lang w:val="es-ES"/>
        </w:rPr>
        <w:t>Comunicar la presente Resolución a la Junta Departamental</w:t>
      </w:r>
      <w:r w:rsidR="00393A46">
        <w:rPr>
          <w:rFonts w:ascii="Arial" w:hAnsi="Arial" w:cs="Arial"/>
          <w:sz w:val="24"/>
          <w:szCs w:val="24"/>
          <w:lang w:val="es-ES"/>
        </w:rPr>
        <w:t xml:space="preserve"> y a la Intendencia de Paysandú;</w:t>
      </w:r>
    </w:p>
    <w:p w:rsidR="00CA53DF" w:rsidRDefault="00CA53DF" w:rsidP="00CA53DF">
      <w:pPr>
        <w:pStyle w:val="Prrafodelista"/>
        <w:numPr>
          <w:ilvl w:val="0"/>
          <w:numId w:val="2"/>
        </w:numPr>
        <w:spacing w:after="0" w:line="360" w:lineRule="auto"/>
        <w:jc w:val="both"/>
        <w:rPr>
          <w:rFonts w:ascii="Arial" w:hAnsi="Arial" w:cs="Arial"/>
          <w:sz w:val="24"/>
          <w:szCs w:val="24"/>
          <w:lang w:val="es-ES"/>
        </w:rPr>
      </w:pPr>
      <w:r>
        <w:rPr>
          <w:rFonts w:ascii="Arial" w:hAnsi="Arial" w:cs="Arial"/>
          <w:sz w:val="24"/>
          <w:szCs w:val="24"/>
          <w:lang w:val="es-ES"/>
        </w:rPr>
        <w:t>D</w:t>
      </w:r>
      <w:r w:rsidR="00393A46">
        <w:rPr>
          <w:rFonts w:ascii="Arial" w:hAnsi="Arial" w:cs="Arial"/>
          <w:sz w:val="24"/>
          <w:szCs w:val="24"/>
          <w:lang w:val="es-ES"/>
        </w:rPr>
        <w:t>ar cuenta a la Asamblea General;</w:t>
      </w:r>
    </w:p>
    <w:p w:rsidR="00CA53DF" w:rsidRDefault="00CA53DF" w:rsidP="00CA53DF">
      <w:pPr>
        <w:pStyle w:val="Prrafodelista"/>
        <w:numPr>
          <w:ilvl w:val="0"/>
          <w:numId w:val="2"/>
        </w:numPr>
        <w:spacing w:after="0" w:line="360" w:lineRule="auto"/>
        <w:jc w:val="both"/>
        <w:rPr>
          <w:rFonts w:ascii="Arial" w:hAnsi="Arial" w:cs="Arial"/>
          <w:sz w:val="24"/>
          <w:szCs w:val="24"/>
          <w:lang w:val="es-ES"/>
        </w:rPr>
      </w:pPr>
      <w:r>
        <w:rPr>
          <w:rFonts w:ascii="Arial" w:hAnsi="Arial" w:cs="Arial"/>
          <w:sz w:val="24"/>
          <w:szCs w:val="24"/>
          <w:lang w:val="es-ES"/>
        </w:rPr>
        <w:t>Devuélvase.</w:t>
      </w:r>
    </w:p>
    <w:p w:rsidR="00CA53DF" w:rsidRDefault="00CA53DF" w:rsidP="00CA53DF">
      <w:pPr>
        <w:spacing w:after="0" w:line="360" w:lineRule="auto"/>
        <w:jc w:val="both"/>
        <w:rPr>
          <w:rFonts w:ascii="Arial" w:hAnsi="Arial" w:cs="Arial"/>
          <w:sz w:val="24"/>
          <w:szCs w:val="24"/>
          <w:lang w:val="es-ES"/>
        </w:rPr>
      </w:pPr>
    </w:p>
    <w:p w:rsidR="004E017A" w:rsidRPr="00545A9C" w:rsidRDefault="00545A9C">
      <w:pPr>
        <w:spacing w:after="0" w:line="360" w:lineRule="auto"/>
        <w:rPr>
          <w:rFonts w:ascii="Arial" w:hAnsi="Arial" w:cs="Arial"/>
          <w:sz w:val="20"/>
          <w:szCs w:val="20"/>
          <w:lang w:val="es-ES"/>
        </w:rPr>
      </w:pPr>
      <w:r w:rsidRPr="00545A9C">
        <w:rPr>
          <w:rFonts w:ascii="Arial" w:hAnsi="Arial" w:cs="Arial"/>
          <w:sz w:val="20"/>
          <w:szCs w:val="20"/>
          <w:lang w:val="es-ES"/>
        </w:rPr>
        <w:t>CLC</w:t>
      </w:r>
    </w:p>
    <w:p w:rsidR="00CA53DF" w:rsidRDefault="00CA53DF">
      <w:pPr>
        <w:spacing w:after="0" w:line="360" w:lineRule="auto"/>
        <w:rPr>
          <w:rFonts w:ascii="Arial" w:hAnsi="Arial" w:cs="Arial"/>
          <w:b/>
          <w:sz w:val="24"/>
          <w:szCs w:val="24"/>
          <w:lang w:val="es-ES"/>
        </w:rPr>
      </w:pPr>
    </w:p>
    <w:p w:rsidR="00393A46" w:rsidRDefault="00393A46">
      <w:pPr>
        <w:spacing w:after="0" w:line="360" w:lineRule="auto"/>
        <w:rPr>
          <w:rFonts w:ascii="Arial" w:hAnsi="Arial" w:cs="Arial"/>
          <w:b/>
          <w:sz w:val="24"/>
          <w:szCs w:val="24"/>
          <w:lang w:val="es-ES"/>
        </w:rPr>
      </w:pPr>
    </w:p>
    <w:p w:rsidR="003E0DC5" w:rsidRDefault="003E0DC5" w:rsidP="00393A46">
      <w:pPr>
        <w:pStyle w:val="Ttulo1"/>
        <w:jc w:val="center"/>
      </w:pPr>
      <w:bookmarkStart w:id="1" w:name="_Toc49942669"/>
      <w:bookmarkStart w:id="2" w:name="_Toc76452411"/>
      <w:bookmarkStart w:id="3" w:name="_Toc87798611"/>
      <w:bookmarkStart w:id="4" w:name="_Toc87798779"/>
      <w:bookmarkStart w:id="5" w:name="_Toc87798933"/>
      <w:bookmarkStart w:id="6" w:name="_Toc87959955"/>
      <w:bookmarkStart w:id="7" w:name="_Toc301344323"/>
      <w:bookmarkStart w:id="8" w:name="_Toc301344451"/>
      <w:bookmarkStart w:id="9" w:name="_Toc301344556"/>
      <w:bookmarkStart w:id="10" w:name="_Toc425930993"/>
      <w:r>
        <w:lastRenderedPageBreak/>
        <w:t>DICTA</w:t>
      </w:r>
      <w:bookmarkEnd w:id="1"/>
      <w:bookmarkEnd w:id="2"/>
      <w:bookmarkEnd w:id="3"/>
      <w:r>
        <w:t>men</w:t>
      </w:r>
      <w:bookmarkEnd w:id="4"/>
      <w:bookmarkEnd w:id="5"/>
      <w:bookmarkEnd w:id="6"/>
      <w:bookmarkEnd w:id="7"/>
      <w:bookmarkEnd w:id="8"/>
      <w:bookmarkEnd w:id="9"/>
      <w:bookmarkEnd w:id="10"/>
    </w:p>
    <w:p w:rsidR="003E0DC5" w:rsidRDefault="003E0DC5" w:rsidP="00393A46">
      <w:pPr>
        <w:pStyle w:val="Subttulo"/>
        <w:rPr>
          <w:rFonts w:ascii="Arial" w:hAnsi="Arial"/>
          <w:b w:val="0"/>
        </w:rPr>
      </w:pPr>
      <w:r>
        <w:rPr>
          <w:rFonts w:ascii="Arial" w:hAnsi="Arial"/>
          <w:b w:val="0"/>
        </w:rPr>
        <w:t>El Tribunal de Cuentas ha examinado la Rendición de Cuentas y el Balance de Ejecución Presupuestal de la Junta Departamental de Paysandú correspondiente al Ejercicio 2015, que incluye los siguientes estados: de ejecución presupuestal con relación a los créditos, de evolución de las obligaciones presupuestales impagas, de fondos indisponibles y otros estados complementarios.</w:t>
      </w:r>
    </w:p>
    <w:p w:rsidR="003E0DC5" w:rsidRDefault="003E0DC5" w:rsidP="00393A46">
      <w:pPr>
        <w:pStyle w:val="Subttulo"/>
        <w:rPr>
          <w:rFonts w:ascii="Arial" w:hAnsi="Arial"/>
          <w:b w:val="0"/>
        </w:rPr>
      </w:pPr>
      <w:r>
        <w:rPr>
          <w:rFonts w:ascii="Arial" w:hAnsi="Arial"/>
          <w:b w:val="0"/>
        </w:rPr>
        <w:t>También se presentan, en caso de corresponder, los incumplimientos legales constatados en el curso de la auditoría efectuada.</w:t>
      </w:r>
    </w:p>
    <w:p w:rsidR="003E0DC5" w:rsidRDefault="003E0DC5" w:rsidP="00393A46">
      <w:pPr>
        <w:pStyle w:val="Subttulo"/>
        <w:rPr>
          <w:rFonts w:ascii="Arial" w:hAnsi="Arial"/>
          <w:b w:val="0"/>
        </w:rPr>
      </w:pPr>
    </w:p>
    <w:p w:rsidR="003E0DC5" w:rsidRDefault="003E0DC5" w:rsidP="00393A46">
      <w:pPr>
        <w:pStyle w:val="Subttulo"/>
        <w:rPr>
          <w:rFonts w:ascii="Arial" w:hAnsi="Arial"/>
          <w:bCs/>
        </w:rPr>
      </w:pPr>
      <w:r>
        <w:rPr>
          <w:rFonts w:ascii="Arial" w:hAnsi="Arial"/>
          <w:bCs/>
        </w:rPr>
        <w:t>Responsabilidad de la Junta Departamental</w:t>
      </w:r>
    </w:p>
    <w:p w:rsidR="003E0DC5" w:rsidRDefault="003E0DC5" w:rsidP="00393A46">
      <w:pPr>
        <w:pStyle w:val="Subttulo"/>
        <w:rPr>
          <w:rFonts w:ascii="Arial" w:hAnsi="Arial"/>
          <w:b w:val="0"/>
        </w:rPr>
      </w:pPr>
      <w:r>
        <w:rPr>
          <w:rFonts w:ascii="Arial" w:hAnsi="Arial"/>
          <w:b w:val="0"/>
        </w:rPr>
        <w:t>La Junta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3E0DC5" w:rsidRDefault="003E0DC5" w:rsidP="00393A46">
      <w:pPr>
        <w:pStyle w:val="Subttulo"/>
        <w:rPr>
          <w:rFonts w:ascii="Arial" w:hAnsi="Arial"/>
          <w:b w:val="0"/>
        </w:rPr>
      </w:pPr>
    </w:p>
    <w:p w:rsidR="003E0DC5" w:rsidRDefault="003E0DC5" w:rsidP="00393A46">
      <w:pPr>
        <w:pStyle w:val="Subttulo"/>
        <w:rPr>
          <w:rFonts w:ascii="Arial" w:hAnsi="Arial"/>
          <w:bCs/>
        </w:rPr>
      </w:pPr>
      <w:r>
        <w:rPr>
          <w:rFonts w:ascii="Arial" w:hAnsi="Arial"/>
          <w:bCs/>
        </w:rPr>
        <w:t>Responsabilidad del Auditor</w:t>
      </w:r>
    </w:p>
    <w:p w:rsidR="003E0DC5" w:rsidRPr="00393A46" w:rsidRDefault="003E0DC5" w:rsidP="00393A46">
      <w:pPr>
        <w:spacing w:line="360" w:lineRule="auto"/>
        <w:jc w:val="both"/>
        <w:rPr>
          <w:rFonts w:ascii="Arial" w:hAnsi="Arial" w:cs="Arial"/>
          <w:b/>
          <w:sz w:val="24"/>
          <w:szCs w:val="24"/>
          <w:lang w:val="es-ES"/>
        </w:rPr>
      </w:pPr>
      <w:r w:rsidRPr="00393A46">
        <w:rPr>
          <w:rFonts w:ascii="Arial" w:hAnsi="Arial" w:cs="Arial"/>
          <w:sz w:val="24"/>
          <w:szCs w:val="24"/>
          <w:lang w:val="es-ES"/>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3E0DC5" w:rsidRPr="00393A46" w:rsidRDefault="003E0DC5" w:rsidP="00393A46">
      <w:pPr>
        <w:spacing w:line="360" w:lineRule="auto"/>
        <w:jc w:val="both"/>
        <w:rPr>
          <w:rFonts w:ascii="Arial" w:hAnsi="Arial" w:cs="Arial"/>
          <w:b/>
          <w:sz w:val="24"/>
          <w:szCs w:val="24"/>
          <w:lang w:val="es-ES"/>
        </w:rPr>
      </w:pPr>
      <w:r w:rsidRPr="00393A46">
        <w:rPr>
          <w:rFonts w:ascii="Arial" w:hAnsi="Arial" w:cs="Arial"/>
          <w:sz w:val="24"/>
          <w:szCs w:val="24"/>
          <w:lang w:val="es-ES"/>
        </w:rPr>
        <w:lastRenderedPageBreak/>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3E0DC5" w:rsidRDefault="003E0DC5" w:rsidP="00393A46">
      <w:pPr>
        <w:pStyle w:val="Subttulo"/>
        <w:rPr>
          <w:rFonts w:ascii="Arial" w:hAnsi="Arial"/>
          <w:b w:val="0"/>
        </w:rPr>
      </w:pPr>
      <w:r>
        <w:rPr>
          <w:rFonts w:ascii="Arial" w:hAnsi="Arial"/>
          <w:b w:val="0"/>
          <w:kern w:val="0"/>
          <w:szCs w:val="24"/>
        </w:rPr>
        <w:t>Se considera que la evidencia de auditoría obtenida brinda una base suficiente y apropiada para sustentar la opinión.</w:t>
      </w:r>
    </w:p>
    <w:p w:rsidR="003E0DC5" w:rsidRDefault="003E0DC5" w:rsidP="00393A46">
      <w:pPr>
        <w:rPr>
          <w:highlight w:val="yellow"/>
        </w:rPr>
      </w:pPr>
    </w:p>
    <w:p w:rsidR="003E0DC5" w:rsidRDefault="003E0DC5" w:rsidP="00393A46">
      <w:pPr>
        <w:pStyle w:val="Textoindependiente"/>
        <w:spacing w:line="360" w:lineRule="auto"/>
        <w:rPr>
          <w:b/>
          <w:bCs/>
        </w:rPr>
      </w:pPr>
      <w:r>
        <w:rPr>
          <w:b/>
          <w:bCs/>
        </w:rPr>
        <w:t>Opinión</w:t>
      </w:r>
    </w:p>
    <w:p w:rsidR="003E0DC5" w:rsidRPr="00393A46" w:rsidRDefault="003E0DC5" w:rsidP="00393A46">
      <w:pPr>
        <w:spacing w:line="360" w:lineRule="auto"/>
        <w:jc w:val="both"/>
        <w:rPr>
          <w:rFonts w:ascii="Arial" w:hAnsi="Arial" w:cs="Arial"/>
          <w:sz w:val="24"/>
          <w:szCs w:val="24"/>
        </w:rPr>
      </w:pPr>
      <w:r w:rsidRPr="00393A46">
        <w:rPr>
          <w:rFonts w:ascii="Arial" w:hAnsi="Arial" w:cs="Arial"/>
          <w:sz w:val="24"/>
          <w:szCs w:val="24"/>
        </w:rPr>
        <w:t>En opinión del Tribunal de Cuentas, los estados mencionados presentan razonablemente, en todos sus aspectos importantes, la ejecución presupuestal del Ejercicio 2015, la evolución de las obligaciones presupuestales impagas y de los fondos indisponibles de acuerdo con las normas establecidas en el TOCAF y la Resolución de este Tribunal de fecha 28/01/04.</w:t>
      </w:r>
    </w:p>
    <w:p w:rsidR="003E0DC5" w:rsidRPr="00393A46" w:rsidRDefault="003E0DC5" w:rsidP="00393A46">
      <w:pPr>
        <w:spacing w:line="360" w:lineRule="auto"/>
        <w:jc w:val="both"/>
        <w:rPr>
          <w:rFonts w:ascii="Arial" w:hAnsi="Arial" w:cs="Arial"/>
          <w:sz w:val="24"/>
          <w:szCs w:val="24"/>
        </w:rPr>
      </w:pPr>
      <w:r w:rsidRPr="00393A46">
        <w:rPr>
          <w:rFonts w:ascii="Arial" w:hAnsi="Arial" w:cs="Arial"/>
          <w:sz w:val="24"/>
          <w:szCs w:val="24"/>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3E0DC5" w:rsidRDefault="003E0DC5" w:rsidP="00393A46">
      <w:pPr>
        <w:pStyle w:val="Textoindependiente"/>
        <w:widowControl w:val="0"/>
        <w:spacing w:after="0" w:line="360" w:lineRule="auto"/>
        <w:rPr>
          <w:rFonts w:cs="Arial"/>
          <w:bCs/>
        </w:rPr>
      </w:pPr>
      <w:r>
        <w:rPr>
          <w:b/>
        </w:rPr>
        <w:t>Artículo 89 del TOCAF:</w:t>
      </w:r>
      <w:r>
        <w:t xml:space="preserve"> No se ha establecido una reglamentación para el funcionamiento del Fondo Permanente.</w:t>
      </w:r>
    </w:p>
    <w:p w:rsidR="003E0DC5" w:rsidRDefault="003E0DC5" w:rsidP="00393A46">
      <w:pPr>
        <w:pStyle w:val="Textoindependiente"/>
        <w:widowControl w:val="0"/>
        <w:spacing w:after="0" w:line="360" w:lineRule="auto"/>
        <w:rPr>
          <w:rFonts w:cs="Arial"/>
          <w:b/>
          <w:bCs/>
        </w:rPr>
      </w:pPr>
    </w:p>
    <w:p w:rsidR="003E0DC5" w:rsidRDefault="003E0DC5" w:rsidP="00393A46">
      <w:pPr>
        <w:pStyle w:val="Textoindependiente"/>
        <w:widowControl w:val="0"/>
        <w:spacing w:after="0" w:line="360" w:lineRule="auto"/>
        <w:rPr>
          <w:rFonts w:cs="Arial"/>
        </w:rPr>
      </w:pPr>
      <w:r>
        <w:rPr>
          <w:rFonts w:cs="Arial"/>
          <w:b/>
          <w:bCs/>
        </w:rPr>
        <w:t xml:space="preserve">Resolución del Tribunal de Cuentas de 22/12/2010: </w:t>
      </w:r>
      <w:r>
        <w:rPr>
          <w:rFonts w:cs="Arial"/>
        </w:rPr>
        <w:t>El reglamento de partidas para gastos de traslado, alimentación y alojamiento de la Junta Departamental no se ajusta a lo preceptuado en la Resolución del Tribunal de fecha 22/12/2010.</w:t>
      </w:r>
    </w:p>
    <w:p w:rsidR="003E0DC5" w:rsidRPr="00393A46" w:rsidRDefault="003E0DC5" w:rsidP="00393A46">
      <w:pPr>
        <w:jc w:val="right"/>
        <w:rPr>
          <w:rFonts w:ascii="Arial" w:hAnsi="Arial" w:cs="Arial"/>
          <w:sz w:val="24"/>
          <w:szCs w:val="24"/>
        </w:rPr>
      </w:pPr>
      <w:bookmarkStart w:id="11" w:name="_Toc37740557"/>
      <w:bookmarkStart w:id="12" w:name="_Toc37740809"/>
      <w:r w:rsidRPr="00393A46">
        <w:rPr>
          <w:rFonts w:ascii="Arial" w:hAnsi="Arial" w:cs="Arial"/>
          <w:sz w:val="24"/>
          <w:szCs w:val="24"/>
        </w:rPr>
        <w:t>Montevideo, 14 de setiembre de 2016</w:t>
      </w:r>
    </w:p>
    <w:p w:rsidR="003E0DC5" w:rsidRDefault="003E0DC5" w:rsidP="00393A46">
      <w:pPr>
        <w:jc w:val="right"/>
        <w:rPr>
          <w:lang w:val="es-ES"/>
        </w:rPr>
      </w:pPr>
    </w:p>
    <w:p w:rsidR="00FE3A9A" w:rsidRDefault="00FE3A9A" w:rsidP="00393A46">
      <w:pPr>
        <w:jc w:val="right"/>
        <w:rPr>
          <w:lang w:val="es-ES"/>
        </w:rPr>
      </w:pPr>
    </w:p>
    <w:p w:rsidR="00FE3A9A" w:rsidRDefault="00FE3A9A" w:rsidP="00393A46">
      <w:pPr>
        <w:jc w:val="right"/>
        <w:rPr>
          <w:lang w:val="es-ES"/>
        </w:rPr>
      </w:pPr>
    </w:p>
    <w:p w:rsidR="003E0DC5" w:rsidRDefault="003E0DC5" w:rsidP="00393A46">
      <w:pPr>
        <w:rPr>
          <w:lang w:val="es-ES"/>
        </w:rPr>
      </w:pPr>
    </w:p>
    <w:p w:rsidR="00FE3A9A" w:rsidRDefault="00FE3A9A" w:rsidP="00393A46">
      <w:pPr>
        <w:rPr>
          <w:lang w:val="es-ES"/>
        </w:rPr>
      </w:pPr>
    </w:p>
    <w:p w:rsidR="003E0DC5" w:rsidRPr="00332EE5" w:rsidRDefault="003E0DC5" w:rsidP="00393A46">
      <w:pPr>
        <w:pStyle w:val="Ttulo1"/>
        <w:spacing w:after="0"/>
        <w:jc w:val="center"/>
      </w:pPr>
      <w:bookmarkStart w:id="13" w:name="_Toc49942673"/>
      <w:bookmarkStart w:id="14" w:name="_Toc425930995"/>
      <w:bookmarkEnd w:id="11"/>
      <w:bookmarkEnd w:id="12"/>
      <w:r>
        <w:t xml:space="preserve">INFORME A LA </w:t>
      </w:r>
      <w:bookmarkEnd w:id="13"/>
      <w:r>
        <w:t>ADMINISTRACIÓN</w:t>
      </w:r>
      <w:bookmarkEnd w:id="14"/>
    </w:p>
    <w:p w:rsidR="003E0DC5" w:rsidRDefault="003E0DC5" w:rsidP="00393A46">
      <w:pPr>
        <w:pStyle w:val="Textoindependiente"/>
        <w:spacing w:after="0" w:line="360" w:lineRule="auto"/>
      </w:pPr>
    </w:p>
    <w:p w:rsidR="003E0DC5" w:rsidRDefault="003E0DC5" w:rsidP="00393A46">
      <w:pPr>
        <w:pStyle w:val="Textoindependiente"/>
        <w:spacing w:after="0" w:line="360" w:lineRule="auto"/>
      </w:pPr>
      <w:r>
        <w:t>El Tribunal de Cuentas ha examinado la Rendición de Cuentas y Balance de Ejecución Presupuestal correspondiente al Ejercicio 2015 y ha emitido su correspondiente Dictamen.</w:t>
      </w:r>
    </w:p>
    <w:p w:rsidR="003E0DC5" w:rsidRDefault="003E0DC5" w:rsidP="00393A46">
      <w:pPr>
        <w:pStyle w:val="Textoindependiente"/>
        <w:spacing w:after="0" w:line="360" w:lineRule="auto"/>
      </w:pPr>
      <w:bookmarkStart w:id="15" w:name="_Toc110845509"/>
      <w: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bookmarkEnd w:id="15"/>
      <w:r>
        <w:t>.</w:t>
      </w:r>
    </w:p>
    <w:p w:rsidR="00FE3A9A" w:rsidRDefault="00FE3A9A" w:rsidP="00393A46">
      <w:pPr>
        <w:pStyle w:val="Textoindependiente"/>
        <w:spacing w:after="0" w:line="360" w:lineRule="auto"/>
        <w:rPr>
          <w:highlight w:val="yellow"/>
        </w:rPr>
      </w:pPr>
    </w:p>
    <w:p w:rsidR="003E0DC5" w:rsidRDefault="003E0DC5" w:rsidP="00393A46">
      <w:pPr>
        <w:pStyle w:val="Ttulo2"/>
        <w:spacing w:after="0"/>
      </w:pPr>
      <w:bookmarkStart w:id="16" w:name="_Toc425930996"/>
      <w:bookmarkStart w:id="17" w:name="_Toc37740559"/>
      <w:bookmarkStart w:id="18" w:name="_Toc37740811"/>
      <w:bookmarkStart w:id="19" w:name="_Toc43280747"/>
      <w:bookmarkStart w:id="20" w:name="_Toc49942672"/>
      <w:r>
        <w:t>1)</w:t>
      </w:r>
      <w:r>
        <w:tab/>
        <w:t>Situación en Materia de Fondos</w:t>
      </w:r>
      <w:bookmarkEnd w:id="16"/>
    </w:p>
    <w:p w:rsidR="003E0DC5" w:rsidRDefault="003E0DC5" w:rsidP="00393A46">
      <w:pPr>
        <w:spacing w:line="360" w:lineRule="auto"/>
        <w:jc w:val="both"/>
        <w:rPr>
          <w:rFonts w:ascii="Arial" w:hAnsi="Arial" w:cs="Arial"/>
          <w:sz w:val="24"/>
          <w:szCs w:val="24"/>
        </w:rPr>
      </w:pPr>
      <w:r w:rsidRPr="00393A46">
        <w:rPr>
          <w:rFonts w:ascii="Arial" w:hAnsi="Arial" w:cs="Arial"/>
          <w:sz w:val="24"/>
          <w:szCs w:val="24"/>
          <w:lang w:val="es-ES"/>
        </w:rPr>
        <w:t>De acuerdo con los estados incluidos en la Rendición de Cuentas, se elaboró un resumen de la situación en materia de fondos de la Junta Departamental con relación a la Intendencia al 31/12/2015 (en pesos uruguayos)</w:t>
      </w:r>
      <w:r w:rsidRPr="00393A46">
        <w:rPr>
          <w:rFonts w:ascii="Arial" w:hAnsi="Arial" w:cs="Arial"/>
          <w:sz w:val="24"/>
          <w:szCs w:val="24"/>
        </w:rPr>
        <w:t>:</w:t>
      </w:r>
    </w:p>
    <w:p w:rsidR="00FE3A9A" w:rsidRDefault="00FE3A9A" w:rsidP="00393A46">
      <w:pPr>
        <w:spacing w:line="360" w:lineRule="auto"/>
        <w:jc w:val="both"/>
        <w:rPr>
          <w:rFonts w:ascii="Arial" w:hAnsi="Arial" w:cs="Arial"/>
          <w:sz w:val="24"/>
          <w:szCs w:val="24"/>
        </w:rPr>
      </w:pPr>
    </w:p>
    <w:p w:rsidR="003E0DC5" w:rsidRPr="00393A46" w:rsidRDefault="003E0DC5" w:rsidP="00393A46">
      <w:pPr>
        <w:rPr>
          <w:rFonts w:ascii="Arial" w:hAnsi="Arial" w:cs="Arial"/>
          <w:sz w:val="24"/>
          <w:szCs w:val="24"/>
        </w:rPr>
      </w:pPr>
      <w:r w:rsidRPr="00393A46">
        <w:rPr>
          <w:rFonts w:ascii="Arial" w:hAnsi="Arial" w:cs="Arial"/>
          <w:sz w:val="24"/>
          <w:szCs w:val="24"/>
        </w:rPr>
        <w:t xml:space="preserve">       Disponibilidades al 31/12/2015                                              2:983.534</w:t>
      </w:r>
    </w:p>
    <w:p w:rsidR="003E0DC5" w:rsidRPr="00393A46" w:rsidRDefault="003E0DC5" w:rsidP="00393A46">
      <w:pPr>
        <w:rPr>
          <w:rFonts w:ascii="Arial" w:hAnsi="Arial" w:cs="Arial"/>
          <w:sz w:val="24"/>
          <w:szCs w:val="24"/>
        </w:rPr>
      </w:pPr>
      <w:r w:rsidRPr="00393A46">
        <w:rPr>
          <w:rFonts w:ascii="Arial" w:hAnsi="Arial" w:cs="Arial"/>
          <w:sz w:val="24"/>
          <w:szCs w:val="24"/>
        </w:rPr>
        <w:t xml:space="preserve">       Más:</w:t>
      </w:r>
    </w:p>
    <w:p w:rsidR="003E0DC5" w:rsidRPr="00393A46" w:rsidRDefault="003E0DC5" w:rsidP="00393A46">
      <w:pPr>
        <w:rPr>
          <w:rFonts w:ascii="Arial" w:hAnsi="Arial" w:cs="Arial"/>
          <w:sz w:val="24"/>
          <w:szCs w:val="24"/>
        </w:rPr>
      </w:pPr>
      <w:r w:rsidRPr="00393A46">
        <w:rPr>
          <w:rFonts w:ascii="Arial" w:hAnsi="Arial" w:cs="Arial"/>
          <w:sz w:val="24"/>
          <w:szCs w:val="24"/>
        </w:rPr>
        <w:t xml:space="preserve">       Doc. </w:t>
      </w:r>
      <w:proofErr w:type="gramStart"/>
      <w:r w:rsidRPr="00393A46">
        <w:rPr>
          <w:rFonts w:ascii="Arial" w:hAnsi="Arial" w:cs="Arial"/>
          <w:sz w:val="24"/>
          <w:szCs w:val="24"/>
        </w:rPr>
        <w:t>pendiente</w:t>
      </w:r>
      <w:proofErr w:type="gramEnd"/>
      <w:r w:rsidRPr="00393A46">
        <w:rPr>
          <w:rFonts w:ascii="Arial" w:hAnsi="Arial" w:cs="Arial"/>
          <w:sz w:val="24"/>
          <w:szCs w:val="24"/>
        </w:rPr>
        <w:t xml:space="preserve"> de rendición                               </w:t>
      </w:r>
      <w:r w:rsidRPr="00393A46">
        <w:rPr>
          <w:rFonts w:ascii="Arial" w:hAnsi="Arial" w:cs="Arial"/>
          <w:sz w:val="24"/>
          <w:szCs w:val="24"/>
          <w:u w:val="single"/>
        </w:rPr>
        <w:t>7.616</w:t>
      </w:r>
      <w:r w:rsidRPr="00393A46">
        <w:rPr>
          <w:rFonts w:ascii="Arial" w:hAnsi="Arial" w:cs="Arial"/>
          <w:sz w:val="24"/>
          <w:szCs w:val="24"/>
        </w:rPr>
        <w:t xml:space="preserve">                  7.616</w:t>
      </w:r>
    </w:p>
    <w:p w:rsidR="003E0DC5" w:rsidRPr="00393A46" w:rsidRDefault="003E0DC5" w:rsidP="00393A46">
      <w:pPr>
        <w:rPr>
          <w:rFonts w:ascii="Arial" w:hAnsi="Arial" w:cs="Arial"/>
          <w:sz w:val="24"/>
          <w:szCs w:val="24"/>
        </w:rPr>
      </w:pPr>
      <w:r w:rsidRPr="00393A46">
        <w:rPr>
          <w:rFonts w:ascii="Arial" w:hAnsi="Arial" w:cs="Arial"/>
          <w:sz w:val="24"/>
          <w:szCs w:val="24"/>
        </w:rPr>
        <w:t xml:space="preserve">       Menos:</w:t>
      </w:r>
    </w:p>
    <w:p w:rsidR="003E0DC5" w:rsidRPr="00393A46" w:rsidRDefault="003E0DC5" w:rsidP="00393A46">
      <w:pPr>
        <w:rPr>
          <w:rFonts w:ascii="Arial" w:hAnsi="Arial" w:cs="Arial"/>
          <w:sz w:val="24"/>
          <w:szCs w:val="24"/>
        </w:rPr>
      </w:pPr>
      <w:r w:rsidRPr="00393A46">
        <w:rPr>
          <w:rFonts w:ascii="Arial" w:hAnsi="Arial" w:cs="Arial"/>
          <w:sz w:val="24"/>
          <w:szCs w:val="24"/>
        </w:rPr>
        <w:t xml:space="preserve">       Obligaciones Presupuestales Impagas         (932.438)</w:t>
      </w:r>
    </w:p>
    <w:p w:rsidR="003E0DC5" w:rsidRPr="00393A46" w:rsidRDefault="003E0DC5" w:rsidP="00393A46">
      <w:pPr>
        <w:rPr>
          <w:rFonts w:ascii="Arial" w:hAnsi="Arial" w:cs="Arial"/>
          <w:sz w:val="24"/>
          <w:szCs w:val="24"/>
          <w:u w:val="single"/>
        </w:rPr>
      </w:pPr>
      <w:r w:rsidRPr="00393A46">
        <w:rPr>
          <w:rFonts w:ascii="Arial" w:hAnsi="Arial" w:cs="Arial"/>
          <w:sz w:val="24"/>
          <w:szCs w:val="24"/>
        </w:rPr>
        <w:t xml:space="preserve">       Indisponibles                                                  </w:t>
      </w:r>
      <w:r w:rsidRPr="00393A46">
        <w:rPr>
          <w:rFonts w:ascii="Arial" w:hAnsi="Arial" w:cs="Arial"/>
          <w:sz w:val="24"/>
          <w:szCs w:val="24"/>
          <w:u w:val="single"/>
        </w:rPr>
        <w:t>(499.326)</w:t>
      </w:r>
      <w:r w:rsidRPr="00393A46">
        <w:rPr>
          <w:rFonts w:ascii="Arial" w:hAnsi="Arial" w:cs="Arial"/>
          <w:sz w:val="24"/>
          <w:szCs w:val="24"/>
        </w:rPr>
        <w:t xml:space="preserve">       </w:t>
      </w:r>
      <w:r w:rsidRPr="00393A46">
        <w:rPr>
          <w:rFonts w:ascii="Arial" w:hAnsi="Arial" w:cs="Arial"/>
          <w:sz w:val="24"/>
          <w:szCs w:val="24"/>
          <w:u w:val="single"/>
        </w:rPr>
        <w:t>(1:431.764)</w:t>
      </w:r>
    </w:p>
    <w:p w:rsidR="003E0DC5" w:rsidRPr="00393A46" w:rsidRDefault="003E0DC5" w:rsidP="00393A46">
      <w:pPr>
        <w:rPr>
          <w:rFonts w:ascii="Arial" w:hAnsi="Arial" w:cs="Arial"/>
          <w:sz w:val="24"/>
          <w:szCs w:val="24"/>
        </w:rPr>
      </w:pPr>
      <w:r w:rsidRPr="00393A46">
        <w:rPr>
          <w:rFonts w:ascii="Arial" w:hAnsi="Arial" w:cs="Arial"/>
          <w:sz w:val="24"/>
          <w:szCs w:val="24"/>
        </w:rPr>
        <w:t xml:space="preserve">       Saldo a favor de la Intendencia                                             1:559.386</w:t>
      </w:r>
    </w:p>
    <w:p w:rsidR="003E0DC5" w:rsidRDefault="003E0DC5" w:rsidP="00393A46">
      <w:pPr>
        <w:pStyle w:val="Ttulo2"/>
        <w:spacing w:after="0"/>
      </w:pPr>
      <w:bookmarkStart w:id="21" w:name="_Toc425930997"/>
    </w:p>
    <w:p w:rsidR="003E0DC5" w:rsidRDefault="003E0DC5" w:rsidP="00393A46">
      <w:pPr>
        <w:pStyle w:val="Ttulo2"/>
        <w:spacing w:after="0"/>
      </w:pPr>
      <w:r>
        <w:t>2) Incumplimiento de normas legales</w:t>
      </w:r>
      <w:bookmarkEnd w:id="21"/>
    </w:p>
    <w:p w:rsidR="003E0DC5" w:rsidRDefault="003E0DC5" w:rsidP="00393A46">
      <w:pPr>
        <w:pStyle w:val="Ttulo2"/>
        <w:spacing w:after="0"/>
        <w:jc w:val="both"/>
        <w:rPr>
          <w:b w:val="0"/>
        </w:rPr>
      </w:pPr>
      <w:bookmarkStart w:id="22" w:name="_Toc425930998"/>
      <w:r>
        <w:rPr>
          <w:rFonts w:cs="Arial"/>
        </w:rPr>
        <w:t xml:space="preserve">2.1) </w:t>
      </w:r>
      <w:r w:rsidRPr="00846BBD">
        <w:rPr>
          <w:rFonts w:cs="Arial"/>
        </w:rPr>
        <w:t>Reglamento de partidas para gastos de traslado, alimentación y alojamiento</w:t>
      </w:r>
      <w:bookmarkEnd w:id="22"/>
    </w:p>
    <w:bookmarkEnd w:id="17"/>
    <w:bookmarkEnd w:id="18"/>
    <w:bookmarkEnd w:id="19"/>
    <w:bookmarkEnd w:id="20"/>
    <w:p w:rsidR="003E0DC5" w:rsidRPr="001E2264" w:rsidRDefault="003E0DC5" w:rsidP="001E2264">
      <w:pPr>
        <w:spacing w:line="360" w:lineRule="auto"/>
        <w:jc w:val="both"/>
        <w:rPr>
          <w:rFonts w:ascii="Arial" w:hAnsi="Arial" w:cs="Arial"/>
          <w:sz w:val="24"/>
          <w:szCs w:val="24"/>
        </w:rPr>
      </w:pPr>
      <w:r w:rsidRPr="001E2264">
        <w:rPr>
          <w:rFonts w:ascii="Arial" w:hAnsi="Arial" w:cs="Arial"/>
          <w:sz w:val="24"/>
          <w:szCs w:val="24"/>
        </w:rPr>
        <w:t>La reglamentación vigente está integrada por las Resoluciones Nos. 510/2012, 189/2013, 677/2013, 484/2014 y 714/2014. El Tribunal de Cuentas en Sesiones de fechas 26/02/14, 24/09/14, 22/10/14 y 30/12/14 observó las referidas Resoluciones, por no ajustarse a lo preceptuado en la Resolución de este Tribunal de 22/12/10, en especial respecto a la ausencia de rendiciones de cuentas.</w:t>
      </w:r>
    </w:p>
    <w:p w:rsidR="003E0DC5" w:rsidRDefault="003E0DC5" w:rsidP="00393A46">
      <w:pPr>
        <w:pStyle w:val="Ttulo2"/>
        <w:spacing w:after="0"/>
      </w:pPr>
      <w:r w:rsidRPr="009428F0">
        <w:t>2.2</w:t>
      </w:r>
      <w:r>
        <w:t>) Artículo 89 del TOCAF</w:t>
      </w:r>
    </w:p>
    <w:p w:rsidR="003E0DC5" w:rsidRPr="001E2264" w:rsidRDefault="003E0DC5" w:rsidP="001E2264">
      <w:pPr>
        <w:spacing w:line="360" w:lineRule="auto"/>
        <w:jc w:val="both"/>
        <w:rPr>
          <w:rFonts w:ascii="Arial" w:hAnsi="Arial" w:cs="Arial"/>
          <w:sz w:val="24"/>
          <w:szCs w:val="24"/>
        </w:rPr>
      </w:pPr>
      <w:r w:rsidRPr="001E2264">
        <w:rPr>
          <w:rFonts w:ascii="Arial" w:hAnsi="Arial" w:cs="Arial"/>
          <w:sz w:val="24"/>
          <w:szCs w:val="24"/>
        </w:rPr>
        <w:t>La Junta Departamental aprobó en el Artículo 1º de su Resolución Nº 49/2014 de 31/12/14 un Reglamento para el manejo del Fondo Permanente. No obstante, del articulado de la citada Resolución resulta que, no se reglamenta un Fondo Permanente, sino el manejo del efectivo y de la Cuenta bancaria de la Junta en el BROU.</w:t>
      </w:r>
    </w:p>
    <w:p w:rsidR="003E0DC5" w:rsidRPr="00A2724E" w:rsidRDefault="003E0DC5" w:rsidP="00393A46">
      <w:pPr>
        <w:pStyle w:val="Ttulo2"/>
        <w:spacing w:after="0"/>
        <w:jc w:val="both"/>
      </w:pPr>
      <w:bookmarkStart w:id="23" w:name="_Toc425930999"/>
      <w:r>
        <w:t>2.3) Recomendaciones</w:t>
      </w:r>
      <w:bookmarkEnd w:id="23"/>
    </w:p>
    <w:p w:rsidR="003E0DC5" w:rsidRDefault="003E0DC5" w:rsidP="00393A46">
      <w:pPr>
        <w:pStyle w:val="Ttulo2"/>
        <w:spacing w:after="0"/>
      </w:pPr>
      <w:bookmarkStart w:id="24" w:name="_Toc425931000"/>
      <w:r>
        <w:t>2.3.1 Recomendaciones del Ejercicio anterior no cumplidas</w:t>
      </w:r>
      <w:bookmarkEnd w:id="24"/>
    </w:p>
    <w:p w:rsidR="003E0DC5" w:rsidRDefault="003E0DC5" w:rsidP="00393A46">
      <w:pPr>
        <w:pStyle w:val="Ttulo2"/>
        <w:spacing w:after="0"/>
      </w:pPr>
      <w:bookmarkStart w:id="25" w:name="_Toc425931002"/>
      <w:r>
        <w:t>2.3.1.1) Viáticos de los señores Ediles</w:t>
      </w:r>
      <w:bookmarkEnd w:id="25"/>
    </w:p>
    <w:p w:rsidR="003E0DC5" w:rsidRDefault="003E0DC5" w:rsidP="00393A46">
      <w:pPr>
        <w:pStyle w:val="Textoindependiente"/>
        <w:spacing w:after="0" w:line="360" w:lineRule="auto"/>
      </w:pPr>
      <w:r>
        <w:t>A efectos de verificar el cumplimiento de lo preceptuado por el Artículo 295 de la Constitución de la República, en cuanto al carácter honorario de la función de Edil, la Junta Departamental deberá ajustarse a lo dispuesto por la Resolución de este Tribunal de fecha 22/12/2010.</w:t>
      </w:r>
    </w:p>
    <w:p w:rsidR="003E0DC5" w:rsidRPr="00062D4D" w:rsidRDefault="003E0DC5" w:rsidP="00393A46">
      <w:pPr>
        <w:pStyle w:val="Textoindependiente"/>
        <w:spacing w:after="0" w:line="360" w:lineRule="auto"/>
        <w:rPr>
          <w:b/>
        </w:rPr>
      </w:pPr>
      <w:r>
        <w:rPr>
          <w:b/>
        </w:rPr>
        <w:t>2</w:t>
      </w:r>
      <w:r w:rsidRPr="00062D4D">
        <w:rPr>
          <w:b/>
        </w:rPr>
        <w:t>.3.1.</w:t>
      </w:r>
      <w:r>
        <w:rPr>
          <w:b/>
        </w:rPr>
        <w:t>2)</w:t>
      </w:r>
      <w:r w:rsidRPr="00062D4D">
        <w:rPr>
          <w:b/>
        </w:rPr>
        <w:t xml:space="preserve"> Artículo 89 del TOCAF</w:t>
      </w:r>
    </w:p>
    <w:p w:rsidR="003E0DC5" w:rsidRDefault="003E0DC5" w:rsidP="00393A46">
      <w:pPr>
        <w:pStyle w:val="Textoindependiente"/>
        <w:spacing w:after="0" w:line="360" w:lineRule="auto"/>
        <w:rPr>
          <w:lang w:val="es-ES"/>
        </w:rPr>
      </w:pPr>
      <w:r>
        <w:rPr>
          <w:lang w:val="es-ES"/>
        </w:rPr>
        <w:t>La Junta Departamental deberá establecer la reglamentación para la utilización del fondo permanente.</w:t>
      </w:r>
    </w:p>
    <w:p w:rsidR="003E0DC5" w:rsidRDefault="003E0DC5" w:rsidP="00393A46">
      <w:pPr>
        <w:pStyle w:val="Textoindependiente"/>
        <w:spacing w:after="0" w:line="360" w:lineRule="auto"/>
        <w:rPr>
          <w:b/>
          <w:lang w:val="es-ES"/>
        </w:rPr>
      </w:pPr>
      <w:r w:rsidRPr="00C7121E">
        <w:rPr>
          <w:b/>
          <w:lang w:val="es-ES"/>
        </w:rPr>
        <w:t>2.3.2) Recomendaci</w:t>
      </w:r>
      <w:r>
        <w:rPr>
          <w:b/>
          <w:lang w:val="es-ES"/>
        </w:rPr>
        <w:t>ón</w:t>
      </w:r>
      <w:r w:rsidRPr="00C7121E">
        <w:rPr>
          <w:b/>
          <w:lang w:val="es-ES"/>
        </w:rPr>
        <w:t xml:space="preserve"> del Ejercicio anterior cumplida</w:t>
      </w:r>
    </w:p>
    <w:p w:rsidR="003E0DC5" w:rsidRDefault="003E0DC5" w:rsidP="00393A46">
      <w:pPr>
        <w:pStyle w:val="Ttulo2"/>
        <w:spacing w:after="0"/>
        <w:jc w:val="both"/>
      </w:pPr>
      <w:r>
        <w:t>Artículo 94 del TOCAF y Ordenanza 81 del Tribunal de Cuentas</w:t>
      </w:r>
    </w:p>
    <w:p w:rsidR="003E0DC5" w:rsidRPr="00C7121E" w:rsidRDefault="003E0DC5" w:rsidP="00393A46">
      <w:pPr>
        <w:pStyle w:val="Textoindependiente"/>
        <w:spacing w:after="0" w:line="360" w:lineRule="auto"/>
        <w:rPr>
          <w:lang w:val="es-ES"/>
        </w:rPr>
      </w:pPr>
      <w:r>
        <w:rPr>
          <w:lang w:val="es-ES"/>
        </w:rPr>
        <w:t>La Junta presentó para el Ejercicio 2015 los estados contables correspondientes a su contabilidad patrimonial.</w:t>
      </w:r>
    </w:p>
    <w:p w:rsidR="003E0DC5" w:rsidRDefault="003E0DC5" w:rsidP="00393A46">
      <w:pPr>
        <w:pStyle w:val="Ttulo2"/>
        <w:spacing w:after="0"/>
      </w:pPr>
      <w:bookmarkStart w:id="26" w:name="_Toc425931003"/>
      <w:r>
        <w:t>2.3.3) Recomendaciones del Ejercicio</w:t>
      </w:r>
      <w:bookmarkEnd w:id="26"/>
    </w:p>
    <w:p w:rsidR="003E0DC5" w:rsidRDefault="003E0DC5" w:rsidP="00393A46">
      <w:pPr>
        <w:pStyle w:val="Textoindependiente"/>
        <w:spacing w:after="0" w:line="360" w:lineRule="auto"/>
        <w:rPr>
          <w:lang w:val="es-ES"/>
        </w:rPr>
      </w:pPr>
      <w:r>
        <w:rPr>
          <w:lang w:val="es-ES"/>
        </w:rPr>
        <w:t>Se reiteran las recomendaciones</w:t>
      </w:r>
      <w:r w:rsidR="00FE3A9A">
        <w:rPr>
          <w:lang w:val="es-ES"/>
        </w:rPr>
        <w:t xml:space="preserve"> señaladas en el párrafo 2.3.1.</w:t>
      </w:r>
    </w:p>
    <w:p w:rsidR="003E0DC5" w:rsidRDefault="003E0DC5" w:rsidP="00393A46">
      <w:pPr>
        <w:pStyle w:val="Textoindependiente"/>
        <w:spacing w:line="360" w:lineRule="auto"/>
        <w:jc w:val="right"/>
        <w:rPr>
          <w:lang w:val="es-ES"/>
        </w:rPr>
      </w:pPr>
      <w:r>
        <w:rPr>
          <w:lang w:val="es-ES"/>
        </w:rPr>
        <w:t>Montevideo, 14 de setiembre de 2016</w:t>
      </w:r>
    </w:p>
    <w:p w:rsidR="003E0DC5" w:rsidRPr="003E0DC5" w:rsidRDefault="003E0DC5">
      <w:pPr>
        <w:spacing w:after="0" w:line="360" w:lineRule="auto"/>
        <w:rPr>
          <w:rFonts w:ascii="Arial" w:hAnsi="Arial" w:cs="Arial"/>
          <w:sz w:val="24"/>
          <w:szCs w:val="24"/>
          <w:lang w:val="es-ES"/>
        </w:rPr>
      </w:pPr>
      <w:r w:rsidRPr="003E0DC5">
        <w:rPr>
          <w:rFonts w:ascii="Arial" w:hAnsi="Arial" w:cs="Arial"/>
          <w:sz w:val="24"/>
          <w:szCs w:val="24"/>
          <w:lang w:val="es-ES"/>
        </w:rPr>
        <w:t>CLC</w:t>
      </w:r>
    </w:p>
    <w:sectPr w:rsidR="003E0DC5" w:rsidRPr="003E0DC5" w:rsidSect="00341F8E">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426"/>
    <w:multiLevelType w:val="hybridMultilevel"/>
    <w:tmpl w:val="B98A5228"/>
    <w:lvl w:ilvl="0" w:tplc="1E1A3590">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
    <w:nsid w:val="64A84019"/>
    <w:multiLevelType w:val="hybridMultilevel"/>
    <w:tmpl w:val="D562B6CA"/>
    <w:lvl w:ilvl="0" w:tplc="DF3CAEE0">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7A"/>
    <w:rsid w:val="001E2264"/>
    <w:rsid w:val="002066AF"/>
    <w:rsid w:val="0033211D"/>
    <w:rsid w:val="00341F8E"/>
    <w:rsid w:val="00370EDF"/>
    <w:rsid w:val="00393A46"/>
    <w:rsid w:val="003E0DC5"/>
    <w:rsid w:val="004A1D5A"/>
    <w:rsid w:val="004E017A"/>
    <w:rsid w:val="0052632E"/>
    <w:rsid w:val="00545A9C"/>
    <w:rsid w:val="00AE072A"/>
    <w:rsid w:val="00C9376F"/>
    <w:rsid w:val="00CA53DF"/>
    <w:rsid w:val="00FE3A9A"/>
    <w:rsid w:val="00FF30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E0DC5"/>
    <w:pPr>
      <w:spacing w:after="180" w:line="360" w:lineRule="auto"/>
      <w:outlineLvl w:val="0"/>
    </w:pPr>
    <w:rPr>
      <w:rFonts w:ascii="Arial" w:eastAsia="Times New Roman" w:hAnsi="Arial" w:cs="Times New Roman"/>
      <w:b/>
      <w:caps/>
      <w:kern w:val="18"/>
      <w:sz w:val="24"/>
      <w:szCs w:val="20"/>
      <w:lang w:val="es-ES" w:eastAsia="es-ES"/>
    </w:rPr>
  </w:style>
  <w:style w:type="paragraph" w:styleId="Ttulo2">
    <w:name w:val="heading 2"/>
    <w:basedOn w:val="Normal"/>
    <w:next w:val="Textoindependiente"/>
    <w:link w:val="Ttulo2Car"/>
    <w:qFormat/>
    <w:rsid w:val="003E0DC5"/>
    <w:pPr>
      <w:spacing w:after="170" w:line="360" w:lineRule="auto"/>
      <w:outlineLvl w:val="1"/>
    </w:pPr>
    <w:rPr>
      <w:rFonts w:ascii="Arial" w:eastAsia="Times New Roman" w:hAnsi="Arial" w:cs="Times New Roman"/>
      <w:b/>
      <w:kern w:val="18"/>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character" w:customStyle="1" w:styleId="Ttulo1Car">
    <w:name w:val="Título 1 Car"/>
    <w:basedOn w:val="Fuentedeprrafopredeter"/>
    <w:link w:val="Ttulo1"/>
    <w:rsid w:val="003E0DC5"/>
    <w:rPr>
      <w:rFonts w:ascii="Arial" w:eastAsia="Times New Roman" w:hAnsi="Arial" w:cs="Times New Roman"/>
      <w:b/>
      <w:caps/>
      <w:kern w:val="18"/>
      <w:sz w:val="24"/>
      <w:szCs w:val="20"/>
      <w:lang w:val="es-ES" w:eastAsia="es-ES"/>
    </w:rPr>
  </w:style>
  <w:style w:type="paragraph" w:styleId="Textoindependiente">
    <w:name w:val="Body Text"/>
    <w:basedOn w:val="Normal"/>
    <w:link w:val="TextoindependienteCar"/>
    <w:semiHidden/>
    <w:rsid w:val="003E0DC5"/>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semiHidden/>
    <w:rsid w:val="003E0DC5"/>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3E0DC5"/>
    <w:pPr>
      <w:spacing w:after="0" w:line="360" w:lineRule="auto"/>
      <w:jc w:val="both"/>
    </w:pPr>
    <w:rPr>
      <w:rFonts w:ascii="Bookman Old Style" w:eastAsia="Times New Roman" w:hAnsi="Bookman Old Style" w:cs="Times New Roman"/>
      <w:b/>
      <w:kern w:val="18"/>
      <w:sz w:val="24"/>
      <w:szCs w:val="20"/>
      <w:lang w:val="es-ES" w:eastAsia="es-ES"/>
    </w:rPr>
  </w:style>
  <w:style w:type="character" w:customStyle="1" w:styleId="SubttuloCar">
    <w:name w:val="Subtítulo Car"/>
    <w:basedOn w:val="Fuentedeprrafopredeter"/>
    <w:link w:val="Subttulo"/>
    <w:rsid w:val="003E0DC5"/>
    <w:rPr>
      <w:rFonts w:ascii="Bookman Old Style" w:eastAsia="Times New Roman" w:hAnsi="Bookman Old Style" w:cs="Times New Roman"/>
      <w:b/>
      <w:kern w:val="18"/>
      <w:sz w:val="24"/>
      <w:szCs w:val="20"/>
      <w:lang w:val="es-ES" w:eastAsia="es-ES"/>
    </w:rPr>
  </w:style>
  <w:style w:type="character" w:customStyle="1" w:styleId="Ttulo2Car">
    <w:name w:val="Título 2 Car"/>
    <w:basedOn w:val="Fuentedeprrafopredeter"/>
    <w:link w:val="Ttulo2"/>
    <w:rsid w:val="003E0DC5"/>
    <w:rPr>
      <w:rFonts w:ascii="Arial" w:eastAsia="Times New Roman" w:hAnsi="Arial" w:cs="Times New Roman"/>
      <w:b/>
      <w:kern w:val="18"/>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E0DC5"/>
    <w:pPr>
      <w:spacing w:after="180" w:line="360" w:lineRule="auto"/>
      <w:outlineLvl w:val="0"/>
    </w:pPr>
    <w:rPr>
      <w:rFonts w:ascii="Arial" w:eastAsia="Times New Roman" w:hAnsi="Arial" w:cs="Times New Roman"/>
      <w:b/>
      <w:caps/>
      <w:kern w:val="18"/>
      <w:sz w:val="24"/>
      <w:szCs w:val="20"/>
      <w:lang w:val="es-ES" w:eastAsia="es-ES"/>
    </w:rPr>
  </w:style>
  <w:style w:type="paragraph" w:styleId="Ttulo2">
    <w:name w:val="heading 2"/>
    <w:basedOn w:val="Normal"/>
    <w:next w:val="Textoindependiente"/>
    <w:link w:val="Ttulo2Car"/>
    <w:qFormat/>
    <w:rsid w:val="003E0DC5"/>
    <w:pPr>
      <w:spacing w:after="170" w:line="360" w:lineRule="auto"/>
      <w:outlineLvl w:val="1"/>
    </w:pPr>
    <w:rPr>
      <w:rFonts w:ascii="Arial" w:eastAsia="Times New Roman" w:hAnsi="Arial" w:cs="Times New Roman"/>
      <w:b/>
      <w:kern w:val="18"/>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character" w:customStyle="1" w:styleId="Ttulo1Car">
    <w:name w:val="Título 1 Car"/>
    <w:basedOn w:val="Fuentedeprrafopredeter"/>
    <w:link w:val="Ttulo1"/>
    <w:rsid w:val="003E0DC5"/>
    <w:rPr>
      <w:rFonts w:ascii="Arial" w:eastAsia="Times New Roman" w:hAnsi="Arial" w:cs="Times New Roman"/>
      <w:b/>
      <w:caps/>
      <w:kern w:val="18"/>
      <w:sz w:val="24"/>
      <w:szCs w:val="20"/>
      <w:lang w:val="es-ES" w:eastAsia="es-ES"/>
    </w:rPr>
  </w:style>
  <w:style w:type="paragraph" w:styleId="Textoindependiente">
    <w:name w:val="Body Text"/>
    <w:basedOn w:val="Normal"/>
    <w:link w:val="TextoindependienteCar"/>
    <w:semiHidden/>
    <w:rsid w:val="003E0DC5"/>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semiHidden/>
    <w:rsid w:val="003E0DC5"/>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3E0DC5"/>
    <w:pPr>
      <w:spacing w:after="0" w:line="360" w:lineRule="auto"/>
      <w:jc w:val="both"/>
    </w:pPr>
    <w:rPr>
      <w:rFonts w:ascii="Bookman Old Style" w:eastAsia="Times New Roman" w:hAnsi="Bookman Old Style" w:cs="Times New Roman"/>
      <w:b/>
      <w:kern w:val="18"/>
      <w:sz w:val="24"/>
      <w:szCs w:val="20"/>
      <w:lang w:val="es-ES" w:eastAsia="es-ES"/>
    </w:rPr>
  </w:style>
  <w:style w:type="character" w:customStyle="1" w:styleId="SubttuloCar">
    <w:name w:val="Subtítulo Car"/>
    <w:basedOn w:val="Fuentedeprrafopredeter"/>
    <w:link w:val="Subttulo"/>
    <w:rsid w:val="003E0DC5"/>
    <w:rPr>
      <w:rFonts w:ascii="Bookman Old Style" w:eastAsia="Times New Roman" w:hAnsi="Bookman Old Style" w:cs="Times New Roman"/>
      <w:b/>
      <w:kern w:val="18"/>
      <w:sz w:val="24"/>
      <w:szCs w:val="20"/>
      <w:lang w:val="es-ES" w:eastAsia="es-ES"/>
    </w:rPr>
  </w:style>
  <w:style w:type="character" w:customStyle="1" w:styleId="Ttulo2Car">
    <w:name w:val="Título 2 Car"/>
    <w:basedOn w:val="Fuentedeprrafopredeter"/>
    <w:link w:val="Ttulo2"/>
    <w:rsid w:val="003E0DC5"/>
    <w:rPr>
      <w:rFonts w:ascii="Arial" w:eastAsia="Times New Roman" w:hAnsi="Arial" w:cs="Times New Roman"/>
      <w:b/>
      <w:kern w:val="18"/>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1213</Words>
  <Characters>6674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12495209</dc:creator>
  <cp:lastModifiedBy> </cp:lastModifiedBy>
  <cp:revision>11</cp:revision>
  <cp:lastPrinted>2016-10-07T13:36:00Z</cp:lastPrinted>
  <dcterms:created xsi:type="dcterms:W3CDTF">2016-10-07T13:31:00Z</dcterms:created>
  <dcterms:modified xsi:type="dcterms:W3CDTF">2017-02-13T16:35:00Z</dcterms:modified>
</cp:coreProperties>
</file>