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D4F" w:rsidRDefault="00986D4F" w:rsidP="00967E07">
      <w:pPr>
        <w:keepNext/>
        <w:widowControl w:val="0"/>
        <w:tabs>
          <w:tab w:val="center" w:pos="4253"/>
        </w:tab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3451</w:t>
      </w:r>
      <w:r w:rsidRPr="00786EEB">
        <w:rPr>
          <w:rFonts w:cs="Arial"/>
          <w:b/>
          <w:sz w:val="28"/>
          <w:szCs w:val="28"/>
          <w:lang w:val="es-ES_tradnl"/>
        </w:rPr>
        <w:t>/16</w:t>
      </w:r>
    </w:p>
    <w:p w:rsidR="00967E07" w:rsidRPr="00786EEB" w:rsidRDefault="00967E07" w:rsidP="00967E07">
      <w:pPr>
        <w:keepNext/>
        <w:widowControl w:val="0"/>
        <w:tabs>
          <w:tab w:val="center" w:pos="4253"/>
        </w:tabs>
        <w:jc w:val="right"/>
        <w:rPr>
          <w:rFonts w:cs="Arial"/>
          <w:b/>
          <w:sz w:val="28"/>
          <w:szCs w:val="28"/>
          <w:lang w:val="es-ES_tradnl"/>
        </w:rPr>
      </w:pPr>
    </w:p>
    <w:p w:rsidR="00986D4F" w:rsidRPr="00762B34" w:rsidRDefault="00986D4F" w:rsidP="00967E07">
      <w:pPr>
        <w:keepNext/>
        <w:widowControl w:val="0"/>
        <w:tabs>
          <w:tab w:val="center" w:pos="4253"/>
        </w:tabs>
        <w:jc w:val="center"/>
        <w:rPr>
          <w:rFonts w:cs="Arial"/>
          <w:b/>
          <w:lang w:val="es-ES_tradnl"/>
        </w:rPr>
      </w:pPr>
      <w:r w:rsidRPr="00762B34">
        <w:rPr>
          <w:rFonts w:cs="Arial"/>
          <w:b/>
          <w:lang w:val="es-ES_tradnl"/>
        </w:rPr>
        <w:t>RESOLUCION ADOPTADA POR EL</w:t>
      </w:r>
    </w:p>
    <w:p w:rsidR="00986D4F" w:rsidRPr="00762B34" w:rsidRDefault="00986D4F" w:rsidP="00967E07">
      <w:pPr>
        <w:keepNext/>
        <w:widowControl w:val="0"/>
        <w:tabs>
          <w:tab w:val="left" w:pos="-720"/>
        </w:tabs>
        <w:jc w:val="center"/>
        <w:rPr>
          <w:rFonts w:cs="Arial"/>
          <w:b/>
          <w:lang w:val="es-ES_tradnl"/>
        </w:rPr>
      </w:pPr>
    </w:p>
    <w:p w:rsidR="00986D4F" w:rsidRPr="00762B34" w:rsidRDefault="00986D4F" w:rsidP="00967E07">
      <w:pPr>
        <w:keepNext/>
        <w:widowControl w:val="0"/>
        <w:tabs>
          <w:tab w:val="center" w:pos="4253"/>
        </w:tabs>
        <w:jc w:val="center"/>
        <w:rPr>
          <w:rFonts w:cs="Arial"/>
          <w:b/>
          <w:lang w:val="es-ES_tradnl"/>
        </w:rPr>
      </w:pPr>
      <w:r w:rsidRPr="00762B34">
        <w:rPr>
          <w:rFonts w:cs="Arial"/>
          <w:b/>
          <w:lang w:val="es-ES_tradnl"/>
        </w:rPr>
        <w:t>TRIBUNAL DE CUENTAS</w:t>
      </w:r>
    </w:p>
    <w:p w:rsidR="00986D4F" w:rsidRPr="00762B34" w:rsidRDefault="00986D4F" w:rsidP="00967E07">
      <w:pPr>
        <w:keepNext/>
        <w:widowControl w:val="0"/>
        <w:tabs>
          <w:tab w:val="left" w:pos="-720"/>
        </w:tabs>
        <w:jc w:val="center"/>
        <w:rPr>
          <w:rFonts w:cs="Arial"/>
          <w:b/>
          <w:lang w:val="es-ES_tradnl"/>
        </w:rPr>
      </w:pPr>
    </w:p>
    <w:p w:rsidR="00986D4F" w:rsidRPr="00762B34" w:rsidRDefault="00986D4F" w:rsidP="00967E07">
      <w:pPr>
        <w:keepNext/>
        <w:widowControl w:val="0"/>
        <w:tabs>
          <w:tab w:val="center" w:pos="4253"/>
        </w:tabs>
        <w:jc w:val="center"/>
        <w:rPr>
          <w:rFonts w:cs="Arial"/>
          <w:b/>
          <w:lang w:val="es-ES_tradnl"/>
        </w:rPr>
      </w:pPr>
      <w:r w:rsidRPr="00762B34">
        <w:rPr>
          <w:rFonts w:cs="Arial"/>
          <w:b/>
          <w:lang w:val="es-ES_tradnl"/>
        </w:rPr>
        <w:t xml:space="preserve">EN SESION DE FECHA </w:t>
      </w:r>
      <w:r>
        <w:rPr>
          <w:rFonts w:ascii="Helvetica" w:hAnsi="Helvetica"/>
          <w:b/>
          <w:lang w:val="es-ES_tradnl"/>
        </w:rPr>
        <w:t>28 DE SETIEMBRE DE 2016</w:t>
      </w:r>
    </w:p>
    <w:p w:rsidR="00986D4F" w:rsidRPr="00762B34" w:rsidRDefault="00986D4F" w:rsidP="00967E07">
      <w:pPr>
        <w:keepNext/>
        <w:widowControl w:val="0"/>
        <w:tabs>
          <w:tab w:val="center" w:pos="4253"/>
        </w:tabs>
        <w:jc w:val="center"/>
        <w:rPr>
          <w:rFonts w:cs="Arial"/>
          <w:b/>
          <w:lang w:val="es-ES_tradnl"/>
        </w:rPr>
      </w:pPr>
    </w:p>
    <w:p w:rsidR="00986D4F" w:rsidRDefault="00986D4F" w:rsidP="00967E07">
      <w:pPr>
        <w:keepNext/>
        <w:widowControl w:val="0"/>
        <w:tabs>
          <w:tab w:val="center" w:pos="4253"/>
        </w:tabs>
        <w:jc w:val="center"/>
        <w:rPr>
          <w:rFonts w:cs="Arial"/>
          <w:b/>
          <w:lang w:val="es-AR"/>
        </w:rPr>
      </w:pPr>
      <w:r w:rsidRPr="00986D4F">
        <w:rPr>
          <w:rFonts w:cs="Arial"/>
          <w:b/>
          <w:lang w:val="es-AR"/>
        </w:rPr>
        <w:t xml:space="preserve">(E. E. Nº 2016-17-1-0002329, </w:t>
      </w:r>
      <w:proofErr w:type="spellStart"/>
      <w:r w:rsidRPr="00986D4F">
        <w:rPr>
          <w:rFonts w:cs="Arial"/>
          <w:b/>
          <w:lang w:val="es-AR"/>
        </w:rPr>
        <w:t>Ents</w:t>
      </w:r>
      <w:proofErr w:type="spellEnd"/>
      <w:r w:rsidRPr="00986D4F">
        <w:rPr>
          <w:rFonts w:cs="Arial"/>
          <w:b/>
          <w:lang w:val="es-AR"/>
        </w:rPr>
        <w:t xml:space="preserve">. </w:t>
      </w:r>
      <w:r>
        <w:rPr>
          <w:rFonts w:cs="Arial"/>
          <w:b/>
          <w:lang w:val="es-AR"/>
        </w:rPr>
        <w:t>1770/16 y 2016/16</w:t>
      </w:r>
      <w:r w:rsidRPr="00986D4F">
        <w:rPr>
          <w:rFonts w:cs="Arial"/>
          <w:b/>
          <w:lang w:val="es-AR"/>
        </w:rPr>
        <w:t>)</w:t>
      </w:r>
    </w:p>
    <w:p w:rsidR="00967E07" w:rsidRPr="00986D4F" w:rsidRDefault="00967E07" w:rsidP="00967E07">
      <w:pPr>
        <w:keepNext/>
        <w:widowControl w:val="0"/>
        <w:tabs>
          <w:tab w:val="center" w:pos="4253"/>
        </w:tabs>
        <w:jc w:val="center"/>
        <w:rPr>
          <w:rFonts w:cs="Arial"/>
          <w:b/>
          <w:lang w:val="es-AR"/>
        </w:rPr>
      </w:pPr>
    </w:p>
    <w:p w:rsidR="00986D4F" w:rsidRDefault="00986D4F" w:rsidP="00967E07">
      <w:pPr>
        <w:keepNext/>
        <w:widowControl w:val="0"/>
        <w:spacing w:line="360" w:lineRule="auto"/>
        <w:ind w:firstLine="851"/>
        <w:jc w:val="both"/>
        <w:rPr>
          <w:rFonts w:cs="Arial"/>
          <w:spacing w:val="-3"/>
          <w:lang w:val="es-ES_tradnl" w:eastAsia="zh-CN"/>
        </w:rPr>
      </w:pPr>
      <w:r w:rsidRPr="00986D4F">
        <w:rPr>
          <w:rFonts w:cs="Arial"/>
          <w:b/>
          <w:bCs/>
          <w:spacing w:val="-3"/>
          <w:lang w:val="es-ES_tradnl" w:eastAsia="zh-CN"/>
        </w:rPr>
        <w:t>VISTO</w:t>
      </w:r>
      <w:r w:rsidRPr="00967E07">
        <w:rPr>
          <w:rFonts w:cs="Arial"/>
          <w:b/>
          <w:spacing w:val="-3"/>
          <w:lang w:val="es-ES_tradnl" w:eastAsia="zh-CN"/>
        </w:rPr>
        <w:t>:</w:t>
      </w:r>
      <w:r w:rsidRPr="00986D4F">
        <w:rPr>
          <w:rFonts w:cs="Arial"/>
          <w:spacing w:val="-3"/>
          <w:lang w:val="es-ES_tradnl" w:eastAsia="zh-CN"/>
        </w:rPr>
        <w:t xml:space="preserve"> que este Tribunal ha examinado los Estados Financieros del Banco de Previsión Social (BPS) que comprenden el Estado de Situación Patrimonial al 31/12/2015, los correspondientes Estado de Resultados, de Flujos de Efectivo y de Evolución del Patrimonio por el Ejercicio anual finalizado en esa fecha, presentados en forma comparativa con el Ejercicio anterior, los Anexos y las notas de políticas contables significativas y otras notas explicativas a los Estados Financieros;</w:t>
      </w:r>
    </w:p>
    <w:p w:rsidR="00986D4F" w:rsidRDefault="00986D4F" w:rsidP="00967E07">
      <w:pPr>
        <w:keepNext/>
        <w:widowControl w:val="0"/>
        <w:spacing w:line="360" w:lineRule="auto"/>
        <w:ind w:firstLine="851"/>
        <w:jc w:val="both"/>
        <w:rPr>
          <w:rFonts w:cs="Arial"/>
          <w:lang w:eastAsia="zh-CN"/>
        </w:rPr>
      </w:pPr>
      <w:r w:rsidRPr="00986D4F">
        <w:rPr>
          <w:rFonts w:cs="Arial"/>
          <w:b/>
          <w:lang w:eastAsia="zh-CN"/>
        </w:rPr>
        <w:t>RESULTANDO:</w:t>
      </w:r>
      <w:r w:rsidRPr="00986D4F">
        <w:rPr>
          <w:rFonts w:cs="Arial"/>
          <w:lang w:eastAsia="zh-CN"/>
        </w:rPr>
        <w:t xml:space="preserve"> que el examen fue realizado de acuerdo con los Principios Fundamentales de Auditoría (ISSAI 100 y 200) y las Directrices de Auditoría Financiera (ISSAI 1000 a 1810) de la Organización Internacional de Entidades Fiscalizadoras Superiores (INTOSAI);</w:t>
      </w:r>
    </w:p>
    <w:p w:rsidR="00986D4F" w:rsidRDefault="00986D4F" w:rsidP="00967E07">
      <w:pPr>
        <w:keepNext/>
        <w:widowControl w:val="0"/>
        <w:spacing w:line="360" w:lineRule="auto"/>
        <w:ind w:firstLine="851"/>
        <w:jc w:val="both"/>
        <w:rPr>
          <w:rFonts w:cs="Arial"/>
          <w:lang w:val="es-MX" w:eastAsia="zh-CN"/>
        </w:rPr>
      </w:pPr>
      <w:r w:rsidRPr="00986D4F">
        <w:rPr>
          <w:rFonts w:cs="Arial"/>
          <w:b/>
          <w:lang w:val="es-MX" w:eastAsia="zh-CN"/>
        </w:rPr>
        <w:t>CONSIDERANDO:</w:t>
      </w:r>
      <w:r w:rsidRPr="00986D4F">
        <w:rPr>
          <w:rFonts w:cs="Arial"/>
          <w:lang w:val="es-MX" w:eastAsia="zh-CN"/>
        </w:rPr>
        <w:t xml:space="preserve"> que las conclusiones y evidencias obtenidas son las que se expresan en el Informe de Auditoría, que incluye Dictamen e Informe a la Administración;</w:t>
      </w:r>
    </w:p>
    <w:p w:rsidR="00986D4F" w:rsidRPr="00986D4F" w:rsidRDefault="00986D4F" w:rsidP="00967E07">
      <w:pPr>
        <w:keepNext/>
        <w:widowControl w:val="0"/>
        <w:spacing w:line="360" w:lineRule="auto"/>
        <w:ind w:firstLine="851"/>
        <w:jc w:val="both"/>
        <w:rPr>
          <w:rFonts w:cs="Arial"/>
          <w:lang w:val="es-MX" w:eastAsia="zh-CN"/>
        </w:rPr>
      </w:pPr>
      <w:r w:rsidRPr="00986D4F">
        <w:rPr>
          <w:rFonts w:cs="Arial"/>
          <w:b/>
          <w:lang w:val="es-MX" w:eastAsia="zh-CN"/>
        </w:rPr>
        <w:t>ATENTO:</w:t>
      </w:r>
      <w:r w:rsidRPr="00986D4F">
        <w:rPr>
          <w:rFonts w:cs="Arial"/>
          <w:lang w:val="es-MX" w:eastAsia="zh-CN"/>
        </w:rPr>
        <w:t xml:space="preserve"> a lo dispuesto por los Artículos 191 y 211 Literal C) de la Constitución de la República;</w:t>
      </w:r>
    </w:p>
    <w:p w:rsidR="00986D4F" w:rsidRPr="00986D4F" w:rsidRDefault="00986D4F" w:rsidP="00967E07">
      <w:pPr>
        <w:keepNext/>
        <w:widowControl w:val="0"/>
        <w:spacing w:line="360" w:lineRule="auto"/>
        <w:jc w:val="center"/>
        <w:rPr>
          <w:rFonts w:cs="Arial"/>
          <w:b/>
          <w:lang w:val="es-MX" w:eastAsia="zh-CN"/>
        </w:rPr>
      </w:pPr>
      <w:r w:rsidRPr="00986D4F">
        <w:rPr>
          <w:rFonts w:cs="Arial"/>
          <w:b/>
          <w:lang w:val="es-MX" w:eastAsia="zh-CN"/>
        </w:rPr>
        <w:t>EL TRIBUNAL ACUERDA</w:t>
      </w:r>
    </w:p>
    <w:p w:rsidR="00986D4F" w:rsidRPr="00986D4F" w:rsidRDefault="00986D4F" w:rsidP="00967E07">
      <w:pPr>
        <w:keepNext/>
        <w:widowControl w:val="0"/>
        <w:tabs>
          <w:tab w:val="left" w:pos="0"/>
          <w:tab w:val="left" w:pos="4312"/>
        </w:tabs>
        <w:spacing w:line="360" w:lineRule="auto"/>
        <w:jc w:val="both"/>
        <w:rPr>
          <w:rFonts w:cs="Arial"/>
          <w:lang w:eastAsia="zh-CN"/>
        </w:rPr>
      </w:pPr>
      <w:r w:rsidRPr="00986D4F">
        <w:rPr>
          <w:rFonts w:cs="Arial"/>
          <w:b/>
          <w:lang w:eastAsia="zh-CN"/>
        </w:rPr>
        <w:t xml:space="preserve">1) </w:t>
      </w:r>
      <w:r w:rsidRPr="00986D4F">
        <w:rPr>
          <w:rFonts w:cs="Arial"/>
          <w:lang w:eastAsia="zh-CN"/>
        </w:rPr>
        <w:t xml:space="preserve">Emitir su Dictamen respecto a los Estados Financieros citados precedentemente, </w:t>
      </w:r>
      <w:r w:rsidRPr="00986D4F">
        <w:rPr>
          <w:rFonts w:cs="Arial"/>
          <w:lang w:val="es-ES_tradnl" w:eastAsia="zh-CN"/>
        </w:rPr>
        <w:t>en los términos del Informe de Auditoría que se adjunta;</w:t>
      </w:r>
    </w:p>
    <w:p w:rsidR="00986D4F" w:rsidRPr="00986D4F" w:rsidRDefault="00986D4F" w:rsidP="00967E07">
      <w:pPr>
        <w:keepNext/>
        <w:widowControl w:val="0"/>
        <w:tabs>
          <w:tab w:val="left" w:pos="0"/>
          <w:tab w:val="left" w:pos="4312"/>
        </w:tabs>
        <w:spacing w:line="360" w:lineRule="auto"/>
        <w:jc w:val="both"/>
        <w:rPr>
          <w:rFonts w:cs="Arial"/>
          <w:lang w:eastAsia="zh-CN"/>
        </w:rPr>
      </w:pPr>
      <w:r w:rsidRPr="00986D4F">
        <w:rPr>
          <w:rFonts w:cs="Arial"/>
          <w:b/>
          <w:lang w:eastAsia="zh-CN"/>
        </w:rPr>
        <w:t xml:space="preserve">2) </w:t>
      </w:r>
      <w:r w:rsidRPr="00986D4F">
        <w:rPr>
          <w:rFonts w:cs="Arial"/>
          <w:lang w:eastAsia="zh-CN"/>
        </w:rPr>
        <w:t>A los efectos dispuestos por el Artículo 191 de la Constitución de la República, el Organismo deberá publicar los Estados Financieros y el Dictamen correspondiente incluido en el Informe de Auditoría;</w:t>
      </w:r>
    </w:p>
    <w:p w:rsidR="00986D4F" w:rsidRPr="00986D4F" w:rsidRDefault="00986D4F" w:rsidP="00967E07">
      <w:pPr>
        <w:keepNext/>
        <w:widowControl w:val="0"/>
        <w:tabs>
          <w:tab w:val="left" w:pos="0"/>
          <w:tab w:val="left" w:pos="4312"/>
        </w:tabs>
        <w:spacing w:line="360" w:lineRule="auto"/>
        <w:jc w:val="both"/>
        <w:rPr>
          <w:rFonts w:cs="Arial"/>
          <w:lang w:eastAsia="zh-CN"/>
        </w:rPr>
      </w:pPr>
      <w:r w:rsidRPr="00986D4F">
        <w:rPr>
          <w:rFonts w:cs="Arial"/>
          <w:b/>
          <w:lang w:eastAsia="zh-CN"/>
        </w:rPr>
        <w:lastRenderedPageBreak/>
        <w:t xml:space="preserve">3) </w:t>
      </w:r>
      <w:r w:rsidRPr="00986D4F">
        <w:rPr>
          <w:rFonts w:cs="Arial"/>
          <w:lang w:eastAsia="zh-CN"/>
        </w:rPr>
        <w:t>Comunicar la presente Resolución al Ministerio de Trabajo y Seguridad Social (MTSS), a la Oficina de Planeamiento y Presupuesto (OPP) y al Organismo;</w:t>
      </w:r>
    </w:p>
    <w:p w:rsidR="00986D4F" w:rsidRDefault="00986D4F" w:rsidP="00967E07">
      <w:pPr>
        <w:keepNext/>
        <w:widowControl w:val="0"/>
        <w:spacing w:line="360" w:lineRule="auto"/>
        <w:rPr>
          <w:rFonts w:cs="Arial"/>
          <w:lang w:eastAsia="zh-CN"/>
        </w:rPr>
      </w:pPr>
      <w:r w:rsidRPr="00986D4F">
        <w:rPr>
          <w:rFonts w:cs="Arial"/>
          <w:b/>
          <w:lang w:eastAsia="zh-CN"/>
        </w:rPr>
        <w:t>4)</w:t>
      </w:r>
      <w:r w:rsidRPr="00986D4F">
        <w:rPr>
          <w:rFonts w:cs="Arial"/>
          <w:lang w:eastAsia="zh-CN"/>
        </w:rPr>
        <w:t xml:space="preserve"> Dar cuenta a la Asamblea General.</w:t>
      </w:r>
    </w:p>
    <w:p w:rsidR="00986D4F" w:rsidRDefault="00986D4F" w:rsidP="00967E07">
      <w:pPr>
        <w:keepNext/>
        <w:widowControl w:val="0"/>
        <w:spacing w:line="360" w:lineRule="auto"/>
        <w:rPr>
          <w:rFonts w:cs="Arial"/>
          <w:lang w:eastAsia="zh-CN"/>
        </w:rPr>
      </w:pPr>
    </w:p>
    <w:p w:rsidR="00986D4F" w:rsidRDefault="00986D4F" w:rsidP="00967E07">
      <w:pPr>
        <w:keepNext/>
        <w:widowControl w:val="0"/>
        <w:spacing w:line="360" w:lineRule="auto"/>
        <w:rPr>
          <w:rFonts w:cs="Arial"/>
          <w:lang w:eastAsia="zh-CN"/>
        </w:rPr>
      </w:pPr>
    </w:p>
    <w:p w:rsidR="00986D4F" w:rsidRPr="00986D4F" w:rsidRDefault="00986D4F" w:rsidP="00967E07">
      <w:pPr>
        <w:keepNext/>
        <w:widowControl w:val="0"/>
        <w:spacing w:line="360" w:lineRule="auto"/>
        <w:ind w:hanging="709"/>
        <w:rPr>
          <w:rFonts w:cs="Arial"/>
          <w:shd w:val="clear" w:color="auto" w:fill="FFFF00"/>
          <w:lang w:val="es-ES_tradnl" w:eastAsia="zh-CN"/>
        </w:rPr>
      </w:pPr>
      <w:proofErr w:type="gramStart"/>
      <w:r>
        <w:rPr>
          <w:rFonts w:cs="Arial"/>
          <w:lang w:eastAsia="zh-CN"/>
        </w:rPr>
        <w:t>dc</w:t>
      </w:r>
      <w:proofErr w:type="gramEnd"/>
    </w:p>
    <w:p w:rsidR="003754FE" w:rsidRDefault="003754FE" w:rsidP="00967E07">
      <w:pPr>
        <w:keepNext/>
        <w:widowControl w:val="0"/>
        <w:spacing w:line="360" w:lineRule="auto"/>
        <w:jc w:val="center"/>
        <w:rPr>
          <w:b/>
          <w:bCs/>
        </w:rPr>
      </w:pPr>
    </w:p>
    <w:p w:rsidR="00967E07" w:rsidRDefault="00967E07" w:rsidP="00967E07">
      <w:pPr>
        <w:keepNext/>
        <w:widowControl w:val="0"/>
        <w:spacing w:line="360" w:lineRule="auto"/>
        <w:jc w:val="center"/>
        <w:rPr>
          <w:b/>
          <w:bCs/>
        </w:rPr>
      </w:pPr>
      <w:r w:rsidRPr="005D5895">
        <w:rPr>
          <w:b/>
          <w:bCs/>
        </w:rPr>
        <w:t>DICTAMEN</w:t>
      </w:r>
    </w:p>
    <w:p w:rsidR="003754FE" w:rsidRPr="005D5895" w:rsidRDefault="003754FE" w:rsidP="00967E07">
      <w:pPr>
        <w:keepNext/>
        <w:widowControl w:val="0"/>
        <w:spacing w:line="360" w:lineRule="auto"/>
        <w:jc w:val="center"/>
        <w:rPr>
          <w:bCs/>
        </w:rPr>
      </w:pPr>
    </w:p>
    <w:p w:rsidR="00967E07" w:rsidRPr="005D5895" w:rsidRDefault="00967E07" w:rsidP="00967E07">
      <w:pPr>
        <w:pStyle w:val="Textoindependiente"/>
        <w:keepNext/>
        <w:widowControl w:val="0"/>
        <w:suppressAutoHyphens w:val="0"/>
        <w:spacing w:line="360" w:lineRule="auto"/>
        <w:jc w:val="both"/>
        <w:rPr>
          <w:rFonts w:ascii="Arial" w:hAnsi="Arial" w:cs="Arial"/>
          <w:spacing w:val="-3"/>
          <w:lang w:val="es-ES_tradnl"/>
        </w:rPr>
      </w:pPr>
      <w:r w:rsidRPr="005D5895">
        <w:rPr>
          <w:rFonts w:ascii="Arial" w:hAnsi="Arial" w:cs="Arial"/>
        </w:rPr>
        <w:t xml:space="preserve">El Tribunal de Cuentas ha examinado los estados financieros del Banco de Previsión Social (BPS). </w:t>
      </w:r>
      <w:r w:rsidRPr="002B1253">
        <w:rPr>
          <w:rFonts w:ascii="Arial" w:hAnsi="Arial" w:cs="Arial"/>
        </w:rPr>
        <w:t xml:space="preserve">Dichos estados comprenden los Estados de Situación Comparativos </w:t>
      </w:r>
      <w:r w:rsidRPr="002B1253">
        <w:rPr>
          <w:rFonts w:ascii="Arial" w:hAnsi="Arial" w:cs="Arial"/>
          <w:spacing w:val="-3"/>
          <w:lang w:val="es-ES_tradnl"/>
        </w:rPr>
        <w:t xml:space="preserve">al 31/12/2015 y 31/12/2014 y los correspondientes Estados Comparativos de Resultados y de </w:t>
      </w:r>
      <w:r w:rsidRPr="002B1253">
        <w:rPr>
          <w:rFonts w:ascii="Arial" w:hAnsi="Arial" w:cs="Arial"/>
        </w:rPr>
        <w:t>Flujo de Efectivo así como el Estado de Evolución del Patrimonio por</w:t>
      </w:r>
      <w:r>
        <w:rPr>
          <w:rFonts w:ascii="Arial" w:hAnsi="Arial" w:cs="Arial"/>
        </w:rPr>
        <w:t xml:space="preserve"> el E</w:t>
      </w:r>
      <w:r w:rsidRPr="005D5895">
        <w:rPr>
          <w:rFonts w:ascii="Arial" w:hAnsi="Arial" w:cs="Arial"/>
        </w:rPr>
        <w:t>jercici</w:t>
      </w:r>
      <w:r>
        <w:rPr>
          <w:rFonts w:ascii="Arial" w:hAnsi="Arial" w:cs="Arial"/>
        </w:rPr>
        <w:t>o anual finalizado el 31/12/2015</w:t>
      </w:r>
      <w:r w:rsidRPr="005D5895">
        <w:rPr>
          <w:rFonts w:ascii="Arial" w:hAnsi="Arial" w:cs="Arial"/>
        </w:rPr>
        <w:t xml:space="preserve">, los Anexos y las Notas de políticas contables </w:t>
      </w:r>
      <w:r w:rsidRPr="005D5895">
        <w:rPr>
          <w:rFonts w:ascii="Arial" w:hAnsi="Arial" w:cs="Arial"/>
          <w:spacing w:val="-3"/>
          <w:lang w:val="es-ES_tradnl"/>
        </w:rPr>
        <w:t>significativas y otras Notas explicativas a los estados financieros.</w:t>
      </w:r>
    </w:p>
    <w:p w:rsidR="00967E07" w:rsidRPr="005D5895" w:rsidRDefault="00967E07" w:rsidP="00967E07">
      <w:pPr>
        <w:pStyle w:val="Textoindependiente"/>
        <w:keepNext/>
        <w:widowControl w:val="0"/>
        <w:tabs>
          <w:tab w:val="left" w:pos="0"/>
        </w:tabs>
        <w:suppressAutoHyphens w:val="0"/>
        <w:spacing w:line="360" w:lineRule="auto"/>
        <w:jc w:val="both"/>
        <w:rPr>
          <w:rFonts w:ascii="Arial" w:hAnsi="Arial" w:cs="Arial"/>
          <w:shd w:val="clear" w:color="auto" w:fill="FFFF00"/>
        </w:rPr>
      </w:pPr>
      <w:r w:rsidRPr="005D5895">
        <w:rPr>
          <w:rFonts w:ascii="Arial" w:hAnsi="Arial" w:cs="Arial"/>
          <w:spacing w:val="-3"/>
          <w:lang w:val="es-ES_tradnl"/>
        </w:rPr>
        <w:t>También se presentan, en caso de corresponder, los incumplimientos legales constatados por el Tribunal de Cuentas en el curso de la auditoría efectuada.</w:t>
      </w:r>
    </w:p>
    <w:p w:rsidR="00967E07" w:rsidRPr="005D5895" w:rsidRDefault="00967E07" w:rsidP="00967E07">
      <w:pPr>
        <w:pStyle w:val="Sangradetextonormal"/>
        <w:keepNext/>
        <w:widowControl w:val="0"/>
        <w:tabs>
          <w:tab w:val="clear" w:pos="2552"/>
        </w:tabs>
        <w:suppressAutoHyphens w:val="0"/>
        <w:rPr>
          <w:bCs/>
          <w:lang w:val="es-ES"/>
        </w:rPr>
      </w:pPr>
      <w:r w:rsidRPr="005D5895">
        <w:rPr>
          <w:b/>
          <w:bCs/>
          <w:lang w:val="es-ES"/>
        </w:rPr>
        <w:t>Responsabilidad de la Dirección por los estados financieros</w:t>
      </w:r>
    </w:p>
    <w:p w:rsidR="00967E07" w:rsidRPr="005D5895" w:rsidRDefault="00967E07" w:rsidP="00967E07">
      <w:pPr>
        <w:pStyle w:val="Sangradetextonormal"/>
        <w:keepNext/>
        <w:widowControl w:val="0"/>
        <w:tabs>
          <w:tab w:val="clear" w:pos="2552"/>
          <w:tab w:val="left" w:pos="720"/>
        </w:tabs>
        <w:suppressAutoHyphens w:val="0"/>
        <w:rPr>
          <w:bCs/>
          <w:lang w:val="es-ES"/>
        </w:rPr>
      </w:pPr>
      <w:r w:rsidRPr="005D5895">
        <w:rPr>
          <w:bCs/>
          <w:lang w:val="es-ES"/>
        </w:rPr>
        <w:t>La Dirección del BPS es responsable por la preparación y la razonable presentación de estos Estados Financieros de acuerdo con normas contables adecuadas y la Ordenanza Nº 81 de este Tribunal.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967E07" w:rsidRPr="0037198E" w:rsidRDefault="00967E07" w:rsidP="00967E07">
      <w:pPr>
        <w:pStyle w:val="Sangradetextonormal"/>
        <w:keepNext/>
        <w:widowControl w:val="0"/>
        <w:tabs>
          <w:tab w:val="clear" w:pos="2552"/>
          <w:tab w:val="left" w:pos="720"/>
        </w:tabs>
        <w:suppressAutoHyphens w:val="0"/>
        <w:rPr>
          <w:lang w:val="es-ES"/>
        </w:rPr>
      </w:pPr>
      <w:r w:rsidRPr="0037198E">
        <w:rPr>
          <w:b/>
          <w:bCs/>
          <w:lang w:val="es-ES"/>
        </w:rPr>
        <w:t>Responsabilidad del Auditor</w:t>
      </w:r>
    </w:p>
    <w:p w:rsidR="00967E07" w:rsidRPr="0037198E" w:rsidRDefault="00967E07" w:rsidP="00967E07">
      <w:pPr>
        <w:pStyle w:val="Sangradetextonormal"/>
        <w:keepNext/>
        <w:widowControl w:val="0"/>
        <w:tabs>
          <w:tab w:val="clear" w:pos="2552"/>
        </w:tabs>
        <w:suppressAutoHyphens w:val="0"/>
        <w:rPr>
          <w:spacing w:val="-3"/>
          <w:lang w:val="es-ES_tradnl"/>
        </w:rPr>
      </w:pPr>
      <w:r w:rsidRPr="0037198E">
        <w:rPr>
          <w:lang w:val="es-ES"/>
        </w:rPr>
        <w:t>La responsabilidad del Tribunal de Cuentas es expresar una opinión sobre dichos</w:t>
      </w:r>
      <w:r w:rsidRPr="0037198E">
        <w:rPr>
          <w:spacing w:val="-3"/>
          <w:lang w:val="es-ES_tradnl"/>
        </w:rPr>
        <w:t xml:space="preserve">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financieros están libres de</w:t>
      </w:r>
      <w:r w:rsidR="003754FE">
        <w:rPr>
          <w:spacing w:val="-3"/>
          <w:lang w:val="es-ES_tradnl"/>
        </w:rPr>
        <w:t xml:space="preserve"> errores significativos.</w:t>
      </w:r>
    </w:p>
    <w:p w:rsidR="00967E07" w:rsidRDefault="00967E07" w:rsidP="00967E07">
      <w:pPr>
        <w:pStyle w:val="Textoindependiente"/>
        <w:keepNext/>
        <w:widowControl w:val="0"/>
        <w:tabs>
          <w:tab w:val="left" w:pos="0"/>
        </w:tabs>
        <w:suppressAutoHyphens w:val="0"/>
        <w:spacing w:line="360" w:lineRule="auto"/>
        <w:jc w:val="both"/>
        <w:rPr>
          <w:rFonts w:ascii="Arial" w:hAnsi="Arial" w:cs="Arial"/>
          <w:spacing w:val="-3"/>
          <w:lang w:val="es-ES_tradnl"/>
        </w:rPr>
      </w:pPr>
      <w:r w:rsidRPr="0037198E">
        <w:rPr>
          <w:rFonts w:ascii="Arial" w:hAnsi="Arial" w:cs="Arial"/>
          <w:spacing w:val="-3"/>
          <w:lang w:val="es-ES_tradnl"/>
        </w:rPr>
        <w:t>Una auditoría implica realizar procedimientos para obtener evidencia acerca de los montos y revelaciones contables. Los procedimientos seleccionados depen</w:t>
      </w:r>
      <w:r>
        <w:rPr>
          <w:rFonts w:ascii="Arial" w:hAnsi="Arial" w:cs="Arial"/>
          <w:spacing w:val="-3"/>
          <w:lang w:val="es-ES_tradnl"/>
        </w:rPr>
        <w:t>den del juicio profesional del A</w:t>
      </w:r>
      <w:r w:rsidRPr="0037198E">
        <w:rPr>
          <w:rFonts w:ascii="Arial" w:hAnsi="Arial" w:cs="Arial"/>
          <w:spacing w:val="-3"/>
          <w:lang w:val="es-ES_tradnl"/>
        </w:rPr>
        <w:t>uditor, incluyendo la evaluación de los riesgos de existencia de errores significativos en los Estados Financieros, ya sea debido a fraude o error. Al efectua</w:t>
      </w:r>
      <w:r>
        <w:rPr>
          <w:rFonts w:ascii="Arial" w:hAnsi="Arial" w:cs="Arial"/>
          <w:spacing w:val="-3"/>
          <w:lang w:val="es-ES_tradnl"/>
        </w:rPr>
        <w:t>r la evaluación de riesgos, el A</w:t>
      </w:r>
      <w:r w:rsidRPr="0037198E">
        <w:rPr>
          <w:rFonts w:ascii="Arial" w:hAnsi="Arial" w:cs="Arial"/>
          <w:spacing w:val="-3"/>
          <w:lang w:val="es-ES_tradnl"/>
        </w:rPr>
        <w:t>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967E07" w:rsidRDefault="00967E07" w:rsidP="00967E07">
      <w:pPr>
        <w:pStyle w:val="Textoindependiente"/>
        <w:keepNext/>
        <w:widowControl w:val="0"/>
        <w:tabs>
          <w:tab w:val="left" w:pos="0"/>
        </w:tabs>
        <w:suppressAutoHyphens w:val="0"/>
        <w:spacing w:line="360" w:lineRule="auto"/>
        <w:jc w:val="both"/>
        <w:rPr>
          <w:rFonts w:ascii="Arial" w:hAnsi="Arial" w:cs="Arial"/>
          <w:spacing w:val="-3"/>
          <w:lang w:val="es-ES_tradnl"/>
        </w:rPr>
      </w:pPr>
      <w:r w:rsidRPr="0037198E">
        <w:rPr>
          <w:rFonts w:ascii="Arial" w:hAnsi="Arial" w:cs="Arial"/>
          <w:spacing w:val="-3"/>
          <w:lang w:val="es-ES_tradnl"/>
        </w:rPr>
        <w:t>Se considera que la evidencia de auditoría obtenida brinda una base suficiente y apropiada para sustentar la opinión.</w:t>
      </w:r>
    </w:p>
    <w:p w:rsidR="003754FE" w:rsidRDefault="003754FE" w:rsidP="00967E07">
      <w:pPr>
        <w:pStyle w:val="Textoindependiente"/>
        <w:keepNext/>
        <w:widowControl w:val="0"/>
        <w:tabs>
          <w:tab w:val="left" w:pos="0"/>
        </w:tabs>
        <w:suppressAutoHyphens w:val="0"/>
        <w:spacing w:line="360" w:lineRule="auto"/>
        <w:jc w:val="both"/>
      </w:pPr>
    </w:p>
    <w:p w:rsidR="003754FE" w:rsidRDefault="003754FE" w:rsidP="00967E07">
      <w:pPr>
        <w:pStyle w:val="Textoindependiente"/>
        <w:keepNext/>
        <w:widowControl w:val="0"/>
        <w:tabs>
          <w:tab w:val="left" w:pos="0"/>
        </w:tabs>
        <w:suppressAutoHyphens w:val="0"/>
        <w:spacing w:line="360" w:lineRule="auto"/>
        <w:jc w:val="both"/>
      </w:pPr>
    </w:p>
    <w:p w:rsidR="003754FE" w:rsidRPr="0037198E" w:rsidRDefault="003754FE" w:rsidP="00967E07">
      <w:pPr>
        <w:pStyle w:val="Textoindependiente"/>
        <w:keepNext/>
        <w:widowControl w:val="0"/>
        <w:tabs>
          <w:tab w:val="left" w:pos="0"/>
        </w:tabs>
        <w:suppressAutoHyphens w:val="0"/>
        <w:spacing w:line="360" w:lineRule="auto"/>
        <w:jc w:val="both"/>
      </w:pPr>
    </w:p>
    <w:p w:rsidR="00967E07" w:rsidRPr="00FF45B4" w:rsidRDefault="003754FE" w:rsidP="00967E07">
      <w:pPr>
        <w:keepNext/>
        <w:widowControl w:val="0"/>
        <w:spacing w:line="360" w:lineRule="auto"/>
        <w:jc w:val="both"/>
        <w:rPr>
          <w:b/>
          <w:bCs/>
          <w:spacing w:val="-3"/>
          <w:lang w:val="es-MX"/>
        </w:rPr>
      </w:pPr>
      <w:r>
        <w:rPr>
          <w:b/>
          <w:bCs/>
          <w:spacing w:val="-3"/>
          <w:lang w:val="es-MX"/>
        </w:rPr>
        <w:t>Opinión</w:t>
      </w:r>
    </w:p>
    <w:p w:rsidR="00967E07" w:rsidRPr="00CB1322" w:rsidRDefault="00967E07" w:rsidP="00967E07">
      <w:pPr>
        <w:keepNext/>
        <w:widowControl w:val="0"/>
        <w:spacing w:after="260" w:line="360" w:lineRule="auto"/>
        <w:jc w:val="both"/>
      </w:pPr>
      <w:r w:rsidRPr="00FF45B4">
        <w:t xml:space="preserve">En opinión del Tribunal de Cuentas, </w:t>
      </w:r>
      <w:r w:rsidRPr="002A44CC">
        <w:t xml:space="preserve">los Estados Financieros referidos precedentemente presentan razonablemente, en todos sus aspectos importantes, </w:t>
      </w:r>
      <w:r>
        <w:t>la situación patrimonial del BPS</w:t>
      </w:r>
      <w:r w:rsidRPr="002A44CC">
        <w:rPr>
          <w:i/>
        </w:rPr>
        <w:t xml:space="preserve"> </w:t>
      </w:r>
      <w:r>
        <w:t>al 31/12/2015</w:t>
      </w:r>
      <w:r w:rsidRPr="002A44CC">
        <w:t>, los resultados de sus operaciones y los flujos d</w:t>
      </w:r>
      <w:r>
        <w:t>e efectivo correspondientes al E</w:t>
      </w:r>
      <w:r w:rsidRPr="002A44CC">
        <w:t>jercicio anual</w:t>
      </w:r>
      <w:r w:rsidRPr="00CB1322">
        <w:t xml:space="preserve"> </w:t>
      </w:r>
      <w:r w:rsidRPr="002A44CC">
        <w:t>terminado en esa fecha, de acuerdo con las normas contables</w:t>
      </w:r>
      <w:r>
        <w:t xml:space="preserve"> adecuadas y </w:t>
      </w:r>
      <w:r w:rsidRPr="00CB1322">
        <w:t xml:space="preserve">con lo establecido </w:t>
      </w:r>
      <w:r>
        <w:t>en las Ordenanzas Nos.</w:t>
      </w:r>
      <w:r w:rsidRPr="00CB1322">
        <w:t xml:space="preserve"> 81 y 82 de este Tribunal.</w:t>
      </w:r>
    </w:p>
    <w:p w:rsidR="00967E07" w:rsidRPr="00AC49E5" w:rsidRDefault="00967E07" w:rsidP="00967E07">
      <w:pPr>
        <w:pStyle w:val="Textoindependiente2"/>
        <w:keepNext/>
        <w:suppressAutoHyphens w:val="0"/>
        <w:rPr>
          <w:sz w:val="24"/>
        </w:rPr>
      </w:pPr>
      <w:r w:rsidRPr="00CB1322">
        <w:rPr>
          <w:sz w:val="24"/>
        </w:rPr>
        <w:t xml:space="preserve">Con relación a la normativa vigente, en el </w:t>
      </w:r>
      <w:r>
        <w:rPr>
          <w:sz w:val="24"/>
        </w:rPr>
        <w:t>curso de la auditoría realizada</w:t>
      </w:r>
      <w:r w:rsidRPr="00CB1322">
        <w:rPr>
          <w:sz w:val="24"/>
        </w:rPr>
        <w:t xml:space="preserve"> no se </w:t>
      </w:r>
      <w:r>
        <w:rPr>
          <w:sz w:val="24"/>
        </w:rPr>
        <w:t>han constatado incumplimientos.</w:t>
      </w:r>
    </w:p>
    <w:p w:rsidR="00967E07" w:rsidRDefault="00967E07" w:rsidP="00967E07">
      <w:pPr>
        <w:keepNext/>
        <w:widowControl w:val="0"/>
        <w:tabs>
          <w:tab w:val="left" w:pos="900"/>
        </w:tabs>
        <w:spacing w:line="360" w:lineRule="auto"/>
        <w:jc w:val="right"/>
      </w:pPr>
      <w:r w:rsidRPr="00CB1322">
        <w:t>Montevideo,</w:t>
      </w:r>
      <w:r>
        <w:t xml:space="preserve"> 09 de setiembre de 2016</w:t>
      </w:r>
    </w:p>
    <w:p w:rsidR="000A6EAA" w:rsidRDefault="000A6EAA" w:rsidP="00967E07">
      <w:pPr>
        <w:keepNext/>
        <w:widowControl w:val="0"/>
        <w:tabs>
          <w:tab w:val="left" w:pos="900"/>
        </w:tabs>
        <w:spacing w:line="360" w:lineRule="auto"/>
        <w:jc w:val="right"/>
      </w:pPr>
    </w:p>
    <w:p w:rsidR="000A6EAA" w:rsidRDefault="000A6EAA" w:rsidP="00967E07">
      <w:pPr>
        <w:keepNext/>
        <w:widowControl w:val="0"/>
        <w:tabs>
          <w:tab w:val="left" w:pos="900"/>
        </w:tabs>
        <w:spacing w:line="360" w:lineRule="auto"/>
        <w:jc w:val="right"/>
      </w:pPr>
    </w:p>
    <w:p w:rsidR="00967E07" w:rsidRDefault="00967E07" w:rsidP="00967E07">
      <w:pPr>
        <w:keepNext/>
        <w:widowControl w:val="0"/>
        <w:tabs>
          <w:tab w:val="left" w:pos="900"/>
        </w:tabs>
        <w:spacing w:line="360" w:lineRule="auto"/>
        <w:jc w:val="right"/>
      </w:pPr>
    </w:p>
    <w:p w:rsidR="00967E07" w:rsidRPr="00280F3F" w:rsidRDefault="00967E07" w:rsidP="00967E07">
      <w:pPr>
        <w:pStyle w:val="Ttulo4"/>
        <w:widowControl w:val="0"/>
        <w:numPr>
          <w:ilvl w:val="0"/>
          <w:numId w:val="0"/>
        </w:numPr>
        <w:tabs>
          <w:tab w:val="left" w:pos="0"/>
        </w:tabs>
        <w:suppressAutoHyphens w:val="0"/>
      </w:pPr>
      <w:r w:rsidRPr="00280F3F">
        <w:rPr>
          <w:bCs w:val="0"/>
        </w:rPr>
        <w:t>INFORME A LA ADMINISTRACIÓN</w:t>
      </w:r>
    </w:p>
    <w:p w:rsidR="00967E07" w:rsidRPr="0076518A" w:rsidRDefault="00967E07" w:rsidP="00967E07">
      <w:pPr>
        <w:keepNext/>
        <w:widowControl w:val="0"/>
        <w:spacing w:line="360" w:lineRule="auto"/>
        <w:rPr>
          <w:bCs/>
          <w:highlight w:val="yellow"/>
        </w:rPr>
      </w:pPr>
    </w:p>
    <w:p w:rsidR="00967E07" w:rsidRPr="00F00968" w:rsidRDefault="00967E07" w:rsidP="00967E07">
      <w:pPr>
        <w:keepNext/>
        <w:widowControl w:val="0"/>
        <w:tabs>
          <w:tab w:val="left" w:pos="-720"/>
        </w:tabs>
        <w:spacing w:line="360" w:lineRule="auto"/>
        <w:jc w:val="both"/>
        <w:rPr>
          <w:spacing w:val="-3"/>
          <w:lang w:val="es-ES_tradnl"/>
        </w:rPr>
      </w:pPr>
      <w:r w:rsidRPr="00F00968">
        <w:rPr>
          <w:spacing w:val="-3"/>
          <w:lang w:val="es-ES_tradnl"/>
        </w:rPr>
        <w:t xml:space="preserve">El Tribunal de Cuentas ha examinado los Estados Financieros del Banco de </w:t>
      </w:r>
      <w:r>
        <w:rPr>
          <w:spacing w:val="-3"/>
          <w:lang w:val="es-ES_tradnl"/>
        </w:rPr>
        <w:t>Previsión Social  (BPS) correspondientes al E</w:t>
      </w:r>
      <w:r w:rsidRPr="00F00968">
        <w:rPr>
          <w:spacing w:val="-3"/>
          <w:lang w:val="es-ES_tradnl"/>
        </w:rPr>
        <w:t>j</w:t>
      </w:r>
      <w:r>
        <w:rPr>
          <w:spacing w:val="-3"/>
          <w:lang w:val="es-ES_tradnl"/>
        </w:rPr>
        <w:t>ercicio finalizado al 31/12/2015</w:t>
      </w:r>
      <w:r w:rsidRPr="00F00968">
        <w:rPr>
          <w:spacing w:val="-3"/>
          <w:lang w:val="es-ES_tradnl"/>
        </w:rPr>
        <w:t xml:space="preserve">  y ha emitido su Dictamen.</w:t>
      </w:r>
    </w:p>
    <w:p w:rsidR="00967E07" w:rsidRPr="00FD50E3" w:rsidRDefault="00967E07" w:rsidP="00967E07">
      <w:pPr>
        <w:keepNext/>
        <w:widowControl w:val="0"/>
        <w:tabs>
          <w:tab w:val="left" w:pos="0"/>
        </w:tabs>
        <w:spacing w:line="360" w:lineRule="auto"/>
        <w:jc w:val="both"/>
      </w:pPr>
      <w:r w:rsidRPr="00FD50E3">
        <w:t xml:space="preserve">En este Capítulo del Informe se agregan consideraciones vinculadas a la presentación de dichos estados, a la evaluación del sistema de control interno del Organismo y al análisis del cumplimiento de las recomendaciones realizadas </w:t>
      </w:r>
      <w:r>
        <w:t>en el Informe de Auditoría del E</w:t>
      </w:r>
      <w:r w:rsidRPr="00FD50E3">
        <w:t>jercicio anterior.</w:t>
      </w:r>
    </w:p>
    <w:p w:rsidR="00967E07" w:rsidRPr="007C40DE" w:rsidRDefault="00967E07" w:rsidP="00967E07">
      <w:pPr>
        <w:pStyle w:val="Textoindependiente"/>
        <w:keepNext/>
        <w:widowControl w:val="0"/>
        <w:tabs>
          <w:tab w:val="left" w:pos="0"/>
        </w:tabs>
        <w:suppressAutoHyphens w:val="0"/>
        <w:spacing w:after="0" w:line="360" w:lineRule="auto"/>
        <w:jc w:val="both"/>
        <w:rPr>
          <w:rFonts w:ascii="Arial" w:hAnsi="Arial" w:cs="Arial"/>
          <w:highlight w:val="yellow"/>
        </w:rPr>
      </w:pPr>
    </w:p>
    <w:p w:rsidR="00967E07" w:rsidRPr="00DB7EBE" w:rsidRDefault="00967E07" w:rsidP="00967E07">
      <w:pPr>
        <w:pStyle w:val="Textoindependiente"/>
        <w:keepNext/>
        <w:widowControl w:val="0"/>
        <w:numPr>
          <w:ilvl w:val="0"/>
          <w:numId w:val="2"/>
        </w:numPr>
        <w:tabs>
          <w:tab w:val="left" w:pos="0"/>
        </w:tabs>
        <w:suppressAutoHyphens w:val="0"/>
        <w:spacing w:after="0" w:line="360" w:lineRule="auto"/>
        <w:ind w:left="0" w:firstLine="0"/>
        <w:jc w:val="both"/>
        <w:rPr>
          <w:rFonts w:cs="Arial"/>
        </w:rPr>
      </w:pPr>
      <w:r w:rsidRPr="00DB7EBE">
        <w:rPr>
          <w:rFonts w:ascii="Arial" w:hAnsi="Arial" w:cs="Arial"/>
          <w:b/>
        </w:rPr>
        <w:t>Presentación de Estados Financieros</w:t>
      </w:r>
    </w:p>
    <w:p w:rsidR="00967E07" w:rsidRPr="007832D1" w:rsidRDefault="00967E07" w:rsidP="00967E07">
      <w:pPr>
        <w:keepNext/>
        <w:widowControl w:val="0"/>
        <w:spacing w:line="360" w:lineRule="auto"/>
        <w:jc w:val="both"/>
      </w:pPr>
      <w:r w:rsidRPr="002324EB">
        <w:t xml:space="preserve">El BPS remitió </w:t>
      </w:r>
      <w:r w:rsidRPr="00FD50E3">
        <w:t>a este Tribunal con fechas 08/04/2016 y 22/04</w:t>
      </w:r>
      <w:r w:rsidRPr="002324EB">
        <w:t xml:space="preserve">/2016 el Estado de Situación Patrimonial al 31/12/2015, el Estado de Resultados y el Estado de Flujo de Efectivo, </w:t>
      </w:r>
      <w:r>
        <w:t>todos en forma comparativa con el E</w:t>
      </w:r>
      <w:r w:rsidRPr="002324EB">
        <w:t xml:space="preserve">jercicio anterior, el Estado de Evolución del Patrimonio, el Cuadro de Bienes de Uso y Amortizaciones por el Ejercicio </w:t>
      </w:r>
      <w:r w:rsidRPr="007832D1">
        <w:t>finalizado el 31/12/2015, las Notas a los Estados Financieros, la Memoria Explicativa requerida por el Numeral 15 de la Ordenanza Nº 81 y Anexos de acuerdo con la O</w:t>
      </w:r>
      <w:r>
        <w:t>rdenanza N° 82 de este Tribunal</w:t>
      </w:r>
      <w:r w:rsidRPr="007832D1">
        <w:t>. Los</w:t>
      </w:r>
      <w:r>
        <w:t xml:space="preserve"> </w:t>
      </w:r>
      <w:r w:rsidRPr="007832D1">
        <w:t xml:space="preserve">Estados </w:t>
      </w:r>
      <w:r>
        <w:t xml:space="preserve"> </w:t>
      </w:r>
      <w:r w:rsidRPr="007832D1">
        <w:t>fueron</w:t>
      </w:r>
      <w:r>
        <w:t xml:space="preserve"> </w:t>
      </w:r>
      <w:r w:rsidRPr="007832D1">
        <w:t>aprobados por</w:t>
      </w:r>
      <w:r>
        <w:t xml:space="preserve"> </w:t>
      </w:r>
      <w:r w:rsidRPr="007832D1">
        <w:t>Resolución</w:t>
      </w:r>
      <w:r>
        <w:t xml:space="preserve"> </w:t>
      </w:r>
      <w:r w:rsidRPr="007832D1">
        <w:t>de</w:t>
      </w:r>
      <w:r>
        <w:t xml:space="preserve"> </w:t>
      </w:r>
      <w:r w:rsidRPr="007832D1">
        <w:t xml:space="preserve">Directorio </w:t>
      </w:r>
      <w:r w:rsidR="000A6EAA">
        <w:t xml:space="preserve">        </w:t>
      </w:r>
      <w:r w:rsidRPr="007832D1">
        <w:t xml:space="preserve">N°8-1/2016 de </w:t>
      </w:r>
      <w:r w:rsidRPr="007101AF">
        <w:t>fecha 06/04/2016.</w:t>
      </w:r>
    </w:p>
    <w:p w:rsidR="00967E07" w:rsidRDefault="00967E07" w:rsidP="00967E07">
      <w:pPr>
        <w:pStyle w:val="Sangradetextonormal"/>
        <w:keepNext/>
        <w:widowControl w:val="0"/>
        <w:tabs>
          <w:tab w:val="clear" w:pos="2552"/>
        </w:tabs>
        <w:suppressAutoHyphens w:val="0"/>
        <w:rPr>
          <w:szCs w:val="24"/>
        </w:rPr>
      </w:pPr>
      <w:r w:rsidRPr="007832D1">
        <w:rPr>
          <w:szCs w:val="24"/>
        </w:rPr>
        <w:t>Según se establece en la Nota 2.1, los mismos fueron preparados de acuerdo con normas contables adecuadas y en la form</w:t>
      </w:r>
      <w:r>
        <w:rPr>
          <w:szCs w:val="24"/>
        </w:rPr>
        <w:t xml:space="preserve">a prevista en las Ordenanzas Nos. </w:t>
      </w:r>
      <w:r w:rsidRPr="007832D1">
        <w:rPr>
          <w:szCs w:val="24"/>
        </w:rPr>
        <w:t>81 y 82 del Tribunal de Cuentas.</w:t>
      </w:r>
    </w:p>
    <w:p w:rsidR="00967E07" w:rsidRDefault="00967E07" w:rsidP="00967E07">
      <w:pPr>
        <w:keepNext/>
        <w:widowControl w:val="0"/>
        <w:spacing w:line="360" w:lineRule="auto"/>
        <w:jc w:val="both"/>
      </w:pPr>
      <w:r w:rsidRPr="00E8058F">
        <w:t xml:space="preserve">Con </w:t>
      </w:r>
      <w:r w:rsidRPr="00540AAA">
        <w:t>respecto a las Transferencias Financieras del Gobierno Central expuestas en la Memoria Explicativa y a</w:t>
      </w:r>
      <w:r w:rsidRPr="00E8058F">
        <w:t xml:space="preserve"> la Nota 17 a los Estados Contables, se debió detallar como ajuste por cambi</w:t>
      </w:r>
      <w:r>
        <w:t>o de criterio 2015, de acuerdo con</w:t>
      </w:r>
      <w:r w:rsidRPr="00E8058F">
        <w:t xml:space="preserve"> la estimación final realizada por el Organismo, la cual fue $ 3.713:678.278</w:t>
      </w:r>
      <w:r>
        <w:t>.</w:t>
      </w:r>
    </w:p>
    <w:p w:rsidR="00967E07" w:rsidRDefault="00967E07" w:rsidP="00967E07">
      <w:pPr>
        <w:keepNext/>
        <w:widowControl w:val="0"/>
        <w:spacing w:line="360" w:lineRule="auto"/>
        <w:jc w:val="both"/>
      </w:pPr>
    </w:p>
    <w:p w:rsidR="00967E07" w:rsidRDefault="00967E07" w:rsidP="00967E07">
      <w:pPr>
        <w:pStyle w:val="Textoindependiente"/>
        <w:keepNext/>
        <w:widowControl w:val="0"/>
        <w:numPr>
          <w:ilvl w:val="0"/>
          <w:numId w:val="2"/>
        </w:numPr>
        <w:tabs>
          <w:tab w:val="clear" w:pos="720"/>
          <w:tab w:val="left" w:pos="0"/>
          <w:tab w:val="num" w:pos="567"/>
        </w:tabs>
        <w:suppressAutoHyphens w:val="0"/>
        <w:spacing w:after="0" w:line="360" w:lineRule="auto"/>
        <w:ind w:hanging="720"/>
        <w:jc w:val="both"/>
        <w:rPr>
          <w:rFonts w:ascii="Arial" w:hAnsi="Arial" w:cs="Arial"/>
          <w:b/>
        </w:rPr>
      </w:pPr>
      <w:r>
        <w:rPr>
          <w:rFonts w:ascii="Arial" w:hAnsi="Arial" w:cs="Arial"/>
          <w:b/>
        </w:rPr>
        <w:t>Evaluación del Sistema de Control Interno</w:t>
      </w:r>
    </w:p>
    <w:p w:rsidR="00967E07" w:rsidRDefault="00967E07" w:rsidP="00967E07">
      <w:pPr>
        <w:pStyle w:val="Sangra2detindependiente"/>
        <w:keepNext/>
        <w:widowControl w:val="0"/>
        <w:suppressAutoHyphens w:val="0"/>
        <w:ind w:firstLine="0"/>
      </w:pPr>
      <w:r w:rsidRPr="00423685">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practicada.</w:t>
      </w:r>
    </w:p>
    <w:p w:rsidR="00967E07" w:rsidRPr="00E957BC" w:rsidRDefault="00967E07" w:rsidP="00967E07">
      <w:pPr>
        <w:pStyle w:val="Sangra2detindependiente"/>
        <w:keepNext/>
        <w:widowControl w:val="0"/>
        <w:suppressAutoHyphens w:val="0"/>
        <w:ind w:firstLine="0"/>
        <w:rPr>
          <w:highlight w:val="yellow"/>
        </w:rPr>
      </w:pPr>
      <w:r w:rsidRPr="005E2CEA">
        <w:t xml:space="preserve">Si bien el Organismo adoptó medidas para superar las deficiencias encontradas </w:t>
      </w:r>
      <w:r w:rsidRPr="0045236F">
        <w:t xml:space="preserve">en ejercicios anteriores, se señalan </w:t>
      </w:r>
      <w:r w:rsidR="003754FE">
        <w:t>las siguientes debilidades:</w:t>
      </w:r>
    </w:p>
    <w:p w:rsidR="00967E07" w:rsidRPr="00D82E95" w:rsidRDefault="00967E07" w:rsidP="00967E07">
      <w:pPr>
        <w:pStyle w:val="Sangra2detindependiente"/>
        <w:keepNext/>
        <w:widowControl w:val="0"/>
        <w:suppressAutoHyphens w:val="0"/>
        <w:ind w:firstLine="0"/>
        <w:rPr>
          <w:b/>
          <w:lang w:eastAsia="es-UY"/>
        </w:rPr>
      </w:pPr>
      <w:r w:rsidRPr="00D82E95">
        <w:rPr>
          <w:b/>
        </w:rPr>
        <w:t>2.1</w:t>
      </w:r>
      <w:r w:rsidRPr="00D82E95">
        <w:t xml:space="preserve"> </w:t>
      </w:r>
      <w:r w:rsidRPr="00D82E95">
        <w:rPr>
          <w:b/>
          <w:lang w:eastAsia="es-UY"/>
        </w:rPr>
        <w:t>Créditos y Docum</w:t>
      </w:r>
      <w:r w:rsidR="003754FE">
        <w:rPr>
          <w:b/>
          <w:lang w:eastAsia="es-UY"/>
        </w:rPr>
        <w:t>entos a cobrar</w:t>
      </w:r>
    </w:p>
    <w:p w:rsidR="00967E07" w:rsidRPr="00D82E95" w:rsidRDefault="00967E07" w:rsidP="00967E07">
      <w:pPr>
        <w:keepNext/>
        <w:widowControl w:val="0"/>
        <w:spacing w:line="360" w:lineRule="auto"/>
        <w:jc w:val="both"/>
      </w:pPr>
      <w:r w:rsidRPr="00D82E95">
        <w:t xml:space="preserve">Si bien el sistema de informático de la Asesoría Tributaria y Recaudación (ATYR) y el sistema informático contable se relacionan a través de una </w:t>
      </w:r>
      <w:proofErr w:type="spellStart"/>
      <w:r w:rsidRPr="00D82E95">
        <w:t>interfase</w:t>
      </w:r>
      <w:proofErr w:type="spellEnd"/>
      <w:r w:rsidRPr="00D82E95">
        <w:t>, al cierre del ejercicio la transferencia de datos a efectos de registrar los ajustes de cie</w:t>
      </w:r>
      <w:r w:rsidR="003754FE">
        <w:t>rre se realiza de forma manual.</w:t>
      </w:r>
    </w:p>
    <w:p w:rsidR="00967E07" w:rsidRDefault="00967E07" w:rsidP="00967E07">
      <w:pPr>
        <w:keepNext/>
        <w:widowControl w:val="0"/>
        <w:spacing w:line="360" w:lineRule="auto"/>
        <w:jc w:val="both"/>
      </w:pPr>
      <w:r w:rsidRPr="007101AF">
        <w:t>Al 31/12/2015 el saldo</w:t>
      </w:r>
      <w:r w:rsidRPr="00D82E95">
        <w:t xml:space="preserve"> de los rubros correspondientes a Créditos y Documentos a Cobrar a Empresas y </w:t>
      </w:r>
      <w:r w:rsidRPr="00540AAA">
        <w:t>Organismos Públicos ascienden a $ 11.860:755.750 en el corto y largo plazo, netos</w:t>
      </w:r>
      <w:r w:rsidRPr="00D82E95">
        <w:t xml:space="preserve"> de previsiones. Si bien los mismos se consideran</w:t>
      </w:r>
      <w:r w:rsidRPr="00E957BC">
        <w:t xml:space="preserve"> razonables, </w:t>
      </w:r>
      <w:r>
        <w:t>n</w:t>
      </w:r>
      <w:r w:rsidRPr="007D60CA">
        <w:t>o se verifican controles a efectos que la Gerencia de Finanzas y la Dirección Técnica de Asesoría Tributaria y Recaudación (ATYR) aseguren que todos los créditos y documentos a cobrar de empresas y Organismos Públicos correspondientes al mes de cierre de ejercicio sean consideradas en la elaboración de los Estados Financieros.</w:t>
      </w:r>
    </w:p>
    <w:p w:rsidR="00967E07" w:rsidRDefault="00967E07" w:rsidP="00967E07">
      <w:pPr>
        <w:keepNext/>
        <w:widowControl w:val="0"/>
        <w:spacing w:line="360" w:lineRule="auto"/>
        <w:jc w:val="both"/>
        <w:rPr>
          <w:b/>
        </w:rPr>
      </w:pPr>
      <w:r>
        <w:rPr>
          <w:b/>
        </w:rPr>
        <w:t>2.2 Deudores por Avalúos</w:t>
      </w:r>
    </w:p>
    <w:p w:rsidR="00967E07" w:rsidRDefault="00967E07" w:rsidP="00967E07">
      <w:pPr>
        <w:keepNext/>
        <w:widowControl w:val="0"/>
        <w:spacing w:line="360" w:lineRule="auto"/>
        <w:jc w:val="both"/>
      </w:pPr>
      <w:r w:rsidRPr="008C1B92">
        <w:t xml:space="preserve">No se contabilizaron los recargos correspondientes a los deudores por avalúos devengados al 31/12/2015, que </w:t>
      </w:r>
      <w:r w:rsidRPr="00C45F78">
        <w:t>ascienden aproximadamente a $ 98:</w:t>
      </w:r>
      <w:r w:rsidRPr="008C1B92">
        <w:t>573.0</w:t>
      </w:r>
      <w:r w:rsidR="00C8108F">
        <w:t>00 neto de previsiones.</w:t>
      </w:r>
    </w:p>
    <w:p w:rsidR="00967E07" w:rsidRPr="001B563E" w:rsidRDefault="00967E07" w:rsidP="00967E07">
      <w:pPr>
        <w:keepNext/>
        <w:widowControl w:val="0"/>
        <w:spacing w:line="360" w:lineRule="auto"/>
        <w:jc w:val="both"/>
      </w:pPr>
      <w:r>
        <w:rPr>
          <w:b/>
        </w:rPr>
        <w:t>2.3</w:t>
      </w:r>
      <w:r w:rsidRPr="001B563E">
        <w:rPr>
          <w:b/>
        </w:rPr>
        <w:t xml:space="preserve">  </w:t>
      </w:r>
      <w:r w:rsidRPr="001B563E">
        <w:rPr>
          <w:b/>
          <w:lang w:val="es-UY" w:eastAsia="es-UY"/>
        </w:rPr>
        <w:t>Previsión para Litigios</w:t>
      </w:r>
    </w:p>
    <w:p w:rsidR="00967E07" w:rsidRDefault="00967E07" w:rsidP="00967E07">
      <w:pPr>
        <w:pStyle w:val="Sangradetextonormal1"/>
        <w:keepNext/>
        <w:widowControl w:val="0"/>
        <w:tabs>
          <w:tab w:val="clear" w:pos="2552"/>
          <w:tab w:val="left" w:pos="0"/>
        </w:tabs>
        <w:rPr>
          <w:szCs w:val="28"/>
        </w:rPr>
      </w:pPr>
      <w:r w:rsidRPr="001B563E">
        <w:t>De acuerdo a lo señalado en la Nota 16</w:t>
      </w:r>
      <w:r>
        <w:t>,</w:t>
      </w:r>
      <w:r w:rsidRPr="001B563E">
        <w:t xml:space="preserve"> el criterio utilizado para el cálculo de esta previsión es el promedio ponderado del total liquidado por sentencias judiciales de los últimos </w:t>
      </w:r>
      <w:r w:rsidRPr="00457158">
        <w:t xml:space="preserve">tres ejercicios. </w:t>
      </w:r>
      <w:r w:rsidRPr="007F4FB4">
        <w:t xml:space="preserve">Si bien las asesorías jurídicas del Organismo </w:t>
      </w:r>
      <w:r w:rsidRPr="007E4E55">
        <w:t>elabora</w:t>
      </w:r>
      <w:r>
        <w:t>n</w:t>
      </w:r>
      <w:r w:rsidRPr="007E4E55">
        <w:t xml:space="preserve"> informe</w:t>
      </w:r>
      <w:r>
        <w:t>s</w:t>
      </w:r>
      <w:r w:rsidRPr="007E4E55">
        <w:t xml:space="preserve"> sobre la situación de determinados juicios, </w:t>
      </w:r>
      <w:r>
        <w:t xml:space="preserve">los mismos no </w:t>
      </w:r>
      <w:r w:rsidRPr="001177CD">
        <w:t>son considerados a efectos de estimar una previsión, ya que éstos no informan los montos y/o probabilidades para la totalidad de los juicios. En el</w:t>
      </w:r>
      <w:r w:rsidRPr="00457158">
        <w:t xml:space="preserve"> ejercicio auditado, si bien se conformó un grupo de trabajo con funcionarios de distintas gerencias, a efectos de prever el monto estimado que debería abonar el Organismo por dictámenes desfavorables, aun no se </w:t>
      </w:r>
      <w:r w:rsidRPr="00457158">
        <w:rPr>
          <w:szCs w:val="28"/>
        </w:rPr>
        <w:t>ha podido</w:t>
      </w:r>
      <w:r w:rsidRPr="00562C50">
        <w:rPr>
          <w:szCs w:val="28"/>
        </w:rPr>
        <w:t xml:space="preserve"> generar la información requerida para poder aplicar otro criterio para el cálculo de la previsión.</w:t>
      </w:r>
    </w:p>
    <w:p w:rsidR="00967E07" w:rsidRPr="00680AC2" w:rsidRDefault="00967E07" w:rsidP="00967E07">
      <w:pPr>
        <w:pStyle w:val="Sangradetextonormal1"/>
        <w:keepNext/>
        <w:widowControl w:val="0"/>
        <w:tabs>
          <w:tab w:val="clear" w:pos="2552"/>
          <w:tab w:val="left" w:pos="0"/>
        </w:tabs>
      </w:pPr>
    </w:p>
    <w:p w:rsidR="00967E07" w:rsidRPr="00DB7EBE" w:rsidRDefault="00C8108F" w:rsidP="00967E07">
      <w:pPr>
        <w:keepNext/>
        <w:widowControl w:val="0"/>
        <w:numPr>
          <w:ilvl w:val="0"/>
          <w:numId w:val="2"/>
        </w:numPr>
        <w:spacing w:line="360" w:lineRule="auto"/>
        <w:ind w:hanging="720"/>
        <w:jc w:val="both"/>
      </w:pPr>
      <w:r>
        <w:rPr>
          <w:b/>
          <w:bCs/>
          <w:spacing w:val="-3"/>
        </w:rPr>
        <w:t>Recomendaciones</w:t>
      </w:r>
    </w:p>
    <w:p w:rsidR="00967E07" w:rsidRDefault="00967E07" w:rsidP="00967E07">
      <w:pPr>
        <w:pStyle w:val="Sangradetextonormal"/>
        <w:keepNext/>
        <w:widowControl w:val="0"/>
        <w:suppressAutoHyphens w:val="0"/>
      </w:pPr>
      <w:r w:rsidRPr="005C4EFA">
        <w:t>Efectuado el seguimiento de las recomendaciones formuladas en los informes de auditoría de ejercicios anteriores se concluye lo siguiente:</w:t>
      </w:r>
    </w:p>
    <w:p w:rsidR="00DF2B73" w:rsidRDefault="00DF2B73" w:rsidP="00967E07">
      <w:pPr>
        <w:pStyle w:val="Sangradetextonormal"/>
        <w:keepNext/>
        <w:widowControl w:val="0"/>
        <w:suppressAutoHyphens w:val="0"/>
      </w:pPr>
    </w:p>
    <w:p w:rsidR="00967E07" w:rsidRPr="00DB7EBE" w:rsidRDefault="00967E07" w:rsidP="00967E07">
      <w:pPr>
        <w:pStyle w:val="Sangra2detindependiente"/>
        <w:keepNext/>
        <w:widowControl w:val="0"/>
        <w:numPr>
          <w:ilvl w:val="1"/>
          <w:numId w:val="3"/>
        </w:numPr>
        <w:suppressAutoHyphens w:val="0"/>
        <w:rPr>
          <w:b/>
          <w:szCs w:val="20"/>
          <w:lang w:val="es-MX"/>
        </w:rPr>
      </w:pPr>
      <w:r w:rsidRPr="00DB7EBE">
        <w:rPr>
          <w:b/>
          <w:szCs w:val="20"/>
          <w:lang w:val="es-MX"/>
        </w:rPr>
        <w:t>Recomendaciones cumplidas</w:t>
      </w:r>
    </w:p>
    <w:p w:rsidR="00967E07" w:rsidRPr="00BE3F88" w:rsidRDefault="00967E07" w:rsidP="00967E07">
      <w:pPr>
        <w:keepNext/>
        <w:widowControl w:val="0"/>
        <w:spacing w:line="360" w:lineRule="auto"/>
        <w:jc w:val="both"/>
        <w:rPr>
          <w:lang w:val="es-UY" w:eastAsia="es-UY"/>
        </w:rPr>
      </w:pPr>
      <w:r w:rsidRPr="007E4E55">
        <w:rPr>
          <w:b/>
          <w:lang w:val="es-UY" w:eastAsia="es-UY"/>
        </w:rPr>
        <w:t>3.1.1</w:t>
      </w:r>
      <w:r w:rsidRPr="007E4E55">
        <w:rPr>
          <w:lang w:val="es-UY" w:eastAsia="es-UY"/>
        </w:rPr>
        <w:t xml:space="preserve"> Los  reportes contables emitidos por el sistema informático coinciden con los Estados de Situación Patrimonial y de Resultados remitidos al Tribunal de Cuentas.</w:t>
      </w:r>
    </w:p>
    <w:p w:rsidR="00967E07" w:rsidRPr="00BE3F88" w:rsidRDefault="00967E07" w:rsidP="00967E07">
      <w:pPr>
        <w:keepNext/>
        <w:widowControl w:val="0"/>
        <w:spacing w:line="360" w:lineRule="auto"/>
        <w:jc w:val="both"/>
        <w:rPr>
          <w:lang w:val="es-UY" w:eastAsia="es-UY"/>
        </w:rPr>
      </w:pPr>
      <w:r>
        <w:rPr>
          <w:b/>
          <w:lang w:val="es-UY" w:eastAsia="es-UY"/>
        </w:rPr>
        <w:t>3.1.2</w:t>
      </w:r>
      <w:r>
        <w:rPr>
          <w:lang w:val="es-UY" w:eastAsia="es-UY"/>
        </w:rPr>
        <w:t xml:space="preserve"> </w:t>
      </w:r>
      <w:r w:rsidRPr="008F404E">
        <w:rPr>
          <w:lang w:val="es-UY" w:eastAsia="es-UY"/>
        </w:rPr>
        <w:t>Los estados bancarios fueron conciliados periódicamente realizando los ajustes correspondientes.</w:t>
      </w:r>
    </w:p>
    <w:p w:rsidR="00967E07" w:rsidRPr="001A00CC" w:rsidRDefault="00967E07" w:rsidP="00967E07">
      <w:pPr>
        <w:keepNext/>
        <w:widowControl w:val="0"/>
        <w:spacing w:line="360" w:lineRule="auto"/>
        <w:jc w:val="both"/>
        <w:rPr>
          <w:lang w:val="es-UY" w:eastAsia="es-UY"/>
        </w:rPr>
      </w:pPr>
      <w:r w:rsidRPr="001A00CC">
        <w:rPr>
          <w:b/>
          <w:lang w:val="es-UY" w:eastAsia="es-UY"/>
        </w:rPr>
        <w:t>3.1.3</w:t>
      </w:r>
      <w:r w:rsidRPr="001A00CC">
        <w:rPr>
          <w:lang w:val="es-UY" w:eastAsia="es-UY"/>
        </w:rPr>
        <w:t xml:space="preserve"> Se realizó el ajuste correspondiente de</w:t>
      </w:r>
      <w:r w:rsidR="00C8108F">
        <w:rPr>
          <w:lang w:val="es-UY" w:eastAsia="es-UY"/>
        </w:rPr>
        <w:t>l saldo de una cuenta bancaria.</w:t>
      </w:r>
    </w:p>
    <w:p w:rsidR="00967E07" w:rsidRPr="001A00CC" w:rsidRDefault="00967E07" w:rsidP="00967E07">
      <w:pPr>
        <w:keepNext/>
        <w:widowControl w:val="0"/>
        <w:spacing w:line="360" w:lineRule="auto"/>
        <w:jc w:val="both"/>
        <w:rPr>
          <w:lang w:val="es-UY" w:eastAsia="es-UY"/>
        </w:rPr>
      </w:pPr>
      <w:r w:rsidRPr="001A00CC">
        <w:rPr>
          <w:b/>
          <w:lang w:val="es-UY" w:eastAsia="es-UY"/>
        </w:rPr>
        <w:t>3.1.4</w:t>
      </w:r>
      <w:r w:rsidRPr="001A00CC">
        <w:rPr>
          <w:lang w:val="es-UY" w:eastAsia="es-UY"/>
        </w:rPr>
        <w:t xml:space="preserve"> Las conciliaciones bancarias son firmadas por quienes las realizan y por las personas que las revisan.</w:t>
      </w:r>
    </w:p>
    <w:p w:rsidR="00967E07" w:rsidRPr="001A00CC" w:rsidRDefault="00967E07" w:rsidP="00967E07">
      <w:pPr>
        <w:keepNext/>
        <w:widowControl w:val="0"/>
        <w:spacing w:line="360" w:lineRule="auto"/>
        <w:jc w:val="both"/>
        <w:rPr>
          <w:lang w:val="es-UY" w:eastAsia="es-UY"/>
        </w:rPr>
      </w:pPr>
      <w:r w:rsidRPr="001A00CC">
        <w:rPr>
          <w:b/>
          <w:lang w:val="es-UY" w:eastAsia="es-UY"/>
        </w:rPr>
        <w:t>3.1.5</w:t>
      </w:r>
      <w:r w:rsidRPr="001A00CC">
        <w:rPr>
          <w:lang w:val="es-UY" w:eastAsia="es-UY"/>
        </w:rPr>
        <w:t xml:space="preserve"> Los intereses a vencer de corto y largo plazo de la cuenta Convenios de Facilidades de Pago fueron expuestos en forma separada.</w:t>
      </w:r>
    </w:p>
    <w:p w:rsidR="00967E07" w:rsidRPr="003A6820" w:rsidRDefault="00967E07" w:rsidP="00967E07">
      <w:pPr>
        <w:keepNext/>
        <w:widowControl w:val="0"/>
        <w:numPr>
          <w:ilvl w:val="2"/>
          <w:numId w:val="4"/>
        </w:numPr>
        <w:spacing w:line="360" w:lineRule="auto"/>
        <w:ind w:left="0" w:firstLine="0"/>
        <w:jc w:val="both"/>
        <w:rPr>
          <w:lang w:val="es-UY" w:eastAsia="es-UY"/>
        </w:rPr>
      </w:pPr>
      <w:r w:rsidRPr="001A00CC">
        <w:rPr>
          <w:lang w:val="es-UY" w:eastAsia="es-UY"/>
        </w:rPr>
        <w:t>Se calcularon y se registraron los recargos de las Declaraciones Juradas de No Pago a fecha de cierre de ejercicio.</w:t>
      </w:r>
    </w:p>
    <w:p w:rsidR="00967E07" w:rsidRPr="004B4884" w:rsidRDefault="00967E07" w:rsidP="00967E07">
      <w:pPr>
        <w:keepNext/>
        <w:widowControl w:val="0"/>
        <w:numPr>
          <w:ilvl w:val="2"/>
          <w:numId w:val="4"/>
        </w:numPr>
        <w:spacing w:line="360" w:lineRule="auto"/>
        <w:ind w:left="0" w:firstLine="0"/>
        <w:jc w:val="both"/>
        <w:rPr>
          <w:bCs/>
          <w:lang w:val="es-UY" w:eastAsia="es-UY"/>
        </w:rPr>
      </w:pPr>
      <w:r w:rsidRPr="004B4884">
        <w:rPr>
          <w:lang w:val="es-UY" w:eastAsia="es-UY"/>
        </w:rPr>
        <w:t>Si bien no se realizó la comparación del v</w:t>
      </w:r>
      <w:r>
        <w:rPr>
          <w:lang w:val="es-UY" w:eastAsia="es-UY"/>
        </w:rPr>
        <w:t xml:space="preserve">alor de los inmuebles incluidos </w:t>
      </w:r>
      <w:r w:rsidRPr="004B4884">
        <w:rPr>
          <w:lang w:val="es-UY" w:eastAsia="es-UY"/>
        </w:rPr>
        <w:t>en los Bienes de Uso con sus importes recuperables,  el Organismo aplica el modelo de costo establecido en la NIC 16 por lo que considera que no corresponde realizar esta comparación al no presentar indicios de deterioro en los inmueb</w:t>
      </w:r>
      <w:r w:rsidR="00C8108F">
        <w:rPr>
          <w:lang w:val="es-UY" w:eastAsia="es-UY"/>
        </w:rPr>
        <w:t>les.</w:t>
      </w:r>
    </w:p>
    <w:p w:rsidR="00967E07" w:rsidRPr="004B4884" w:rsidRDefault="00967E07" w:rsidP="00967E07">
      <w:pPr>
        <w:keepNext/>
        <w:widowControl w:val="0"/>
        <w:spacing w:line="360" w:lineRule="auto"/>
        <w:jc w:val="both"/>
        <w:rPr>
          <w:bCs/>
          <w:lang w:val="es-UY" w:eastAsia="es-UY"/>
        </w:rPr>
      </w:pPr>
      <w:r w:rsidRPr="004B4884">
        <w:rPr>
          <w:b/>
          <w:lang w:val="es-UY" w:eastAsia="es-UY"/>
        </w:rPr>
        <w:t xml:space="preserve">3.1.8 </w:t>
      </w:r>
      <w:r w:rsidRPr="004B4884">
        <w:rPr>
          <w:bCs/>
          <w:lang w:val="es-UY" w:eastAsia="es-UY"/>
        </w:rPr>
        <w:t>Los inventarios de muebles, máquinas y equipos están valorados y expresan el origen de los bienes por lo que se realizó la conciliación con los saldos contables.</w:t>
      </w:r>
    </w:p>
    <w:p w:rsidR="00967E07" w:rsidRPr="001A00CC" w:rsidRDefault="00967E07" w:rsidP="00967E07">
      <w:pPr>
        <w:keepNext/>
        <w:widowControl w:val="0"/>
        <w:spacing w:line="360" w:lineRule="auto"/>
        <w:jc w:val="both"/>
        <w:rPr>
          <w:lang w:val="es-UY" w:eastAsia="es-UY"/>
        </w:rPr>
      </w:pPr>
      <w:r w:rsidRPr="003A6820">
        <w:rPr>
          <w:b/>
          <w:lang w:val="es-UY" w:eastAsia="es-UY"/>
        </w:rPr>
        <w:t>3.1.9</w:t>
      </w:r>
      <w:r w:rsidR="00C8108F">
        <w:rPr>
          <w:b/>
          <w:lang w:val="es-UY" w:eastAsia="es-UY"/>
        </w:rPr>
        <w:t xml:space="preserve"> </w:t>
      </w:r>
      <w:r w:rsidRPr="001A00CC">
        <w:rPr>
          <w:lang w:val="es-UY" w:eastAsia="es-UY"/>
        </w:rPr>
        <w:t>Se realizaron conciliaciones periódicas de los Acreedores por Gastos de Gestión.</w:t>
      </w:r>
    </w:p>
    <w:p w:rsidR="00967E07" w:rsidRPr="008F1184" w:rsidRDefault="00967E07" w:rsidP="00967E07">
      <w:pPr>
        <w:keepNext/>
        <w:widowControl w:val="0"/>
        <w:spacing w:line="360" w:lineRule="auto"/>
        <w:jc w:val="both"/>
        <w:rPr>
          <w:lang w:val="es-UY" w:eastAsia="es-UY"/>
        </w:rPr>
      </w:pPr>
      <w:r>
        <w:rPr>
          <w:b/>
          <w:lang w:val="es-UY" w:eastAsia="es-UY"/>
        </w:rPr>
        <w:t>3.1.10</w:t>
      </w:r>
      <w:r w:rsidRPr="001A00CC">
        <w:rPr>
          <w:lang w:val="es-UY" w:eastAsia="es-UY"/>
        </w:rPr>
        <w:t xml:space="preserve"> Las Diferencias de Cambio ganadas y perdidas fueron expuestas en forma </w:t>
      </w:r>
      <w:r w:rsidRPr="008F1184">
        <w:rPr>
          <w:lang w:val="es-UY" w:eastAsia="es-UY"/>
        </w:rPr>
        <w:t>separada.</w:t>
      </w:r>
    </w:p>
    <w:p w:rsidR="00967E07" w:rsidRDefault="00967E07" w:rsidP="00967E07">
      <w:pPr>
        <w:keepNext/>
        <w:widowControl w:val="0"/>
        <w:spacing w:line="360" w:lineRule="auto"/>
        <w:jc w:val="both"/>
        <w:rPr>
          <w:lang w:val="es-UY" w:eastAsia="es-UY"/>
        </w:rPr>
      </w:pPr>
      <w:r>
        <w:rPr>
          <w:b/>
          <w:lang w:val="es-UY" w:eastAsia="es-UY"/>
        </w:rPr>
        <w:t>3.1.11</w:t>
      </w:r>
      <w:r w:rsidR="00C8108F">
        <w:rPr>
          <w:b/>
          <w:lang w:val="es-UY" w:eastAsia="es-UY"/>
        </w:rPr>
        <w:t xml:space="preserve"> </w:t>
      </w:r>
      <w:r w:rsidRPr="008F1184">
        <w:rPr>
          <w:lang w:val="es-UY" w:eastAsia="es-UY"/>
        </w:rPr>
        <w:t>Los cambios de criterio fueron revelados y cuantificados en Notas a los Estados Contables.</w:t>
      </w:r>
    </w:p>
    <w:p w:rsidR="00C8108F" w:rsidRDefault="00C8108F" w:rsidP="00967E07">
      <w:pPr>
        <w:keepNext/>
        <w:widowControl w:val="0"/>
        <w:spacing w:line="360" w:lineRule="auto"/>
        <w:jc w:val="both"/>
        <w:rPr>
          <w:lang w:val="es-UY" w:eastAsia="es-UY"/>
        </w:rPr>
      </w:pPr>
    </w:p>
    <w:p w:rsidR="00967E07" w:rsidRDefault="00C8108F" w:rsidP="00C8108F">
      <w:pPr>
        <w:pStyle w:val="Sangra2detindependiente"/>
        <w:keepNext/>
        <w:widowControl w:val="0"/>
        <w:numPr>
          <w:ilvl w:val="1"/>
          <w:numId w:val="4"/>
        </w:numPr>
        <w:suppressAutoHyphens w:val="0"/>
        <w:rPr>
          <w:b/>
          <w:bCs/>
        </w:rPr>
      </w:pPr>
      <w:r>
        <w:rPr>
          <w:b/>
          <w:bCs/>
        </w:rPr>
        <w:t>Recomendaciones no cumplidas</w:t>
      </w:r>
    </w:p>
    <w:p w:rsidR="00967E07" w:rsidRPr="008373BC" w:rsidRDefault="00967E07" w:rsidP="00967E07">
      <w:pPr>
        <w:keepNext/>
        <w:widowControl w:val="0"/>
        <w:spacing w:line="360" w:lineRule="auto"/>
        <w:jc w:val="both"/>
        <w:rPr>
          <w:lang w:val="es-UY" w:eastAsia="es-UY"/>
        </w:rPr>
      </w:pPr>
      <w:r>
        <w:rPr>
          <w:b/>
          <w:bCs/>
        </w:rPr>
        <w:t>3</w:t>
      </w:r>
      <w:r w:rsidRPr="006C6539">
        <w:rPr>
          <w:b/>
          <w:bCs/>
        </w:rPr>
        <w:t>.2.1</w:t>
      </w:r>
      <w:r w:rsidRPr="006C6539">
        <w:t xml:space="preserve"> </w:t>
      </w:r>
      <w:r w:rsidRPr="008378D6">
        <w:t xml:space="preserve">Si bien el sistema informático de ATYR y el sistema informático contable se relacionan a través de una </w:t>
      </w:r>
      <w:proofErr w:type="spellStart"/>
      <w:r w:rsidRPr="008378D6">
        <w:t>interfase</w:t>
      </w:r>
      <w:proofErr w:type="spellEnd"/>
      <w:r w:rsidRPr="008378D6">
        <w:t>, no se verifican controles a efectos de que l</w:t>
      </w:r>
      <w:r w:rsidRPr="008378D6">
        <w:rPr>
          <w:lang w:val="es-UY" w:eastAsia="es-UY"/>
        </w:rPr>
        <w:t xml:space="preserve">a Gerencia de Finanzas y la </w:t>
      </w:r>
      <w:r w:rsidRPr="008378D6">
        <w:t xml:space="preserve">Dirección Técnica de ATYR </w:t>
      </w:r>
      <w:r w:rsidRPr="008378D6">
        <w:rPr>
          <w:lang w:val="es-UY" w:eastAsia="es-UY"/>
        </w:rPr>
        <w:t xml:space="preserve">aseguren que todos los créditos y documentos a cobrar a </w:t>
      </w:r>
      <w:r w:rsidRPr="00540AAA">
        <w:rPr>
          <w:lang w:val="es-UY" w:eastAsia="es-UY"/>
        </w:rPr>
        <w:t>empresas y Organismos Públicos correspondientes al mes de cierre de ejercicio sean</w:t>
      </w:r>
      <w:r w:rsidRPr="008378D6">
        <w:rPr>
          <w:lang w:val="es-UY" w:eastAsia="es-UY"/>
        </w:rPr>
        <w:t xml:space="preserve"> considerados en la elaboración de los Estados Financieros</w:t>
      </w:r>
      <w:r w:rsidRPr="007101AF">
        <w:rPr>
          <w:lang w:val="es-UY" w:eastAsia="es-UY"/>
        </w:rPr>
        <w:t xml:space="preserve"> (Numeral</w:t>
      </w:r>
      <w:r w:rsidRPr="008373BC">
        <w:rPr>
          <w:lang w:val="es-UY" w:eastAsia="es-UY"/>
        </w:rPr>
        <w:t xml:space="preserve"> 2.1).</w:t>
      </w:r>
    </w:p>
    <w:p w:rsidR="00967E07" w:rsidRPr="006C6539" w:rsidRDefault="00967E07" w:rsidP="00967E07">
      <w:pPr>
        <w:pStyle w:val="NormalWeb"/>
        <w:keepNext/>
        <w:widowControl w:val="0"/>
        <w:suppressAutoHyphens w:val="0"/>
        <w:spacing w:before="0" w:after="0" w:line="360" w:lineRule="auto"/>
        <w:ind w:firstLine="0"/>
        <w:rPr>
          <w:b/>
        </w:rPr>
      </w:pPr>
      <w:r w:rsidRPr="008F404E">
        <w:rPr>
          <w:rFonts w:ascii="Arial" w:hAnsi="Arial" w:cs="Arial"/>
          <w:b/>
        </w:rPr>
        <w:t>3.2.2</w:t>
      </w:r>
      <w:r>
        <w:rPr>
          <w:rFonts w:ascii="Arial" w:hAnsi="Arial" w:cs="Arial"/>
        </w:rPr>
        <w:t xml:space="preserve"> </w:t>
      </w:r>
      <w:r w:rsidRPr="006C6539">
        <w:rPr>
          <w:rFonts w:ascii="Arial" w:hAnsi="Arial" w:cs="Arial"/>
        </w:rPr>
        <w:t>No se contabilizaron los recargos correspondientes a los avalúos a fecha de cierre de ejercicio (</w:t>
      </w:r>
      <w:r>
        <w:rPr>
          <w:rFonts w:ascii="Arial" w:hAnsi="Arial" w:cs="Arial"/>
        </w:rPr>
        <w:t>Numeral 2.2</w:t>
      </w:r>
      <w:r w:rsidRPr="006C6539">
        <w:rPr>
          <w:rFonts w:ascii="Arial" w:hAnsi="Arial" w:cs="Arial"/>
        </w:rPr>
        <w:t>).</w:t>
      </w:r>
    </w:p>
    <w:p w:rsidR="00967E07" w:rsidRDefault="00967E07" w:rsidP="00967E07">
      <w:pPr>
        <w:keepNext/>
        <w:widowControl w:val="0"/>
        <w:spacing w:line="360" w:lineRule="auto"/>
        <w:jc w:val="both"/>
      </w:pPr>
      <w:r>
        <w:rPr>
          <w:b/>
          <w:bCs/>
        </w:rPr>
        <w:t>3</w:t>
      </w:r>
      <w:r w:rsidRPr="007A7E4A">
        <w:rPr>
          <w:b/>
          <w:bCs/>
        </w:rPr>
        <w:t>.2.</w:t>
      </w:r>
      <w:r>
        <w:rPr>
          <w:b/>
          <w:bCs/>
        </w:rPr>
        <w:t>3</w:t>
      </w:r>
      <w:r w:rsidRPr="001272E9">
        <w:rPr>
          <w:bCs/>
        </w:rPr>
        <w:t xml:space="preserve"> No se obtuvo información </w:t>
      </w:r>
      <w:r w:rsidRPr="00E0135A">
        <w:rPr>
          <w:bCs/>
        </w:rPr>
        <w:t>necesaria relativa a los juicios en trámite a efectos de determinar un procedimiento más adecuado</w:t>
      </w:r>
      <w:r w:rsidRPr="001272E9">
        <w:rPr>
          <w:bCs/>
        </w:rPr>
        <w:t xml:space="preserve"> para la estimación de las previsiones (Numeral </w:t>
      </w:r>
      <w:r>
        <w:rPr>
          <w:bCs/>
        </w:rPr>
        <w:t>2.3</w:t>
      </w:r>
      <w:r w:rsidRPr="001272E9">
        <w:rPr>
          <w:bCs/>
        </w:rPr>
        <w:t>).</w:t>
      </w:r>
    </w:p>
    <w:p w:rsidR="00C8108F" w:rsidRPr="007A7E4A" w:rsidRDefault="00C8108F" w:rsidP="00967E07">
      <w:pPr>
        <w:keepNext/>
        <w:widowControl w:val="0"/>
        <w:spacing w:line="360" w:lineRule="auto"/>
        <w:jc w:val="both"/>
        <w:rPr>
          <w:lang w:val="es-UY"/>
        </w:rPr>
      </w:pPr>
    </w:p>
    <w:p w:rsidR="00967E07" w:rsidRPr="001C4D9D" w:rsidRDefault="00967E07" w:rsidP="00967E07">
      <w:pPr>
        <w:pStyle w:val="NormalWeb"/>
        <w:keepNext/>
        <w:widowControl w:val="0"/>
        <w:suppressAutoHyphens w:val="0"/>
        <w:spacing w:before="0" w:after="0" w:line="360" w:lineRule="auto"/>
        <w:ind w:firstLine="0"/>
        <w:rPr>
          <w:rFonts w:ascii="Arial" w:hAnsi="Arial" w:cs="Arial"/>
        </w:rPr>
      </w:pPr>
      <w:r w:rsidRPr="001C4D9D">
        <w:rPr>
          <w:rFonts w:ascii="Arial" w:hAnsi="Arial" w:cs="Arial"/>
          <w:b/>
          <w:bCs/>
        </w:rPr>
        <w:t>3</w:t>
      </w:r>
      <w:r>
        <w:rPr>
          <w:rFonts w:ascii="Arial" w:hAnsi="Arial" w:cs="Arial"/>
          <w:b/>
          <w:bCs/>
        </w:rPr>
        <w:t>.3 Recomendación del presente E</w:t>
      </w:r>
      <w:r w:rsidR="00DF2B73">
        <w:rPr>
          <w:rFonts w:ascii="Arial" w:hAnsi="Arial" w:cs="Arial"/>
          <w:b/>
          <w:bCs/>
        </w:rPr>
        <w:t>jercicio</w:t>
      </w:r>
    </w:p>
    <w:p w:rsidR="00967E07" w:rsidRDefault="00967E07" w:rsidP="00967E07">
      <w:pPr>
        <w:pStyle w:val="NormalWeb"/>
        <w:keepNext/>
        <w:widowControl w:val="0"/>
        <w:suppressAutoHyphens w:val="0"/>
        <w:spacing w:before="0" w:after="0" w:line="360" w:lineRule="auto"/>
        <w:ind w:firstLine="0"/>
        <w:rPr>
          <w:rFonts w:ascii="Arial" w:hAnsi="Arial" w:cs="Arial"/>
        </w:rPr>
      </w:pPr>
      <w:r w:rsidRPr="001C4D9D">
        <w:rPr>
          <w:rFonts w:ascii="Arial" w:hAnsi="Arial" w:cs="Arial"/>
        </w:rPr>
        <w:t>Se reiteran las r</w:t>
      </w:r>
      <w:r>
        <w:rPr>
          <w:rFonts w:ascii="Arial" w:hAnsi="Arial" w:cs="Arial"/>
        </w:rPr>
        <w:t>ecomendaciones no cumplidas de e</w:t>
      </w:r>
      <w:r w:rsidRPr="001C4D9D">
        <w:rPr>
          <w:rFonts w:ascii="Arial" w:hAnsi="Arial" w:cs="Arial"/>
        </w:rPr>
        <w:t>je</w:t>
      </w:r>
      <w:r>
        <w:rPr>
          <w:rFonts w:ascii="Arial" w:hAnsi="Arial" w:cs="Arial"/>
        </w:rPr>
        <w:t>rcicios anteriores y se formula la</w:t>
      </w:r>
      <w:r w:rsidRPr="001C4D9D">
        <w:rPr>
          <w:rFonts w:ascii="Arial" w:hAnsi="Arial" w:cs="Arial"/>
        </w:rPr>
        <w:t xml:space="preserve"> siguien</w:t>
      </w:r>
      <w:r>
        <w:rPr>
          <w:rFonts w:ascii="Arial" w:hAnsi="Arial" w:cs="Arial"/>
        </w:rPr>
        <w:t>te</w:t>
      </w:r>
      <w:r w:rsidRPr="00410815">
        <w:rPr>
          <w:rFonts w:ascii="Arial" w:hAnsi="Arial" w:cs="Arial"/>
        </w:rPr>
        <w:t>:</w:t>
      </w:r>
    </w:p>
    <w:p w:rsidR="00967E07" w:rsidRDefault="00967E07" w:rsidP="00967E07">
      <w:pPr>
        <w:pStyle w:val="NormalWeb"/>
        <w:keepNext/>
        <w:widowControl w:val="0"/>
        <w:suppressAutoHyphens w:val="0"/>
        <w:spacing w:before="0" w:after="0" w:line="360" w:lineRule="auto"/>
        <w:ind w:firstLine="0"/>
        <w:rPr>
          <w:rFonts w:ascii="Arial" w:hAnsi="Arial" w:cs="Arial"/>
        </w:rPr>
      </w:pPr>
      <w:r w:rsidRPr="008F1184">
        <w:rPr>
          <w:rFonts w:ascii="Arial" w:hAnsi="Arial" w:cs="Arial"/>
          <w:b/>
        </w:rPr>
        <w:t>3.3.1</w:t>
      </w:r>
      <w:r w:rsidRPr="008F1184">
        <w:rPr>
          <w:rFonts w:ascii="Arial" w:hAnsi="Arial" w:cs="Arial"/>
        </w:rPr>
        <w:t xml:space="preserve"> Verificar que los</w:t>
      </w:r>
      <w:r>
        <w:rPr>
          <w:rFonts w:ascii="Arial" w:hAnsi="Arial" w:cs="Arial"/>
        </w:rPr>
        <w:t xml:space="preserve"> importes expuestos en la </w:t>
      </w:r>
      <w:r w:rsidRPr="00540AAA">
        <w:rPr>
          <w:rFonts w:ascii="Arial" w:hAnsi="Arial" w:cs="Arial"/>
        </w:rPr>
        <w:t>Memoria Explicativa y</w:t>
      </w:r>
      <w:r w:rsidRPr="00170A67">
        <w:rPr>
          <w:rFonts w:ascii="Arial" w:hAnsi="Arial" w:cs="Arial"/>
        </w:rPr>
        <w:t xml:space="preserve"> en las Notas coincidan con la estimación final realizada por el Organismo (</w:t>
      </w:r>
      <w:r w:rsidR="00DF2B73">
        <w:rPr>
          <w:rFonts w:ascii="Arial" w:hAnsi="Arial" w:cs="Arial"/>
        </w:rPr>
        <w:t>Numeral 1).</w:t>
      </w:r>
    </w:p>
    <w:p w:rsidR="00967E07" w:rsidRDefault="00967E07" w:rsidP="00967E07">
      <w:pPr>
        <w:keepNext/>
        <w:widowControl w:val="0"/>
        <w:spacing w:line="360" w:lineRule="auto"/>
        <w:jc w:val="right"/>
        <w:rPr>
          <w:lang w:val="es-MX"/>
        </w:rPr>
      </w:pPr>
      <w:r w:rsidRPr="005E56D6">
        <w:rPr>
          <w:lang w:val="es-MX"/>
        </w:rPr>
        <w:t xml:space="preserve">Montevideo, </w:t>
      </w:r>
      <w:r>
        <w:rPr>
          <w:lang w:val="es-MX"/>
        </w:rPr>
        <w:t>09</w:t>
      </w:r>
      <w:r w:rsidRPr="005E56D6">
        <w:rPr>
          <w:lang w:val="es-MX"/>
        </w:rPr>
        <w:t xml:space="preserve"> de </w:t>
      </w:r>
      <w:r>
        <w:rPr>
          <w:lang w:val="es-MX"/>
        </w:rPr>
        <w:t>setiembre</w:t>
      </w:r>
      <w:r w:rsidRPr="005E56D6">
        <w:rPr>
          <w:lang w:val="es-MX"/>
        </w:rPr>
        <w:t xml:space="preserve"> de 2016</w:t>
      </w:r>
    </w:p>
    <w:p w:rsidR="00967E07" w:rsidRPr="00967E07" w:rsidRDefault="00967E07" w:rsidP="00967E07">
      <w:pPr>
        <w:keepNext/>
        <w:widowControl w:val="0"/>
        <w:spacing w:line="360" w:lineRule="auto"/>
        <w:ind w:hanging="284"/>
        <w:rPr>
          <w:shd w:val="clear" w:color="auto" w:fill="FFFF00"/>
          <w:lang w:val="es-ES_tradnl"/>
        </w:rPr>
      </w:pPr>
      <w:proofErr w:type="gramStart"/>
      <w:r>
        <w:rPr>
          <w:lang w:val="es-MX"/>
        </w:rPr>
        <w:t>dc</w:t>
      </w:r>
      <w:proofErr w:type="gramEnd"/>
    </w:p>
    <w:sectPr w:rsidR="00967E07" w:rsidRPr="00967E07" w:rsidSect="00986D4F">
      <w:footerReference w:type="default" r:id="rId8"/>
      <w:pgSz w:w="11906" w:h="16838" w:code="9"/>
      <w:pgMar w:top="3119" w:right="1701" w:bottom="1701" w:left="1701" w:header="720" w:footer="851" w:gutter="0"/>
      <w:paperSrc w:first="4" w:other="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EAA" w:rsidRDefault="000A6EAA">
      <w:r>
        <w:separator/>
      </w:r>
    </w:p>
  </w:endnote>
  <w:endnote w:type="continuationSeparator" w:id="0">
    <w:p w:rsidR="000A6EAA" w:rsidRDefault="000A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EAA" w:rsidRDefault="000A6EAA">
    <w:pPr>
      <w:pStyle w:val="Piedepgina"/>
      <w:jc w:val="center"/>
    </w:pPr>
    <w:r>
      <w:fldChar w:fldCharType="begin"/>
    </w:r>
    <w:r>
      <w:instrText>PAGE   \* MERGEFORMAT</w:instrText>
    </w:r>
    <w:r>
      <w:fldChar w:fldCharType="separate"/>
    </w:r>
    <w:r w:rsidR="00DF2B73">
      <w:rPr>
        <w:noProof/>
      </w:rPr>
      <w:t>1</w:t>
    </w:r>
    <w:r>
      <w:fldChar w:fldCharType="end"/>
    </w:r>
  </w:p>
  <w:p w:rsidR="000A6EAA" w:rsidRDefault="000A6EA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EAA" w:rsidRDefault="000A6EAA">
      <w:r>
        <w:separator/>
      </w:r>
    </w:p>
  </w:footnote>
  <w:footnote w:type="continuationSeparator" w:id="0">
    <w:p w:rsidR="000A6EAA" w:rsidRDefault="000A6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432"/>
        </w:tabs>
        <w:ind w:left="432" w:hanging="432"/>
      </w:pPr>
      <w:rPr>
        <w:rFonts w:ascii="Symbol" w:hAnsi="Symbol" w:cs="Symbol"/>
        <w:color w:val="auto"/>
      </w:rPr>
    </w:lvl>
    <w:lvl w:ilvl="1">
      <w:start w:val="1"/>
      <w:numFmt w:val="decimal"/>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5"/>
    <w:multiLevelType w:val="multilevel"/>
    <w:tmpl w:val="DB44602E"/>
    <w:name w:val="WW8Num5"/>
    <w:lvl w:ilvl="0">
      <w:start w:val="1"/>
      <w:numFmt w:val="decimal"/>
      <w:lvlText w:val="%1."/>
      <w:lvlJc w:val="left"/>
      <w:pPr>
        <w:tabs>
          <w:tab w:val="num" w:pos="720"/>
        </w:tabs>
        <w:ind w:left="720" w:hanging="360"/>
      </w:pPr>
      <w:rPr>
        <w:rFonts w:ascii="Arial" w:hAnsi="Arial" w:cs="Arial" w:hint="default"/>
        <w:b/>
      </w:rPr>
    </w:lvl>
    <w:lvl w:ilvl="1">
      <w:start w:val="1"/>
      <w:numFmt w:val="decimal"/>
      <w:lvlText w:val="%1.%2"/>
      <w:lvlJc w:val="left"/>
      <w:pPr>
        <w:tabs>
          <w:tab w:val="num" w:pos="720"/>
        </w:tabs>
        <w:ind w:left="720" w:hanging="360"/>
      </w:pPr>
      <w:rPr>
        <w:rFonts w:cs="Arial"/>
        <w:b/>
        <w:i w:val="0"/>
        <w:lang w:val="es-UY"/>
      </w:rPr>
    </w:lvl>
    <w:lvl w:ilvl="2">
      <w:start w:val="1"/>
      <w:numFmt w:val="decimal"/>
      <w:lvlText w:val="5.%2.%3"/>
      <w:lvlJc w:val="left"/>
      <w:pPr>
        <w:tabs>
          <w:tab w:val="num" w:pos="1080"/>
        </w:tabs>
        <w:ind w:left="1080" w:hanging="720"/>
      </w:pPr>
      <w:rPr>
        <w:rFonts w:cs="Arial"/>
        <w:b/>
        <w:i w:val="0"/>
        <w:lang w:val="es-UY"/>
      </w:rPr>
    </w:lvl>
    <w:lvl w:ilvl="3">
      <w:start w:val="1"/>
      <w:numFmt w:val="decimal"/>
      <w:pStyle w:val="Ttulo4"/>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
    <w:nsid w:val="21A861B2"/>
    <w:multiLevelType w:val="multilevel"/>
    <w:tmpl w:val="8F229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01E2D81"/>
    <w:multiLevelType w:val="multilevel"/>
    <w:tmpl w:val="60C8568A"/>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D4F"/>
    <w:rsid w:val="000A6EAA"/>
    <w:rsid w:val="00330727"/>
    <w:rsid w:val="003754FE"/>
    <w:rsid w:val="00967E07"/>
    <w:rsid w:val="00986D4F"/>
    <w:rsid w:val="009D365A"/>
    <w:rsid w:val="00C8108F"/>
    <w:rsid w:val="00DF2B73"/>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4">
    <w:name w:val="heading 4"/>
    <w:basedOn w:val="Normal"/>
    <w:next w:val="Normal"/>
    <w:link w:val="Ttulo4Car"/>
    <w:qFormat/>
    <w:rsid w:val="00967E07"/>
    <w:pPr>
      <w:keepNext/>
      <w:numPr>
        <w:ilvl w:val="3"/>
        <w:numId w:val="2"/>
      </w:numPr>
      <w:suppressAutoHyphens/>
      <w:spacing w:line="360" w:lineRule="auto"/>
      <w:jc w:val="center"/>
      <w:outlineLvl w:val="3"/>
    </w:pPr>
    <w:rPr>
      <w:rFonts w:cs="Arial"/>
      <w:b/>
      <w:bCs/>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986D4F"/>
    <w:pPr>
      <w:tabs>
        <w:tab w:val="center" w:pos="4419"/>
        <w:tab w:val="right" w:pos="8838"/>
      </w:tabs>
    </w:pPr>
  </w:style>
  <w:style w:type="character" w:customStyle="1" w:styleId="PiedepginaCar">
    <w:name w:val="Pie de página Car"/>
    <w:basedOn w:val="Fuentedeprrafopredeter"/>
    <w:link w:val="Piedepgina"/>
    <w:uiPriority w:val="99"/>
    <w:semiHidden/>
    <w:rsid w:val="00986D4F"/>
    <w:rPr>
      <w:rFonts w:ascii="Arial" w:hAnsi="Arial"/>
      <w:sz w:val="24"/>
      <w:szCs w:val="24"/>
      <w:lang w:val="es-ES" w:eastAsia="es-ES"/>
    </w:rPr>
  </w:style>
  <w:style w:type="paragraph" w:styleId="Textoindependiente">
    <w:name w:val="Body Text"/>
    <w:basedOn w:val="Normal"/>
    <w:link w:val="TextoindependienteCar"/>
    <w:semiHidden/>
    <w:rsid w:val="00967E07"/>
    <w:pPr>
      <w:suppressAutoHyphens/>
      <w:spacing w:after="120"/>
    </w:pPr>
    <w:rPr>
      <w:rFonts w:ascii="Times New Roman" w:hAnsi="Times New Roman"/>
      <w:lang w:eastAsia="zh-CN"/>
    </w:rPr>
  </w:style>
  <w:style w:type="character" w:customStyle="1" w:styleId="TextoindependienteCar">
    <w:name w:val="Texto independiente Car"/>
    <w:basedOn w:val="Fuentedeprrafopredeter"/>
    <w:link w:val="Textoindependiente"/>
    <w:semiHidden/>
    <w:rsid w:val="00967E07"/>
    <w:rPr>
      <w:sz w:val="24"/>
      <w:szCs w:val="24"/>
      <w:lang w:val="es-ES" w:eastAsia="zh-CN"/>
    </w:rPr>
  </w:style>
  <w:style w:type="paragraph" w:styleId="Sangradetextonormal">
    <w:name w:val="Body Text Indent"/>
    <w:basedOn w:val="Normal"/>
    <w:link w:val="SangradetextonormalCar"/>
    <w:semiHidden/>
    <w:rsid w:val="00967E07"/>
    <w:pPr>
      <w:tabs>
        <w:tab w:val="left" w:pos="2552"/>
      </w:tabs>
      <w:suppressAutoHyphens/>
      <w:spacing w:line="360" w:lineRule="auto"/>
      <w:jc w:val="both"/>
    </w:pPr>
    <w:rPr>
      <w:rFonts w:cs="Arial"/>
      <w:szCs w:val="20"/>
      <w:lang w:val="es-MX" w:eastAsia="zh-CN"/>
    </w:rPr>
  </w:style>
  <w:style w:type="character" w:customStyle="1" w:styleId="SangradetextonormalCar">
    <w:name w:val="Sangría de texto normal Car"/>
    <w:basedOn w:val="Fuentedeprrafopredeter"/>
    <w:link w:val="Sangradetextonormal"/>
    <w:semiHidden/>
    <w:rsid w:val="00967E07"/>
    <w:rPr>
      <w:rFonts w:ascii="Arial" w:hAnsi="Arial" w:cs="Arial"/>
      <w:sz w:val="24"/>
      <w:lang w:val="es-MX" w:eastAsia="zh-CN"/>
    </w:rPr>
  </w:style>
  <w:style w:type="paragraph" w:styleId="Textoindependiente2">
    <w:name w:val="Body Text 2"/>
    <w:basedOn w:val="Normal"/>
    <w:link w:val="Textoindependiente2Car"/>
    <w:semiHidden/>
    <w:rsid w:val="00967E07"/>
    <w:pPr>
      <w:widowControl w:val="0"/>
      <w:tabs>
        <w:tab w:val="left" w:pos="-720"/>
      </w:tabs>
      <w:suppressAutoHyphens/>
      <w:snapToGrid w:val="0"/>
      <w:spacing w:line="360" w:lineRule="auto"/>
      <w:jc w:val="both"/>
    </w:pPr>
    <w:rPr>
      <w:rFonts w:cs="Arial"/>
      <w:spacing w:val="-3"/>
      <w:sz w:val="18"/>
      <w:lang w:val="es-ES_tradnl" w:eastAsia="zh-CN"/>
    </w:rPr>
  </w:style>
  <w:style w:type="character" w:customStyle="1" w:styleId="Textoindependiente2Car">
    <w:name w:val="Texto independiente 2 Car"/>
    <w:basedOn w:val="Fuentedeprrafopredeter"/>
    <w:link w:val="Textoindependiente2"/>
    <w:semiHidden/>
    <w:rsid w:val="00967E07"/>
    <w:rPr>
      <w:rFonts w:ascii="Arial" w:hAnsi="Arial" w:cs="Arial"/>
      <w:spacing w:val="-3"/>
      <w:sz w:val="18"/>
      <w:szCs w:val="24"/>
      <w:lang w:val="es-ES_tradnl" w:eastAsia="zh-CN"/>
    </w:rPr>
  </w:style>
  <w:style w:type="character" w:customStyle="1" w:styleId="Ttulo4Car">
    <w:name w:val="Título 4 Car"/>
    <w:basedOn w:val="Fuentedeprrafopredeter"/>
    <w:link w:val="Ttulo4"/>
    <w:rsid w:val="00967E07"/>
    <w:rPr>
      <w:rFonts w:ascii="Arial" w:hAnsi="Arial" w:cs="Arial"/>
      <w:b/>
      <w:bCs/>
      <w:sz w:val="24"/>
      <w:szCs w:val="24"/>
      <w:lang w:val="es-ES" w:eastAsia="zh-CN"/>
    </w:rPr>
  </w:style>
  <w:style w:type="paragraph" w:styleId="Sangra2detindependiente">
    <w:name w:val="Body Text Indent 2"/>
    <w:basedOn w:val="Normal"/>
    <w:link w:val="Sangra2detindependienteCar"/>
    <w:semiHidden/>
    <w:rsid w:val="00967E07"/>
    <w:pPr>
      <w:suppressAutoHyphens/>
      <w:spacing w:line="360" w:lineRule="auto"/>
      <w:ind w:firstLine="709"/>
      <w:jc w:val="both"/>
    </w:pPr>
    <w:rPr>
      <w:rFonts w:cs="Arial"/>
      <w:lang w:eastAsia="zh-CN"/>
    </w:rPr>
  </w:style>
  <w:style w:type="character" w:customStyle="1" w:styleId="Sangra2detindependienteCar">
    <w:name w:val="Sangría 2 de t. independiente Car"/>
    <w:basedOn w:val="Fuentedeprrafopredeter"/>
    <w:link w:val="Sangra2detindependiente"/>
    <w:semiHidden/>
    <w:rsid w:val="00967E07"/>
    <w:rPr>
      <w:rFonts w:ascii="Arial" w:hAnsi="Arial" w:cs="Arial"/>
      <w:sz w:val="24"/>
      <w:szCs w:val="24"/>
      <w:lang w:val="es-ES" w:eastAsia="zh-CN"/>
    </w:rPr>
  </w:style>
  <w:style w:type="paragraph" w:styleId="NormalWeb">
    <w:name w:val="Normal (Web)"/>
    <w:basedOn w:val="Normal"/>
    <w:semiHidden/>
    <w:rsid w:val="00967E07"/>
    <w:pPr>
      <w:suppressAutoHyphens/>
      <w:spacing w:before="280" w:after="280"/>
      <w:ind w:firstLine="180"/>
      <w:jc w:val="both"/>
    </w:pPr>
    <w:rPr>
      <w:rFonts w:ascii="Times New Roman" w:hAnsi="Times New Roman"/>
      <w:lang w:eastAsia="zh-CN"/>
    </w:rPr>
  </w:style>
  <w:style w:type="paragraph" w:customStyle="1" w:styleId="Sangradetextonormal1">
    <w:name w:val="Sangría de texto normal1"/>
    <w:basedOn w:val="Normal"/>
    <w:rsid w:val="00967E07"/>
    <w:pPr>
      <w:tabs>
        <w:tab w:val="left" w:pos="2552"/>
      </w:tabs>
      <w:spacing w:line="360" w:lineRule="auto"/>
      <w:jc w:val="both"/>
    </w:pPr>
    <w:rPr>
      <w:rFonts w:cs="Arial"/>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4">
    <w:name w:val="heading 4"/>
    <w:basedOn w:val="Normal"/>
    <w:next w:val="Normal"/>
    <w:link w:val="Ttulo4Car"/>
    <w:qFormat/>
    <w:rsid w:val="00967E07"/>
    <w:pPr>
      <w:keepNext/>
      <w:numPr>
        <w:ilvl w:val="3"/>
        <w:numId w:val="2"/>
      </w:numPr>
      <w:suppressAutoHyphens/>
      <w:spacing w:line="360" w:lineRule="auto"/>
      <w:jc w:val="center"/>
      <w:outlineLvl w:val="3"/>
    </w:pPr>
    <w:rPr>
      <w:rFonts w:cs="Arial"/>
      <w:b/>
      <w:bCs/>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986D4F"/>
    <w:pPr>
      <w:tabs>
        <w:tab w:val="center" w:pos="4419"/>
        <w:tab w:val="right" w:pos="8838"/>
      </w:tabs>
    </w:pPr>
  </w:style>
  <w:style w:type="character" w:customStyle="1" w:styleId="PiedepginaCar">
    <w:name w:val="Pie de página Car"/>
    <w:basedOn w:val="Fuentedeprrafopredeter"/>
    <w:link w:val="Piedepgina"/>
    <w:uiPriority w:val="99"/>
    <w:semiHidden/>
    <w:rsid w:val="00986D4F"/>
    <w:rPr>
      <w:rFonts w:ascii="Arial" w:hAnsi="Arial"/>
      <w:sz w:val="24"/>
      <w:szCs w:val="24"/>
      <w:lang w:val="es-ES" w:eastAsia="es-ES"/>
    </w:rPr>
  </w:style>
  <w:style w:type="paragraph" w:styleId="Textoindependiente">
    <w:name w:val="Body Text"/>
    <w:basedOn w:val="Normal"/>
    <w:link w:val="TextoindependienteCar"/>
    <w:semiHidden/>
    <w:rsid w:val="00967E07"/>
    <w:pPr>
      <w:suppressAutoHyphens/>
      <w:spacing w:after="120"/>
    </w:pPr>
    <w:rPr>
      <w:rFonts w:ascii="Times New Roman" w:hAnsi="Times New Roman"/>
      <w:lang w:eastAsia="zh-CN"/>
    </w:rPr>
  </w:style>
  <w:style w:type="character" w:customStyle="1" w:styleId="TextoindependienteCar">
    <w:name w:val="Texto independiente Car"/>
    <w:basedOn w:val="Fuentedeprrafopredeter"/>
    <w:link w:val="Textoindependiente"/>
    <w:semiHidden/>
    <w:rsid w:val="00967E07"/>
    <w:rPr>
      <w:sz w:val="24"/>
      <w:szCs w:val="24"/>
      <w:lang w:val="es-ES" w:eastAsia="zh-CN"/>
    </w:rPr>
  </w:style>
  <w:style w:type="paragraph" w:styleId="Sangradetextonormal">
    <w:name w:val="Body Text Indent"/>
    <w:basedOn w:val="Normal"/>
    <w:link w:val="SangradetextonormalCar"/>
    <w:semiHidden/>
    <w:rsid w:val="00967E07"/>
    <w:pPr>
      <w:tabs>
        <w:tab w:val="left" w:pos="2552"/>
      </w:tabs>
      <w:suppressAutoHyphens/>
      <w:spacing w:line="360" w:lineRule="auto"/>
      <w:jc w:val="both"/>
    </w:pPr>
    <w:rPr>
      <w:rFonts w:cs="Arial"/>
      <w:szCs w:val="20"/>
      <w:lang w:val="es-MX" w:eastAsia="zh-CN"/>
    </w:rPr>
  </w:style>
  <w:style w:type="character" w:customStyle="1" w:styleId="SangradetextonormalCar">
    <w:name w:val="Sangría de texto normal Car"/>
    <w:basedOn w:val="Fuentedeprrafopredeter"/>
    <w:link w:val="Sangradetextonormal"/>
    <w:semiHidden/>
    <w:rsid w:val="00967E07"/>
    <w:rPr>
      <w:rFonts w:ascii="Arial" w:hAnsi="Arial" w:cs="Arial"/>
      <w:sz w:val="24"/>
      <w:lang w:val="es-MX" w:eastAsia="zh-CN"/>
    </w:rPr>
  </w:style>
  <w:style w:type="paragraph" w:styleId="Textoindependiente2">
    <w:name w:val="Body Text 2"/>
    <w:basedOn w:val="Normal"/>
    <w:link w:val="Textoindependiente2Car"/>
    <w:semiHidden/>
    <w:rsid w:val="00967E07"/>
    <w:pPr>
      <w:widowControl w:val="0"/>
      <w:tabs>
        <w:tab w:val="left" w:pos="-720"/>
      </w:tabs>
      <w:suppressAutoHyphens/>
      <w:snapToGrid w:val="0"/>
      <w:spacing w:line="360" w:lineRule="auto"/>
      <w:jc w:val="both"/>
    </w:pPr>
    <w:rPr>
      <w:rFonts w:cs="Arial"/>
      <w:spacing w:val="-3"/>
      <w:sz w:val="18"/>
      <w:lang w:val="es-ES_tradnl" w:eastAsia="zh-CN"/>
    </w:rPr>
  </w:style>
  <w:style w:type="character" w:customStyle="1" w:styleId="Textoindependiente2Car">
    <w:name w:val="Texto independiente 2 Car"/>
    <w:basedOn w:val="Fuentedeprrafopredeter"/>
    <w:link w:val="Textoindependiente2"/>
    <w:semiHidden/>
    <w:rsid w:val="00967E07"/>
    <w:rPr>
      <w:rFonts w:ascii="Arial" w:hAnsi="Arial" w:cs="Arial"/>
      <w:spacing w:val="-3"/>
      <w:sz w:val="18"/>
      <w:szCs w:val="24"/>
      <w:lang w:val="es-ES_tradnl" w:eastAsia="zh-CN"/>
    </w:rPr>
  </w:style>
  <w:style w:type="character" w:customStyle="1" w:styleId="Ttulo4Car">
    <w:name w:val="Título 4 Car"/>
    <w:basedOn w:val="Fuentedeprrafopredeter"/>
    <w:link w:val="Ttulo4"/>
    <w:rsid w:val="00967E07"/>
    <w:rPr>
      <w:rFonts w:ascii="Arial" w:hAnsi="Arial" w:cs="Arial"/>
      <w:b/>
      <w:bCs/>
      <w:sz w:val="24"/>
      <w:szCs w:val="24"/>
      <w:lang w:val="es-ES" w:eastAsia="zh-CN"/>
    </w:rPr>
  </w:style>
  <w:style w:type="paragraph" w:styleId="Sangra2detindependiente">
    <w:name w:val="Body Text Indent 2"/>
    <w:basedOn w:val="Normal"/>
    <w:link w:val="Sangra2detindependienteCar"/>
    <w:semiHidden/>
    <w:rsid w:val="00967E07"/>
    <w:pPr>
      <w:suppressAutoHyphens/>
      <w:spacing w:line="360" w:lineRule="auto"/>
      <w:ind w:firstLine="709"/>
      <w:jc w:val="both"/>
    </w:pPr>
    <w:rPr>
      <w:rFonts w:cs="Arial"/>
      <w:lang w:eastAsia="zh-CN"/>
    </w:rPr>
  </w:style>
  <w:style w:type="character" w:customStyle="1" w:styleId="Sangra2detindependienteCar">
    <w:name w:val="Sangría 2 de t. independiente Car"/>
    <w:basedOn w:val="Fuentedeprrafopredeter"/>
    <w:link w:val="Sangra2detindependiente"/>
    <w:semiHidden/>
    <w:rsid w:val="00967E07"/>
    <w:rPr>
      <w:rFonts w:ascii="Arial" w:hAnsi="Arial" w:cs="Arial"/>
      <w:sz w:val="24"/>
      <w:szCs w:val="24"/>
      <w:lang w:val="es-ES" w:eastAsia="zh-CN"/>
    </w:rPr>
  </w:style>
  <w:style w:type="paragraph" w:styleId="NormalWeb">
    <w:name w:val="Normal (Web)"/>
    <w:basedOn w:val="Normal"/>
    <w:semiHidden/>
    <w:rsid w:val="00967E07"/>
    <w:pPr>
      <w:suppressAutoHyphens/>
      <w:spacing w:before="280" w:after="280"/>
      <w:ind w:firstLine="180"/>
      <w:jc w:val="both"/>
    </w:pPr>
    <w:rPr>
      <w:rFonts w:ascii="Times New Roman" w:hAnsi="Times New Roman"/>
      <w:lang w:eastAsia="zh-CN"/>
    </w:rPr>
  </w:style>
  <w:style w:type="paragraph" w:customStyle="1" w:styleId="Sangradetextonormal1">
    <w:name w:val="Sangría de texto normal1"/>
    <w:basedOn w:val="Normal"/>
    <w:rsid w:val="00967E07"/>
    <w:pPr>
      <w:tabs>
        <w:tab w:val="left" w:pos="2552"/>
      </w:tabs>
      <w:spacing w:line="360" w:lineRule="auto"/>
      <w:jc w:val="both"/>
    </w:pPr>
    <w:rPr>
      <w:rFonts w:cs="Arial"/>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1839</Words>
  <Characters>10193</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3</cp:revision>
  <dcterms:created xsi:type="dcterms:W3CDTF">2016-10-03T21:36:00Z</dcterms:created>
  <dcterms:modified xsi:type="dcterms:W3CDTF">2017-02-09T17:30:00Z</dcterms:modified>
</cp:coreProperties>
</file>