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AD" w:rsidRPr="00786EEB" w:rsidRDefault="00FC2BA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4482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FC2BAD" w:rsidRDefault="00FC2BA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FC2BAD" w:rsidRPr="00FC2BAD" w:rsidRDefault="00FC2BAD" w:rsidP="00FC2BA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C2BA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C2BAD" w:rsidRPr="00FC2BAD" w:rsidRDefault="00FC2BAD" w:rsidP="00FC2BA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C2BAD" w:rsidRPr="00FC2BAD" w:rsidRDefault="00FC2BAD" w:rsidP="00FC2BA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C2BA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C2BAD" w:rsidRPr="00FC2BAD" w:rsidRDefault="00FC2BAD" w:rsidP="00FC2BA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C2BAD" w:rsidRPr="00FC2BAD" w:rsidRDefault="00FC2BAD" w:rsidP="00FC2BA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C2BAD">
        <w:rPr>
          <w:rFonts w:ascii="Arial" w:hAnsi="Arial" w:cs="Arial"/>
          <w:b/>
          <w:sz w:val="24"/>
          <w:szCs w:val="24"/>
          <w:lang w:val="es-ES_tradnl"/>
        </w:rPr>
        <w:t xml:space="preserve">EN SESION DE FECHA 21 DE DICIEMBRE </w:t>
      </w:r>
      <w:r w:rsidRPr="00FC2BAD">
        <w:rPr>
          <w:rFonts w:ascii="Helvetica" w:hAnsi="Helvetica"/>
          <w:b/>
          <w:sz w:val="24"/>
          <w:szCs w:val="24"/>
          <w:lang w:val="es-ES_tradnl"/>
        </w:rPr>
        <w:t>DE 2016</w:t>
      </w:r>
    </w:p>
    <w:p w:rsidR="00FC2BAD" w:rsidRPr="00FC2BAD" w:rsidRDefault="00FC2BAD" w:rsidP="00FC2BA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C2BAD" w:rsidRPr="00FC2BAD" w:rsidRDefault="00FC2BAD" w:rsidP="00FC2BA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FC2BAD">
        <w:rPr>
          <w:rFonts w:ascii="Arial" w:hAnsi="Arial" w:cs="Arial"/>
          <w:b/>
          <w:sz w:val="24"/>
          <w:szCs w:val="24"/>
          <w:lang w:val="es-AR"/>
        </w:rPr>
        <w:t xml:space="preserve">(E. E. Nº 2014-17-1-0000235, </w:t>
      </w:r>
      <w:proofErr w:type="spellStart"/>
      <w:r w:rsidRPr="00FC2BAD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FC2BAD">
        <w:rPr>
          <w:rFonts w:ascii="Arial" w:hAnsi="Arial" w:cs="Arial"/>
          <w:b/>
          <w:sz w:val="24"/>
          <w:szCs w:val="24"/>
          <w:lang w:val="es-AR"/>
        </w:rPr>
        <w:t>. N° 6392/16)</w:t>
      </w:r>
    </w:p>
    <w:p w:rsidR="00FC2BAD" w:rsidRPr="00FC2BAD" w:rsidRDefault="00FC2BA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FC2BAD" w:rsidRDefault="00F15EB8" w:rsidP="00FC2BAD">
      <w:pPr>
        <w:pStyle w:val="Ttulo"/>
        <w:ind w:firstLine="851"/>
        <w:jc w:val="both"/>
        <w:rPr>
          <w:b w:val="0"/>
          <w:u w:val="none"/>
        </w:rPr>
      </w:pPr>
      <w:r>
        <w:rPr>
          <w:u w:val="none"/>
        </w:rPr>
        <w:t xml:space="preserve">VISTO: </w:t>
      </w:r>
      <w:r w:rsidR="00940E8E">
        <w:rPr>
          <w:b w:val="0"/>
          <w:u w:val="none"/>
        </w:rPr>
        <w:t xml:space="preserve">las actuaciones remitidas por </w:t>
      </w:r>
      <w:r>
        <w:rPr>
          <w:b w:val="0"/>
          <w:u w:val="none"/>
        </w:rPr>
        <w:t>l</w:t>
      </w:r>
      <w:r w:rsidR="00940E8E">
        <w:rPr>
          <w:b w:val="0"/>
          <w:u w:val="none"/>
        </w:rPr>
        <w:t>a</w:t>
      </w:r>
      <w:r>
        <w:rPr>
          <w:b w:val="0"/>
          <w:u w:val="none"/>
        </w:rPr>
        <w:t xml:space="preserve"> Contador</w:t>
      </w:r>
      <w:r w:rsidR="00940E8E">
        <w:rPr>
          <w:b w:val="0"/>
          <w:u w:val="none"/>
        </w:rPr>
        <w:t>a</w:t>
      </w:r>
      <w:r>
        <w:rPr>
          <w:b w:val="0"/>
          <w:u w:val="none"/>
        </w:rPr>
        <w:t xml:space="preserve"> Delegad</w:t>
      </w:r>
      <w:r w:rsidR="00940E8E">
        <w:rPr>
          <w:b w:val="0"/>
          <w:u w:val="none"/>
        </w:rPr>
        <w:t>a</w:t>
      </w:r>
      <w:r w:rsidR="00FC2BAD">
        <w:rPr>
          <w:b w:val="0"/>
          <w:u w:val="none"/>
        </w:rPr>
        <w:t xml:space="preserve"> en</w:t>
      </w:r>
      <w:r>
        <w:rPr>
          <w:b w:val="0"/>
          <w:u w:val="none"/>
        </w:rPr>
        <w:t xml:space="preserve"> la Intendencia de Canelones relacionadas con </w:t>
      </w:r>
      <w:r w:rsidR="003E4505">
        <w:rPr>
          <w:b w:val="0"/>
          <w:u w:val="none"/>
        </w:rPr>
        <w:t>el gasto derivado del convenio para la cancelación de adeudos que m</w:t>
      </w:r>
      <w:r w:rsidR="00FC2BAD">
        <w:rPr>
          <w:b w:val="0"/>
          <w:u w:val="none"/>
        </w:rPr>
        <w:t>antiene la Intendencia con la Administración Nacional de Combustibles, Alcohol y Portland</w:t>
      </w:r>
      <w:r w:rsidR="003E4505">
        <w:rPr>
          <w:b w:val="0"/>
          <w:u w:val="none"/>
        </w:rPr>
        <w:t>;</w:t>
      </w:r>
    </w:p>
    <w:p w:rsidR="00FC2BAD" w:rsidRDefault="00F15EB8" w:rsidP="00FC2BAD">
      <w:pPr>
        <w:pStyle w:val="Ttulo"/>
        <w:ind w:firstLine="851"/>
        <w:jc w:val="both"/>
        <w:rPr>
          <w:rFonts w:cs="Arial"/>
          <w:b w:val="0"/>
          <w:u w:val="none"/>
          <w:lang w:val="es-MX"/>
        </w:rPr>
      </w:pPr>
      <w:r w:rsidRPr="00FC2BAD">
        <w:rPr>
          <w:rFonts w:cs="Arial"/>
          <w:u w:val="none"/>
        </w:rPr>
        <w:t xml:space="preserve">RESULTANDO: 1) </w:t>
      </w:r>
      <w:r w:rsidR="00DE7481" w:rsidRPr="00FC2BAD">
        <w:rPr>
          <w:rFonts w:cs="Arial"/>
          <w:u w:val="none"/>
          <w:lang w:val="es-MX"/>
        </w:rPr>
        <w:t xml:space="preserve"> </w:t>
      </w:r>
      <w:r w:rsidR="00DE7481" w:rsidRPr="00FC2BAD">
        <w:rPr>
          <w:rFonts w:cs="Arial"/>
          <w:b w:val="0"/>
          <w:u w:val="none"/>
          <w:lang w:val="es-MX"/>
        </w:rPr>
        <w:t>que  por Resolución del Intendente N° 13/05</w:t>
      </w:r>
      <w:r w:rsidR="001809C7" w:rsidRPr="00FC2BAD">
        <w:rPr>
          <w:rFonts w:cs="Arial"/>
          <w:b w:val="0"/>
          <w:u w:val="none"/>
          <w:lang w:val="es-MX"/>
        </w:rPr>
        <w:t>483</w:t>
      </w:r>
      <w:r w:rsidR="00DE7481" w:rsidRPr="00FC2BAD">
        <w:rPr>
          <w:rFonts w:cs="Arial"/>
          <w:b w:val="0"/>
          <w:u w:val="none"/>
          <w:lang w:val="es-MX"/>
        </w:rPr>
        <w:t xml:space="preserve"> de fecha 11.10.13, se aprobó el texto del convenio a suscribir con A.N.C.A.P. y D.U.C.S</w:t>
      </w:r>
      <w:r w:rsidR="00FC2BAD">
        <w:rPr>
          <w:rFonts w:cs="Arial"/>
          <w:b w:val="0"/>
          <w:u w:val="none"/>
          <w:lang w:val="es-MX"/>
        </w:rPr>
        <w:t xml:space="preserve">.A., disponer su firma ad </w:t>
      </w:r>
      <w:proofErr w:type="spellStart"/>
      <w:r w:rsidR="00FC2BAD">
        <w:rPr>
          <w:rFonts w:cs="Arial"/>
          <w:b w:val="0"/>
          <w:u w:val="none"/>
          <w:lang w:val="es-MX"/>
        </w:rPr>
        <w:t>refere</w:t>
      </w:r>
      <w:r w:rsidR="00DE7481" w:rsidRPr="00FC2BAD">
        <w:rPr>
          <w:rFonts w:cs="Arial"/>
          <w:b w:val="0"/>
          <w:u w:val="none"/>
          <w:lang w:val="es-MX"/>
        </w:rPr>
        <w:t>ndum</w:t>
      </w:r>
      <w:proofErr w:type="spellEnd"/>
      <w:r w:rsidR="00DE7481" w:rsidRPr="00FC2BAD">
        <w:rPr>
          <w:rFonts w:cs="Arial"/>
          <w:b w:val="0"/>
          <w:u w:val="none"/>
          <w:lang w:val="es-MX"/>
        </w:rPr>
        <w:t xml:space="preserve"> de la anuencia de la Junta Departamental solicitada por las obligaciones asumidas;</w:t>
      </w:r>
    </w:p>
    <w:p w:rsidR="00FC2BAD" w:rsidRDefault="002542AF" w:rsidP="00FC2BAD">
      <w:pPr>
        <w:pStyle w:val="Ttulo"/>
        <w:ind w:firstLine="2694"/>
        <w:jc w:val="both"/>
        <w:rPr>
          <w:b w:val="0"/>
          <w:bCs/>
          <w:u w:val="none"/>
        </w:rPr>
      </w:pPr>
      <w:r w:rsidRPr="00FC2BAD">
        <w:rPr>
          <w:rFonts w:cs="Arial"/>
          <w:u w:val="none"/>
          <w:lang w:val="es-MX"/>
        </w:rPr>
        <w:t>2</w:t>
      </w:r>
      <w:r w:rsidR="00DE7481" w:rsidRPr="00FC2BAD">
        <w:rPr>
          <w:rFonts w:cs="Arial"/>
          <w:u w:val="none"/>
          <w:lang w:val="es-MX"/>
        </w:rPr>
        <w:t xml:space="preserve">) </w:t>
      </w:r>
      <w:r w:rsidR="001912E0" w:rsidRPr="00FC2BAD">
        <w:rPr>
          <w:b w:val="0"/>
          <w:bCs/>
          <w:u w:val="none"/>
        </w:rPr>
        <w:t xml:space="preserve">que </w:t>
      </w:r>
      <w:r w:rsidR="006826AA" w:rsidRPr="00FC2BAD">
        <w:rPr>
          <w:b w:val="0"/>
          <w:bCs/>
          <w:u w:val="none"/>
        </w:rPr>
        <w:t>con fecha</w:t>
      </w:r>
      <w:r w:rsidR="0022037B" w:rsidRPr="00FC2BAD">
        <w:rPr>
          <w:b w:val="0"/>
          <w:bCs/>
          <w:u w:val="none"/>
        </w:rPr>
        <w:t xml:space="preserve"> </w:t>
      </w:r>
      <w:r w:rsidR="001C62E7" w:rsidRPr="00FC2BAD">
        <w:rPr>
          <w:b w:val="0"/>
          <w:bCs/>
          <w:u w:val="none"/>
        </w:rPr>
        <w:t>12.11.13</w:t>
      </w:r>
      <w:r w:rsidR="001912E0" w:rsidRPr="00FC2BAD">
        <w:rPr>
          <w:b w:val="0"/>
          <w:bCs/>
          <w:u w:val="none"/>
        </w:rPr>
        <w:t xml:space="preserve">, la Intendencia, </w:t>
      </w:r>
      <w:r w:rsidR="00FC2BAD" w:rsidRPr="00FC2BAD">
        <w:rPr>
          <w:b w:val="0"/>
          <w:bCs/>
          <w:u w:val="none"/>
        </w:rPr>
        <w:t>ANCAP</w:t>
      </w:r>
      <w:r w:rsidR="001912E0" w:rsidRPr="00FC2BAD">
        <w:rPr>
          <w:b w:val="0"/>
          <w:bCs/>
          <w:u w:val="none"/>
        </w:rPr>
        <w:t xml:space="preserve"> y </w:t>
      </w:r>
      <w:r w:rsidR="00FC2BAD" w:rsidRPr="00FC2BAD">
        <w:rPr>
          <w:b w:val="0"/>
          <w:bCs/>
          <w:u w:val="none"/>
        </w:rPr>
        <w:t>DUCSA</w:t>
      </w:r>
      <w:r w:rsidR="001912E0" w:rsidRPr="00FC2BAD">
        <w:rPr>
          <w:b w:val="0"/>
          <w:bCs/>
          <w:u w:val="none"/>
        </w:rPr>
        <w:t xml:space="preserve"> firmaron convenio para la cancelación de adeudos de la Intendencia, donde se </w:t>
      </w:r>
      <w:r w:rsidR="006826AA" w:rsidRPr="00FC2BAD">
        <w:rPr>
          <w:b w:val="0"/>
          <w:bCs/>
          <w:u w:val="none"/>
        </w:rPr>
        <w:t>reconoce</w:t>
      </w:r>
      <w:r w:rsidR="001912E0" w:rsidRPr="00FC2BAD">
        <w:rPr>
          <w:b w:val="0"/>
          <w:bCs/>
          <w:u w:val="none"/>
        </w:rPr>
        <w:t xml:space="preserve"> que la deuda </w:t>
      </w:r>
      <w:r w:rsidR="001C62E7" w:rsidRPr="00FC2BAD">
        <w:rPr>
          <w:b w:val="0"/>
          <w:bCs/>
          <w:u w:val="none"/>
        </w:rPr>
        <w:t xml:space="preserve">en pesos </w:t>
      </w:r>
      <w:r w:rsidR="001912E0" w:rsidRPr="00FC2BAD">
        <w:rPr>
          <w:b w:val="0"/>
          <w:bCs/>
          <w:u w:val="none"/>
        </w:rPr>
        <w:t>de ésta con</w:t>
      </w:r>
      <w:r w:rsidR="00FC2BAD" w:rsidRPr="00FC2BAD">
        <w:rPr>
          <w:b w:val="0"/>
          <w:bCs/>
          <w:u w:val="none"/>
        </w:rPr>
        <w:t xml:space="preserve"> ANCAP </w:t>
      </w:r>
      <w:r w:rsidR="001912E0" w:rsidRPr="00FC2BAD">
        <w:rPr>
          <w:b w:val="0"/>
          <w:bCs/>
          <w:u w:val="none"/>
        </w:rPr>
        <w:t>asciende a  $146</w:t>
      </w:r>
      <w:r w:rsidR="00FC2BAD">
        <w:rPr>
          <w:b w:val="0"/>
          <w:bCs/>
          <w:u w:val="none"/>
        </w:rPr>
        <w:t>:</w:t>
      </w:r>
      <w:r w:rsidR="001912E0" w:rsidRPr="00FC2BAD">
        <w:rPr>
          <w:b w:val="0"/>
          <w:bCs/>
          <w:u w:val="none"/>
        </w:rPr>
        <w:t>007.192, la que se cancelará de la siguiente manera</w:t>
      </w:r>
      <w:r w:rsidR="001C62E7" w:rsidRPr="00FC2BAD">
        <w:rPr>
          <w:b w:val="0"/>
          <w:bCs/>
          <w:u w:val="none"/>
        </w:rPr>
        <w:t xml:space="preserve"> por documentos por separado</w:t>
      </w:r>
      <w:r w:rsidR="001912E0" w:rsidRPr="00FC2BAD">
        <w:rPr>
          <w:b w:val="0"/>
          <w:bCs/>
          <w:u w:val="none"/>
        </w:rPr>
        <w:t>:</w:t>
      </w:r>
    </w:p>
    <w:p w:rsidR="00E77C83" w:rsidRDefault="002542AF" w:rsidP="00FC2BAD">
      <w:pPr>
        <w:pStyle w:val="Ttulo"/>
        <w:ind w:firstLine="2694"/>
        <w:jc w:val="both"/>
        <w:rPr>
          <w:b w:val="0"/>
          <w:bCs/>
          <w:u w:val="none"/>
        </w:rPr>
      </w:pPr>
      <w:r w:rsidRPr="00FC2BAD">
        <w:rPr>
          <w:bCs/>
          <w:u w:val="none"/>
        </w:rPr>
        <w:t>2.1</w:t>
      </w:r>
      <w:r w:rsidR="001912E0" w:rsidRPr="00FC2BAD">
        <w:rPr>
          <w:bCs/>
          <w:u w:val="none"/>
        </w:rPr>
        <w:t xml:space="preserve">) </w:t>
      </w:r>
      <w:r w:rsidR="00FC2BAD">
        <w:rPr>
          <w:b w:val="0"/>
          <w:bCs/>
          <w:u w:val="none"/>
        </w:rPr>
        <w:t>$ 20:</w:t>
      </w:r>
      <w:r w:rsidR="001912E0" w:rsidRPr="00FC2BAD">
        <w:rPr>
          <w:b w:val="0"/>
          <w:bCs/>
          <w:u w:val="none"/>
        </w:rPr>
        <w:t xml:space="preserve">908.461 que </w:t>
      </w:r>
      <w:r w:rsidR="00FC2BAD" w:rsidRPr="00FC2BAD">
        <w:rPr>
          <w:b w:val="0"/>
          <w:bCs/>
          <w:u w:val="none"/>
        </w:rPr>
        <w:t>ANCAP</w:t>
      </w:r>
      <w:r w:rsidR="001912E0" w:rsidRPr="00FC2BAD">
        <w:rPr>
          <w:b w:val="0"/>
          <w:bCs/>
          <w:u w:val="none"/>
        </w:rPr>
        <w:t xml:space="preserve"> cedió a </w:t>
      </w:r>
      <w:r w:rsidR="00FC2BAD" w:rsidRPr="00FC2BAD">
        <w:rPr>
          <w:b w:val="0"/>
          <w:bCs/>
          <w:u w:val="none"/>
        </w:rPr>
        <w:t xml:space="preserve">DUCSA </w:t>
      </w:r>
      <w:r w:rsidR="001912E0" w:rsidRPr="00FC2BAD">
        <w:rPr>
          <w:b w:val="0"/>
          <w:bCs/>
          <w:u w:val="none"/>
        </w:rPr>
        <w:t xml:space="preserve">mediante la enajenación a ésta o </w:t>
      </w:r>
      <w:proofErr w:type="spellStart"/>
      <w:r w:rsidR="001912E0" w:rsidRPr="00FC2BAD">
        <w:rPr>
          <w:b w:val="0"/>
          <w:bCs/>
          <w:u w:val="none"/>
        </w:rPr>
        <w:t>Winimax</w:t>
      </w:r>
      <w:proofErr w:type="spellEnd"/>
      <w:r w:rsidR="001912E0" w:rsidRPr="00FC2BAD">
        <w:rPr>
          <w:b w:val="0"/>
          <w:bCs/>
          <w:u w:val="none"/>
        </w:rPr>
        <w:t xml:space="preserve"> S.A. de los padrones y remanentes de padrones que figuran en el Anexo I, por </w:t>
      </w:r>
      <w:r w:rsidR="00C11AD4">
        <w:rPr>
          <w:b w:val="0"/>
          <w:bCs/>
          <w:u w:val="none"/>
        </w:rPr>
        <w:t>e</w:t>
      </w:r>
      <w:r w:rsidR="001912E0" w:rsidRPr="00FC2BAD">
        <w:rPr>
          <w:b w:val="0"/>
          <w:bCs/>
          <w:u w:val="none"/>
        </w:rPr>
        <w:t xml:space="preserve">l valor de tasación expedido por la Dirección Nacional de Catastro, debiendo la Intendencia a efectos de la enajenación, empadronar la franja de los sobrantes de los </w:t>
      </w:r>
      <w:r w:rsidR="00FC2BAD">
        <w:rPr>
          <w:b w:val="0"/>
          <w:bCs/>
          <w:u w:val="none"/>
        </w:rPr>
        <w:t>P</w:t>
      </w:r>
      <w:r w:rsidR="001912E0" w:rsidRPr="00FC2BAD">
        <w:rPr>
          <w:b w:val="0"/>
          <w:bCs/>
          <w:u w:val="none"/>
        </w:rPr>
        <w:t>adrones 16200, 16201, 45404, 16203, 16204 y 16205 de Ciudad de la Costa;</w:t>
      </w:r>
    </w:p>
    <w:p w:rsidR="00E77C83" w:rsidRDefault="002542AF" w:rsidP="00E77C83">
      <w:pPr>
        <w:pStyle w:val="Ttulo"/>
        <w:ind w:firstLine="2694"/>
        <w:jc w:val="both"/>
        <w:rPr>
          <w:b w:val="0"/>
          <w:bCs/>
          <w:u w:val="none"/>
        </w:rPr>
      </w:pPr>
      <w:r w:rsidRPr="00E77C83">
        <w:rPr>
          <w:bCs/>
          <w:u w:val="none"/>
        </w:rPr>
        <w:lastRenderedPageBreak/>
        <w:t>2.2</w:t>
      </w:r>
      <w:r w:rsidR="001912E0" w:rsidRPr="00E77C83">
        <w:rPr>
          <w:bCs/>
          <w:u w:val="none"/>
        </w:rPr>
        <w:t xml:space="preserve">) </w:t>
      </w:r>
      <w:r w:rsidR="001912E0" w:rsidRPr="00E77C83">
        <w:rPr>
          <w:b w:val="0"/>
          <w:bCs/>
          <w:u w:val="none"/>
        </w:rPr>
        <w:t>el equivalente a $</w:t>
      </w:r>
      <w:r w:rsidR="00E77C83">
        <w:rPr>
          <w:b w:val="0"/>
          <w:bCs/>
          <w:u w:val="none"/>
        </w:rPr>
        <w:t xml:space="preserve"> 8:</w:t>
      </w:r>
      <w:r w:rsidR="001912E0" w:rsidRPr="00E77C83">
        <w:rPr>
          <w:b w:val="0"/>
          <w:bCs/>
          <w:u w:val="none"/>
        </w:rPr>
        <w:t xml:space="preserve">213.404,52 cediendo a favor de ANCAP los créditos que la Intendencia de Canelones tiene contra DUCSA por el contrato de concesión de uso del predio sito en Rambla Costanera entre Ema Capurro y Ecuador, Ciudad de la Costa, suscrito </w:t>
      </w:r>
      <w:r w:rsidR="00B33B9A">
        <w:rPr>
          <w:b w:val="0"/>
          <w:bCs/>
          <w:u w:val="none"/>
        </w:rPr>
        <w:t>por</w:t>
      </w:r>
      <w:r w:rsidR="001912E0" w:rsidRPr="00E77C83">
        <w:rPr>
          <w:b w:val="0"/>
          <w:bCs/>
          <w:u w:val="none"/>
        </w:rPr>
        <w:t xml:space="preserve"> las partes con fecha 10.05.02 c</w:t>
      </w:r>
      <w:r w:rsidR="00E77C83">
        <w:rPr>
          <w:b w:val="0"/>
          <w:bCs/>
          <w:u w:val="none"/>
        </w:rPr>
        <w:t>orrespondientes a los meses de enero 2014 a m</w:t>
      </w:r>
      <w:r w:rsidR="001912E0" w:rsidRPr="00E77C83">
        <w:rPr>
          <w:b w:val="0"/>
          <w:bCs/>
          <w:u w:val="none"/>
        </w:rPr>
        <w:t>ayo 2032 inclusive;</w:t>
      </w:r>
    </w:p>
    <w:p w:rsidR="00E77C83" w:rsidRDefault="002542AF" w:rsidP="00E77C83">
      <w:pPr>
        <w:pStyle w:val="Ttulo"/>
        <w:ind w:firstLine="2694"/>
        <w:jc w:val="both"/>
        <w:rPr>
          <w:b w:val="0"/>
          <w:bCs/>
          <w:u w:val="none"/>
        </w:rPr>
      </w:pPr>
      <w:r w:rsidRPr="00E77C83">
        <w:rPr>
          <w:bCs/>
          <w:u w:val="none"/>
        </w:rPr>
        <w:t>2.3</w:t>
      </w:r>
      <w:r w:rsidR="001912E0" w:rsidRPr="00E77C83">
        <w:rPr>
          <w:bCs/>
          <w:u w:val="none"/>
        </w:rPr>
        <w:t xml:space="preserve">) </w:t>
      </w:r>
      <w:r w:rsidR="001912E0" w:rsidRPr="00E77C83">
        <w:rPr>
          <w:b w:val="0"/>
          <w:bCs/>
          <w:u w:val="none"/>
        </w:rPr>
        <w:t>el equivalente a $</w:t>
      </w:r>
      <w:r w:rsidR="00E77C83">
        <w:rPr>
          <w:b w:val="0"/>
          <w:bCs/>
          <w:u w:val="none"/>
        </w:rPr>
        <w:t xml:space="preserve"> 33:</w:t>
      </w:r>
      <w:r w:rsidR="001912E0" w:rsidRPr="00E77C83">
        <w:rPr>
          <w:b w:val="0"/>
          <w:bCs/>
          <w:u w:val="none"/>
        </w:rPr>
        <w:t>800.606 mediante la entrega como paga de los bienes inmuebles que figuran en el Anexo III del contrato</w:t>
      </w:r>
      <w:r w:rsidR="00B33B9A" w:rsidRPr="00E77C83">
        <w:rPr>
          <w:b w:val="0"/>
          <w:bCs/>
          <w:u w:val="none"/>
        </w:rPr>
        <w:t>;</w:t>
      </w:r>
      <w:r w:rsidR="001912E0" w:rsidRPr="00E77C83">
        <w:rPr>
          <w:b w:val="0"/>
          <w:bCs/>
          <w:u w:val="none"/>
        </w:rPr>
        <w:t xml:space="preserve"> y</w:t>
      </w:r>
    </w:p>
    <w:p w:rsidR="00E77C83" w:rsidRDefault="002542AF" w:rsidP="00E77C83">
      <w:pPr>
        <w:pStyle w:val="Ttulo"/>
        <w:ind w:firstLine="2694"/>
        <w:jc w:val="both"/>
        <w:rPr>
          <w:b w:val="0"/>
          <w:bCs/>
          <w:u w:val="none"/>
        </w:rPr>
      </w:pPr>
      <w:r w:rsidRPr="00E77C83">
        <w:rPr>
          <w:bCs/>
          <w:u w:val="none"/>
        </w:rPr>
        <w:t>2.4</w:t>
      </w:r>
      <w:r w:rsidR="001912E0" w:rsidRPr="00E77C83">
        <w:rPr>
          <w:bCs/>
          <w:u w:val="none"/>
        </w:rPr>
        <w:t xml:space="preserve">) </w:t>
      </w:r>
      <w:r w:rsidR="001912E0" w:rsidRPr="00E77C83">
        <w:rPr>
          <w:b w:val="0"/>
          <w:bCs/>
          <w:u w:val="none"/>
        </w:rPr>
        <w:t>la suma de $</w:t>
      </w:r>
      <w:r w:rsidR="00E77C83">
        <w:rPr>
          <w:b w:val="0"/>
          <w:bCs/>
          <w:u w:val="none"/>
        </w:rPr>
        <w:t xml:space="preserve"> 83:</w:t>
      </w:r>
      <w:r w:rsidR="001912E0" w:rsidRPr="00E77C83">
        <w:rPr>
          <w:b w:val="0"/>
          <w:bCs/>
          <w:u w:val="none"/>
        </w:rPr>
        <w:t>084.720,48 en efectivo u otro medio de pago que las partes acuerden, antes del 01.07.15, generando un interés compensatorio equivalente a la tasa media de empresas de intermediación financiera para empresas grandes y medianas publicado por el Banco Central.</w:t>
      </w:r>
      <w:r w:rsidR="00B33B9A">
        <w:rPr>
          <w:b w:val="0"/>
          <w:bCs/>
          <w:u w:val="none"/>
        </w:rPr>
        <w:t xml:space="preserve"> </w:t>
      </w:r>
      <w:r w:rsidR="001912E0" w:rsidRPr="00E77C83">
        <w:rPr>
          <w:b w:val="0"/>
          <w:bCs/>
          <w:u w:val="none"/>
        </w:rPr>
        <w:t xml:space="preserve"> De pagarse antes de 10 meses de la suscripción, la Intendencia tendrá una quita equivalente a la actualización de la duda descontada al 10%, no abonando los intereses compensatorios devengados, de pagar antes de los 15 meses la quita será del 4% y no se abonará</w:t>
      </w:r>
      <w:r w:rsidR="00B33B9A">
        <w:rPr>
          <w:b w:val="0"/>
          <w:bCs/>
          <w:u w:val="none"/>
        </w:rPr>
        <w:t>n</w:t>
      </w:r>
      <w:r w:rsidR="001912E0" w:rsidRPr="00E77C83">
        <w:rPr>
          <w:b w:val="0"/>
          <w:bCs/>
          <w:u w:val="none"/>
        </w:rPr>
        <w:t xml:space="preserve"> los intereses compensatorios;</w:t>
      </w:r>
    </w:p>
    <w:p w:rsidR="00E77C83" w:rsidRDefault="002542AF" w:rsidP="00E77C83">
      <w:pPr>
        <w:pStyle w:val="Ttulo"/>
        <w:ind w:firstLine="2694"/>
        <w:jc w:val="both"/>
        <w:rPr>
          <w:rFonts w:cs="Arial"/>
          <w:b w:val="0"/>
          <w:u w:val="none"/>
          <w:lang w:val="es-MX"/>
        </w:rPr>
      </w:pPr>
      <w:r w:rsidRPr="00E77C83">
        <w:rPr>
          <w:rFonts w:cs="Arial"/>
          <w:u w:val="none"/>
        </w:rPr>
        <w:t>3</w:t>
      </w:r>
      <w:r w:rsidR="00DE7481" w:rsidRPr="00E77C83">
        <w:rPr>
          <w:rFonts w:cs="Arial"/>
          <w:u w:val="none"/>
        </w:rPr>
        <w:t xml:space="preserve">) </w:t>
      </w:r>
      <w:r w:rsidR="00DE7481" w:rsidRPr="00E77C83">
        <w:rPr>
          <w:rFonts w:cs="Arial"/>
          <w:b w:val="0"/>
          <w:u w:val="none"/>
        </w:rPr>
        <w:t>que</w:t>
      </w:r>
      <w:r w:rsidR="00DE7481" w:rsidRPr="00E77C83">
        <w:rPr>
          <w:rFonts w:cs="Arial"/>
          <w:b w:val="0"/>
          <w:u w:val="none"/>
          <w:lang w:val="es-MX"/>
        </w:rPr>
        <w:t xml:space="preserve"> este Tribunal en Sesión 5 de febrero de 2014 acordó observar el gasto en virtud de ingresar estas actuaciones con principio de ejecución, dado que el convenio ya estaba suscrito;</w:t>
      </w:r>
    </w:p>
    <w:p w:rsidR="00E77C83" w:rsidRDefault="002542AF" w:rsidP="00E77C83">
      <w:pPr>
        <w:pStyle w:val="Ttulo"/>
        <w:ind w:firstLine="2694"/>
        <w:jc w:val="both"/>
        <w:rPr>
          <w:rFonts w:cs="Arial"/>
          <w:b w:val="0"/>
          <w:u w:val="none"/>
          <w:lang w:val="es-MX"/>
        </w:rPr>
      </w:pPr>
      <w:r w:rsidRPr="00E77C83">
        <w:rPr>
          <w:rFonts w:cs="Arial"/>
          <w:u w:val="none"/>
          <w:lang w:val="es-MX"/>
        </w:rPr>
        <w:t>4</w:t>
      </w:r>
      <w:r w:rsidR="00DE7481" w:rsidRPr="00E77C83">
        <w:rPr>
          <w:rFonts w:cs="Arial"/>
          <w:u w:val="none"/>
          <w:lang w:val="es-MX"/>
        </w:rPr>
        <w:t xml:space="preserve">) </w:t>
      </w:r>
      <w:r w:rsidR="00DE7481" w:rsidRPr="00E77C83">
        <w:rPr>
          <w:rFonts w:cs="Arial"/>
          <w:b w:val="0"/>
          <w:u w:val="none"/>
          <w:lang w:val="es-MX"/>
        </w:rPr>
        <w:t>que el Intendente por Resolución 14/01</w:t>
      </w:r>
      <w:r w:rsidR="004F073C" w:rsidRPr="00E77C83">
        <w:rPr>
          <w:rFonts w:cs="Arial"/>
          <w:b w:val="0"/>
          <w:u w:val="none"/>
          <w:lang w:val="es-MX"/>
        </w:rPr>
        <w:t>4</w:t>
      </w:r>
      <w:r w:rsidR="00DE7481" w:rsidRPr="00E77C83">
        <w:rPr>
          <w:rFonts w:cs="Arial"/>
          <w:b w:val="0"/>
          <w:u w:val="none"/>
          <w:lang w:val="es-MX"/>
        </w:rPr>
        <w:t>74 de 27</w:t>
      </w:r>
      <w:r w:rsidR="006826AA" w:rsidRPr="00E77C83">
        <w:rPr>
          <w:rFonts w:cs="Arial"/>
          <w:b w:val="0"/>
          <w:u w:val="none"/>
          <w:lang w:val="es-MX"/>
        </w:rPr>
        <w:t>.2.</w:t>
      </w:r>
      <w:r w:rsidR="00DE7481" w:rsidRPr="00E77C83">
        <w:rPr>
          <w:rFonts w:cs="Arial"/>
          <w:b w:val="0"/>
          <w:u w:val="none"/>
          <w:lang w:val="es-MX"/>
        </w:rPr>
        <w:t>2014 reiteró el gasto, sin expresar fundamentos</w:t>
      </w:r>
      <w:r w:rsidR="00E77C83">
        <w:rPr>
          <w:rFonts w:cs="Arial"/>
          <w:b w:val="0"/>
          <w:u w:val="none"/>
          <w:lang w:val="es-MX"/>
        </w:rPr>
        <w:t>, y este Tribunal en S</w:t>
      </w:r>
      <w:r w:rsidR="00F81CDA" w:rsidRPr="00E77C83">
        <w:rPr>
          <w:rFonts w:cs="Arial"/>
          <w:b w:val="0"/>
          <w:u w:val="none"/>
          <w:lang w:val="es-MX"/>
        </w:rPr>
        <w:t>esión de fecha 21 de mayo de 2014 resolvió mantener la observación formulada con fecha 5 de febrero de 2014</w:t>
      </w:r>
      <w:r w:rsidR="00DE7481" w:rsidRPr="00E77C83">
        <w:rPr>
          <w:rFonts w:cs="Arial"/>
          <w:b w:val="0"/>
          <w:u w:val="none"/>
          <w:lang w:val="es-MX"/>
        </w:rPr>
        <w:t>;</w:t>
      </w:r>
    </w:p>
    <w:p w:rsidR="00E77C83" w:rsidRDefault="002542AF" w:rsidP="00E77C83">
      <w:pPr>
        <w:pStyle w:val="Ttulo"/>
        <w:ind w:firstLine="2694"/>
        <w:jc w:val="both"/>
        <w:rPr>
          <w:rFonts w:cs="Arial"/>
          <w:b w:val="0"/>
          <w:u w:val="none"/>
          <w:lang w:val="es-MX"/>
        </w:rPr>
      </w:pPr>
      <w:r w:rsidRPr="00E77C83">
        <w:rPr>
          <w:rFonts w:cs="Arial"/>
          <w:u w:val="none"/>
          <w:lang w:val="es-MX"/>
        </w:rPr>
        <w:t>5</w:t>
      </w:r>
      <w:r w:rsidR="00F81CDA" w:rsidRPr="00E77C83">
        <w:rPr>
          <w:rFonts w:cs="Arial"/>
          <w:u w:val="none"/>
          <w:lang w:val="es-MX"/>
        </w:rPr>
        <w:t xml:space="preserve">) </w:t>
      </w:r>
      <w:r w:rsidR="00F81CDA" w:rsidRPr="00E77C83">
        <w:rPr>
          <w:rFonts w:cs="Arial"/>
          <w:b w:val="0"/>
          <w:u w:val="none"/>
          <w:lang w:val="es-MX"/>
        </w:rPr>
        <w:t xml:space="preserve">que </w:t>
      </w:r>
      <w:r w:rsidR="004F073C" w:rsidRPr="00E77C83">
        <w:rPr>
          <w:rFonts w:cs="Arial"/>
          <w:b w:val="0"/>
          <w:u w:val="none"/>
          <w:lang w:val="es-MX"/>
        </w:rPr>
        <w:t xml:space="preserve">en la oportunidad, </w:t>
      </w:r>
      <w:r w:rsidR="004842EF" w:rsidRPr="00E77C83">
        <w:rPr>
          <w:rFonts w:cs="Arial"/>
          <w:b w:val="0"/>
          <w:u w:val="none"/>
          <w:lang w:val="es-MX"/>
        </w:rPr>
        <w:t>se remite</w:t>
      </w:r>
      <w:r w:rsidR="00E77C83">
        <w:rPr>
          <w:rFonts w:cs="Arial"/>
          <w:b w:val="0"/>
          <w:u w:val="none"/>
          <w:lang w:val="es-MX"/>
        </w:rPr>
        <w:t>n</w:t>
      </w:r>
      <w:r w:rsidR="004842EF" w:rsidRPr="00E77C83">
        <w:rPr>
          <w:rFonts w:cs="Arial"/>
          <w:b w:val="0"/>
          <w:u w:val="none"/>
          <w:lang w:val="es-MX"/>
        </w:rPr>
        <w:t xml:space="preserve"> para ser intervenidos</w:t>
      </w:r>
      <w:r w:rsidR="006826AA" w:rsidRPr="00E77C83">
        <w:rPr>
          <w:rFonts w:cs="Arial"/>
          <w:b w:val="0"/>
          <w:u w:val="none"/>
          <w:lang w:val="es-MX"/>
        </w:rPr>
        <w:t xml:space="preserve"> relación de</w:t>
      </w:r>
      <w:r w:rsidR="004842EF" w:rsidRPr="00E77C83">
        <w:rPr>
          <w:rFonts w:cs="Arial"/>
          <w:b w:val="0"/>
          <w:u w:val="none"/>
          <w:lang w:val="es-MX"/>
        </w:rPr>
        <w:t xml:space="preserve"> facturas </w:t>
      </w:r>
      <w:r w:rsidRPr="00E77C83">
        <w:rPr>
          <w:rFonts w:cs="Arial"/>
          <w:b w:val="0"/>
          <w:u w:val="none"/>
          <w:lang w:val="es-MX"/>
        </w:rPr>
        <w:t xml:space="preserve">pendientes, detalladas en Actuación Nº 59 de fecha 25/10/2016, </w:t>
      </w:r>
      <w:r w:rsidR="004842EF" w:rsidRPr="00E77C83">
        <w:rPr>
          <w:rFonts w:cs="Arial"/>
          <w:b w:val="0"/>
          <w:u w:val="none"/>
          <w:lang w:val="es-MX"/>
        </w:rPr>
        <w:t xml:space="preserve">por </w:t>
      </w:r>
      <w:r w:rsidR="006826AA" w:rsidRPr="00E77C83">
        <w:rPr>
          <w:rFonts w:cs="Arial"/>
          <w:b w:val="0"/>
          <w:u w:val="none"/>
          <w:lang w:val="es-MX"/>
        </w:rPr>
        <w:t>pago</w:t>
      </w:r>
      <w:r w:rsidR="004842EF" w:rsidRPr="00E77C83">
        <w:rPr>
          <w:rFonts w:cs="Arial"/>
          <w:b w:val="0"/>
          <w:u w:val="none"/>
          <w:lang w:val="es-MX"/>
        </w:rPr>
        <w:t xml:space="preserve"> de inter</w:t>
      </w:r>
      <w:r w:rsidR="00E77C83">
        <w:rPr>
          <w:rFonts w:cs="Arial"/>
          <w:b w:val="0"/>
          <w:u w:val="none"/>
          <w:lang w:val="es-MX"/>
        </w:rPr>
        <w:t>eses año 2015 por un monto de $11:</w:t>
      </w:r>
      <w:r w:rsidR="004842EF" w:rsidRPr="00E77C83">
        <w:rPr>
          <w:rFonts w:cs="Arial"/>
          <w:b w:val="0"/>
          <w:u w:val="none"/>
          <w:lang w:val="es-MX"/>
        </w:rPr>
        <w:t xml:space="preserve">778.374, facturas por </w:t>
      </w:r>
      <w:r w:rsidR="006826AA" w:rsidRPr="00E77C83">
        <w:rPr>
          <w:rFonts w:cs="Arial"/>
          <w:b w:val="0"/>
          <w:u w:val="none"/>
          <w:lang w:val="es-MX"/>
        </w:rPr>
        <w:t>pago</w:t>
      </w:r>
      <w:r w:rsidR="004842EF" w:rsidRPr="00E77C83">
        <w:rPr>
          <w:rFonts w:cs="Arial"/>
          <w:b w:val="0"/>
          <w:u w:val="none"/>
          <w:lang w:val="es-MX"/>
        </w:rPr>
        <w:t xml:space="preserve"> de inter</w:t>
      </w:r>
      <w:r w:rsidR="00E77C83">
        <w:rPr>
          <w:rFonts w:cs="Arial"/>
          <w:b w:val="0"/>
          <w:u w:val="none"/>
          <w:lang w:val="es-MX"/>
        </w:rPr>
        <w:t>eses año 2016 por un monto de $8:</w:t>
      </w:r>
      <w:r w:rsidR="004842EF" w:rsidRPr="00E77C83">
        <w:rPr>
          <w:rFonts w:cs="Arial"/>
          <w:b w:val="0"/>
          <w:u w:val="none"/>
          <w:lang w:val="es-MX"/>
        </w:rPr>
        <w:t>411.952, y nota de crédito año 201</w:t>
      </w:r>
      <w:r w:rsidR="00E77C83">
        <w:rPr>
          <w:rFonts w:cs="Arial"/>
          <w:b w:val="0"/>
          <w:u w:val="none"/>
          <w:lang w:val="es-MX"/>
        </w:rPr>
        <w:t>6 por $ 11:</w:t>
      </w:r>
      <w:r w:rsidR="004842EF" w:rsidRPr="00E77C83">
        <w:rPr>
          <w:rFonts w:cs="Arial"/>
          <w:b w:val="0"/>
          <w:u w:val="none"/>
          <w:lang w:val="es-MX"/>
        </w:rPr>
        <w:t>558.313;</w:t>
      </w:r>
    </w:p>
    <w:p w:rsidR="00B35E6F" w:rsidRPr="00E77C83" w:rsidRDefault="002542AF" w:rsidP="00E77C83">
      <w:pPr>
        <w:pStyle w:val="Ttulo"/>
        <w:ind w:firstLine="2694"/>
        <w:jc w:val="both"/>
        <w:rPr>
          <w:rFonts w:cs="Arial"/>
          <w:b w:val="0"/>
          <w:u w:val="none"/>
          <w:lang w:val="es-MX"/>
        </w:rPr>
      </w:pPr>
      <w:r w:rsidRPr="00E77C83">
        <w:rPr>
          <w:rFonts w:cs="Arial"/>
          <w:u w:val="none"/>
          <w:lang w:val="es-MX"/>
        </w:rPr>
        <w:lastRenderedPageBreak/>
        <w:t>6</w:t>
      </w:r>
      <w:r w:rsidR="00B35E6F" w:rsidRPr="00E77C83">
        <w:rPr>
          <w:rFonts w:cs="Arial"/>
          <w:u w:val="none"/>
          <w:lang w:val="es-MX"/>
        </w:rPr>
        <w:t xml:space="preserve">) </w:t>
      </w:r>
      <w:r w:rsidR="00B35E6F" w:rsidRPr="00E77C83">
        <w:rPr>
          <w:rFonts w:cs="Arial"/>
          <w:b w:val="0"/>
          <w:u w:val="none"/>
          <w:lang w:val="es-MX"/>
        </w:rPr>
        <w:t>que se</w:t>
      </w:r>
      <w:r w:rsidR="002F2C1B" w:rsidRPr="00E77C83">
        <w:rPr>
          <w:rFonts w:cs="Arial"/>
          <w:b w:val="0"/>
          <w:u w:val="none"/>
          <w:lang w:val="es-MX"/>
        </w:rPr>
        <w:t>gún informe</w:t>
      </w:r>
      <w:r w:rsidRPr="00E77C83">
        <w:rPr>
          <w:rFonts w:cs="Arial"/>
          <w:b w:val="0"/>
          <w:u w:val="none"/>
          <w:lang w:val="es-MX"/>
        </w:rPr>
        <w:t xml:space="preserve"> de Control Presupuestal</w:t>
      </w:r>
      <w:r w:rsidR="002F2C1B" w:rsidRPr="00E77C83">
        <w:rPr>
          <w:rFonts w:cs="Arial"/>
          <w:b w:val="0"/>
          <w:u w:val="none"/>
          <w:lang w:val="es-MX"/>
        </w:rPr>
        <w:t xml:space="preserve"> de fecha 3.11.16,</w:t>
      </w:r>
      <w:r w:rsidR="00B35E6F" w:rsidRPr="00E77C83">
        <w:rPr>
          <w:rFonts w:cs="Arial"/>
          <w:b w:val="0"/>
          <w:u w:val="none"/>
          <w:lang w:val="es-MX"/>
        </w:rPr>
        <w:t xml:space="preserve"> </w:t>
      </w:r>
      <w:r w:rsidR="002F2C1B" w:rsidRPr="00E77C83">
        <w:rPr>
          <w:rFonts w:cs="Arial"/>
          <w:b w:val="0"/>
          <w:u w:val="none"/>
          <w:lang w:val="es-MX"/>
        </w:rPr>
        <w:t xml:space="preserve">en </w:t>
      </w:r>
      <w:r w:rsidR="00E77C83">
        <w:rPr>
          <w:rFonts w:cs="Arial"/>
          <w:b w:val="0"/>
          <w:u w:val="none"/>
          <w:lang w:val="es-MX"/>
        </w:rPr>
        <w:t>el presente Ejercicio el Programa 101</w:t>
      </w:r>
      <w:r w:rsidR="007469D2">
        <w:rPr>
          <w:rFonts w:cs="Arial"/>
          <w:b w:val="0"/>
          <w:u w:val="none"/>
          <w:lang w:val="es-MX"/>
        </w:rPr>
        <w:t xml:space="preserve"> </w:t>
      </w:r>
      <w:r w:rsidR="00E77C83">
        <w:rPr>
          <w:rFonts w:cs="Arial"/>
          <w:b w:val="0"/>
          <w:u w:val="none"/>
          <w:lang w:val="es-MX"/>
        </w:rPr>
        <w:t>R</w:t>
      </w:r>
      <w:r w:rsidR="00B35E6F" w:rsidRPr="00E77C83">
        <w:rPr>
          <w:rFonts w:cs="Arial"/>
          <w:b w:val="0"/>
          <w:u w:val="none"/>
          <w:lang w:val="es-MX"/>
        </w:rPr>
        <w:t>englón</w:t>
      </w:r>
      <w:r w:rsidR="00E77C83">
        <w:rPr>
          <w:rFonts w:cs="Arial"/>
          <w:b w:val="0"/>
          <w:u w:val="none"/>
          <w:lang w:val="es-MX"/>
        </w:rPr>
        <w:t xml:space="preserve"> 619 se encuentra excedido por R</w:t>
      </w:r>
      <w:r w:rsidR="00B35E6F" w:rsidRPr="00E77C83">
        <w:rPr>
          <w:rFonts w:cs="Arial"/>
          <w:b w:val="0"/>
          <w:u w:val="none"/>
          <w:lang w:val="es-MX"/>
        </w:rPr>
        <w:t xml:space="preserve">esoluciones de reiteración. Para las facturas pendientes del </w:t>
      </w:r>
      <w:r w:rsidR="00E77C83">
        <w:rPr>
          <w:rFonts w:cs="Arial"/>
          <w:b w:val="0"/>
          <w:u w:val="none"/>
          <w:lang w:val="es-MX"/>
        </w:rPr>
        <w:t>E</w:t>
      </w:r>
      <w:r w:rsidR="00B35E6F" w:rsidRPr="00E77C83">
        <w:rPr>
          <w:rFonts w:cs="Arial"/>
          <w:b w:val="0"/>
          <w:u w:val="none"/>
          <w:lang w:val="es-MX"/>
        </w:rPr>
        <w:t>jercicio 2015, se realiza adjudica</w:t>
      </w:r>
      <w:r w:rsidR="00E77C83">
        <w:rPr>
          <w:rFonts w:cs="Arial"/>
          <w:b w:val="0"/>
          <w:u w:val="none"/>
          <w:lang w:val="es-MX"/>
        </w:rPr>
        <w:t xml:space="preserve">ción a ANCAP en el </w:t>
      </w:r>
      <w:r w:rsidR="007469D2">
        <w:rPr>
          <w:rFonts w:cs="Arial"/>
          <w:b w:val="0"/>
          <w:u w:val="none"/>
          <w:lang w:val="es-MX"/>
        </w:rPr>
        <w:t>C</w:t>
      </w:r>
      <w:bookmarkStart w:id="0" w:name="_GoBack"/>
      <w:bookmarkEnd w:id="0"/>
      <w:r w:rsidR="00E77C83">
        <w:rPr>
          <w:rFonts w:cs="Arial"/>
          <w:b w:val="0"/>
          <w:u w:val="none"/>
          <w:lang w:val="es-MX"/>
        </w:rPr>
        <w:t>ódigo 343, Auxiliar 210475730011 por $ 11:</w:t>
      </w:r>
      <w:r w:rsidR="00B35E6F" w:rsidRPr="00E77C83">
        <w:rPr>
          <w:rFonts w:cs="Arial"/>
          <w:b w:val="0"/>
          <w:u w:val="none"/>
          <w:lang w:val="es-MX"/>
        </w:rPr>
        <w:t xml:space="preserve">778.374, generando OC 2026, considerando que el </w:t>
      </w:r>
      <w:r w:rsidR="00E77C83">
        <w:rPr>
          <w:rFonts w:cs="Arial"/>
          <w:b w:val="0"/>
          <w:u w:val="none"/>
          <w:lang w:val="es-MX"/>
        </w:rPr>
        <w:t>E</w:t>
      </w:r>
      <w:r w:rsidR="00B35E6F" w:rsidRPr="00E77C83">
        <w:rPr>
          <w:rFonts w:cs="Arial"/>
          <w:b w:val="0"/>
          <w:u w:val="none"/>
          <w:lang w:val="es-MX"/>
        </w:rPr>
        <w:t>jercicio 2015 se encuentra cerrado;</w:t>
      </w:r>
    </w:p>
    <w:p w:rsidR="00E77C83" w:rsidRDefault="00DE7481" w:rsidP="00E77C8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 w:rsidRPr="00BE38C6">
        <w:rPr>
          <w:rFonts w:ascii="Arial" w:hAnsi="Arial" w:cs="Arial"/>
          <w:b/>
          <w:sz w:val="24"/>
          <w:szCs w:val="24"/>
          <w:lang w:val="es-MX"/>
        </w:rPr>
        <w:t xml:space="preserve">CONSIDERANDO: </w:t>
      </w:r>
      <w:r w:rsidR="00410B15">
        <w:rPr>
          <w:rFonts w:ascii="Arial" w:hAnsi="Arial" w:cs="Arial"/>
          <w:b/>
          <w:sz w:val="24"/>
          <w:szCs w:val="24"/>
          <w:lang w:val="es-MX"/>
        </w:rPr>
        <w:t xml:space="preserve">1) </w:t>
      </w:r>
      <w:r w:rsidR="003E6785">
        <w:rPr>
          <w:rFonts w:ascii="Arial" w:hAnsi="Arial" w:cs="Arial"/>
          <w:sz w:val="24"/>
          <w:szCs w:val="24"/>
          <w:lang w:val="es-MX"/>
        </w:rPr>
        <w:t xml:space="preserve">que los presentes </w:t>
      </w:r>
      <w:r w:rsidR="0022037B">
        <w:rPr>
          <w:rFonts w:ascii="Arial" w:hAnsi="Arial" w:cs="Arial"/>
          <w:sz w:val="24"/>
          <w:szCs w:val="24"/>
          <w:lang w:val="es-MX"/>
        </w:rPr>
        <w:t>pagos</w:t>
      </w:r>
      <w:r w:rsidR="003E6785">
        <w:rPr>
          <w:rFonts w:ascii="Arial" w:hAnsi="Arial" w:cs="Arial"/>
          <w:sz w:val="24"/>
          <w:szCs w:val="24"/>
          <w:lang w:val="es-MX"/>
        </w:rPr>
        <w:t xml:space="preserve"> derivan de un convenio oportunamente observado</w:t>
      </w:r>
      <w:r w:rsidR="0022037B">
        <w:rPr>
          <w:rFonts w:ascii="Arial" w:hAnsi="Arial" w:cs="Arial"/>
          <w:sz w:val="24"/>
          <w:szCs w:val="24"/>
          <w:lang w:val="es-MX"/>
        </w:rPr>
        <w:t>, reiterado y mantenida la observación</w:t>
      </w:r>
      <w:r w:rsidR="003E6785">
        <w:rPr>
          <w:rFonts w:ascii="Arial" w:hAnsi="Arial" w:cs="Arial"/>
          <w:sz w:val="24"/>
          <w:szCs w:val="24"/>
          <w:lang w:val="es-MX"/>
        </w:rPr>
        <w:t xml:space="preserve"> por razones de legalidad insubsanables</w:t>
      </w:r>
      <w:r w:rsidR="005212AA">
        <w:rPr>
          <w:rFonts w:ascii="Arial" w:hAnsi="Arial" w:cs="Arial"/>
          <w:sz w:val="24"/>
          <w:szCs w:val="24"/>
          <w:lang w:val="es-MX"/>
        </w:rPr>
        <w:t>, que los afecta</w:t>
      </w:r>
      <w:r w:rsidR="002542AF">
        <w:rPr>
          <w:rFonts w:ascii="Arial" w:hAnsi="Arial" w:cs="Arial"/>
          <w:sz w:val="24"/>
          <w:szCs w:val="24"/>
          <w:lang w:val="es-MX"/>
        </w:rPr>
        <w:t xml:space="preserve"> (Resultandos 2 a</w:t>
      </w:r>
      <w:r w:rsidR="00E77C83">
        <w:rPr>
          <w:rFonts w:ascii="Arial" w:hAnsi="Arial" w:cs="Arial"/>
          <w:sz w:val="24"/>
          <w:szCs w:val="24"/>
          <w:lang w:val="es-MX"/>
        </w:rPr>
        <w:t xml:space="preserve"> </w:t>
      </w:r>
      <w:r w:rsidR="002542AF">
        <w:rPr>
          <w:rFonts w:ascii="Arial" w:hAnsi="Arial" w:cs="Arial"/>
          <w:sz w:val="24"/>
          <w:szCs w:val="24"/>
          <w:lang w:val="es-MX"/>
        </w:rPr>
        <w:t>4)</w:t>
      </w:r>
      <w:r w:rsidR="003E6785">
        <w:rPr>
          <w:rFonts w:ascii="Arial" w:hAnsi="Arial" w:cs="Arial"/>
          <w:sz w:val="24"/>
          <w:szCs w:val="24"/>
          <w:lang w:val="es-MX"/>
        </w:rPr>
        <w:t>;</w:t>
      </w:r>
    </w:p>
    <w:p w:rsidR="00A24BCE" w:rsidRPr="00410B15" w:rsidRDefault="00410B15" w:rsidP="00E77C83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MX"/>
        </w:rPr>
      </w:pPr>
      <w:r w:rsidRPr="00410B15">
        <w:rPr>
          <w:rFonts w:ascii="Arial" w:hAnsi="Arial" w:cs="Arial"/>
          <w:b/>
          <w:sz w:val="24"/>
          <w:szCs w:val="24"/>
          <w:lang w:val="es-MX"/>
        </w:rPr>
        <w:t>2)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que no pueden comprometerse gastos sin que exista disponibilidad suficiente en el rubro de imputación contable (Art</w:t>
      </w:r>
      <w:r w:rsidR="00E77C83">
        <w:rPr>
          <w:rFonts w:ascii="Arial" w:hAnsi="Arial" w:cs="Arial"/>
          <w:sz w:val="24"/>
          <w:szCs w:val="24"/>
          <w:lang w:val="es-MX"/>
        </w:rPr>
        <w:t>ículo</w:t>
      </w:r>
      <w:r>
        <w:rPr>
          <w:rFonts w:ascii="Arial" w:hAnsi="Arial" w:cs="Arial"/>
          <w:sz w:val="24"/>
          <w:szCs w:val="24"/>
          <w:lang w:val="es-MX"/>
        </w:rPr>
        <w:t xml:space="preserve"> 15 del TOCAF);</w:t>
      </w:r>
    </w:p>
    <w:p w:rsidR="00DE7481" w:rsidRDefault="00DE7481" w:rsidP="00E77C8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 w:rsidRPr="00BE38C6">
        <w:rPr>
          <w:rFonts w:ascii="Arial" w:hAnsi="Arial" w:cs="Arial"/>
          <w:b/>
          <w:sz w:val="24"/>
          <w:szCs w:val="24"/>
          <w:lang w:val="es-MX"/>
        </w:rPr>
        <w:t xml:space="preserve">ATENTO: </w:t>
      </w:r>
      <w:r w:rsidR="00ED12BE">
        <w:rPr>
          <w:rFonts w:ascii="Arial" w:hAnsi="Arial" w:cs="Arial"/>
          <w:sz w:val="24"/>
          <w:szCs w:val="24"/>
          <w:lang w:val="es-MX"/>
        </w:rPr>
        <w:t>a lo precedentemente expuesto;</w:t>
      </w:r>
    </w:p>
    <w:p w:rsidR="00DE7481" w:rsidRPr="00E77C83" w:rsidRDefault="00DE7481" w:rsidP="00E77C83">
      <w:pPr>
        <w:pStyle w:val="Ttulo1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E77C83">
        <w:rPr>
          <w:rFonts w:ascii="Arial" w:hAnsi="Arial" w:cs="Arial"/>
          <w:color w:val="auto"/>
          <w:sz w:val="24"/>
          <w:szCs w:val="24"/>
        </w:rPr>
        <w:t>EL TRIBUNAL ACUERDA</w:t>
      </w:r>
    </w:p>
    <w:p w:rsidR="0022037B" w:rsidRDefault="0022037B" w:rsidP="00DE7481">
      <w:pPr>
        <w:numPr>
          <w:ilvl w:val="0"/>
          <w:numId w:val="2"/>
        </w:numPr>
        <w:tabs>
          <w:tab w:val="num" w:pos="360"/>
        </w:tabs>
        <w:spacing w:after="0" w:line="360" w:lineRule="auto"/>
        <w:jc w:val="both"/>
        <w:rPr>
          <w:rFonts w:ascii="Arial" w:hAnsi="Arial"/>
          <w:sz w:val="24"/>
          <w:szCs w:val="24"/>
          <w:lang w:val="es-MX"/>
        </w:rPr>
      </w:pPr>
      <w:r>
        <w:rPr>
          <w:rFonts w:ascii="Arial" w:hAnsi="Arial"/>
          <w:sz w:val="24"/>
          <w:szCs w:val="24"/>
          <w:lang w:val="es-MX"/>
        </w:rPr>
        <w:t xml:space="preserve">Estar a lo dispuesto en Sesión de fecha 5.2.2014; </w:t>
      </w:r>
    </w:p>
    <w:p w:rsidR="001913B4" w:rsidRDefault="00ED12BE" w:rsidP="00DE7481">
      <w:pPr>
        <w:numPr>
          <w:ilvl w:val="0"/>
          <w:numId w:val="2"/>
        </w:numPr>
        <w:tabs>
          <w:tab w:val="num" w:pos="360"/>
        </w:tabs>
        <w:spacing w:after="0" w:line="360" w:lineRule="auto"/>
        <w:jc w:val="both"/>
        <w:rPr>
          <w:rFonts w:ascii="Arial" w:hAnsi="Arial"/>
          <w:sz w:val="24"/>
          <w:szCs w:val="24"/>
          <w:lang w:val="es-MX"/>
        </w:rPr>
      </w:pPr>
      <w:r>
        <w:rPr>
          <w:rFonts w:ascii="Arial" w:hAnsi="Arial"/>
          <w:sz w:val="24"/>
          <w:szCs w:val="24"/>
          <w:lang w:val="es-MX"/>
        </w:rPr>
        <w:t xml:space="preserve">Observar </w:t>
      </w:r>
      <w:r w:rsidR="0022037B">
        <w:rPr>
          <w:rFonts w:ascii="Arial" w:hAnsi="Arial"/>
          <w:sz w:val="24"/>
          <w:szCs w:val="24"/>
          <w:lang w:val="es-MX"/>
        </w:rPr>
        <w:t xml:space="preserve">los pagos </w:t>
      </w:r>
      <w:r w:rsidR="002542AF">
        <w:rPr>
          <w:rFonts w:ascii="Arial" w:hAnsi="Arial"/>
          <w:sz w:val="24"/>
          <w:szCs w:val="24"/>
          <w:lang w:val="es-MX"/>
        </w:rPr>
        <w:t>(</w:t>
      </w:r>
      <w:r w:rsidR="0022037B">
        <w:rPr>
          <w:rFonts w:ascii="Arial" w:hAnsi="Arial"/>
          <w:sz w:val="24"/>
          <w:szCs w:val="24"/>
          <w:lang w:val="es-MX"/>
        </w:rPr>
        <w:t xml:space="preserve">Resultando </w:t>
      </w:r>
      <w:r w:rsidR="002542AF">
        <w:rPr>
          <w:rFonts w:ascii="Arial" w:hAnsi="Arial"/>
          <w:sz w:val="24"/>
          <w:szCs w:val="24"/>
          <w:lang w:val="es-MX"/>
        </w:rPr>
        <w:t>5)</w:t>
      </w:r>
      <w:r w:rsidR="00E77C83">
        <w:rPr>
          <w:rFonts w:ascii="Arial" w:hAnsi="Arial"/>
          <w:sz w:val="24"/>
          <w:szCs w:val="24"/>
          <w:lang w:val="es-MX"/>
        </w:rPr>
        <w:t xml:space="preserve"> de acuerdo con</w:t>
      </w:r>
      <w:r w:rsidR="0022037B">
        <w:rPr>
          <w:rFonts w:ascii="Arial" w:hAnsi="Arial"/>
          <w:sz w:val="24"/>
          <w:szCs w:val="24"/>
          <w:lang w:val="es-MX"/>
        </w:rPr>
        <w:t xml:space="preserve"> lo expresado en el Considerando 2</w:t>
      </w:r>
      <w:r w:rsidR="00E77C83">
        <w:rPr>
          <w:rFonts w:ascii="Arial" w:hAnsi="Arial"/>
          <w:sz w:val="24"/>
          <w:szCs w:val="24"/>
          <w:lang w:val="es-MX"/>
        </w:rPr>
        <w:t>)</w:t>
      </w:r>
      <w:r>
        <w:rPr>
          <w:rFonts w:ascii="Arial" w:hAnsi="Arial"/>
          <w:sz w:val="24"/>
          <w:szCs w:val="24"/>
          <w:lang w:val="es-MX"/>
        </w:rPr>
        <w:t>;</w:t>
      </w:r>
    </w:p>
    <w:p w:rsidR="00E77C83" w:rsidRPr="00E77C83" w:rsidRDefault="00ED12BE" w:rsidP="00E77C83">
      <w:pPr>
        <w:numPr>
          <w:ilvl w:val="0"/>
          <w:numId w:val="2"/>
        </w:numPr>
        <w:tabs>
          <w:tab w:val="num" w:pos="3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s-MX"/>
        </w:rPr>
        <w:t>Devolver las actuaciones.</w:t>
      </w:r>
    </w:p>
    <w:p w:rsidR="00E77C83" w:rsidRDefault="00E77C83" w:rsidP="00E77C83">
      <w:pPr>
        <w:spacing w:after="0" w:line="360" w:lineRule="auto"/>
        <w:jc w:val="both"/>
        <w:rPr>
          <w:rFonts w:ascii="Arial" w:hAnsi="Arial"/>
          <w:sz w:val="24"/>
          <w:szCs w:val="24"/>
          <w:lang w:val="es-MX"/>
        </w:rPr>
      </w:pPr>
    </w:p>
    <w:p w:rsidR="00E77C83" w:rsidRDefault="00E77C83" w:rsidP="00E77C83">
      <w:pPr>
        <w:spacing w:after="0" w:line="360" w:lineRule="auto"/>
        <w:jc w:val="both"/>
        <w:rPr>
          <w:rFonts w:ascii="Arial" w:hAnsi="Arial"/>
          <w:sz w:val="24"/>
          <w:szCs w:val="24"/>
          <w:lang w:val="es-MX"/>
        </w:rPr>
      </w:pPr>
    </w:p>
    <w:p w:rsidR="00E77C83" w:rsidRDefault="00E77C83" w:rsidP="00E77C83">
      <w:pPr>
        <w:spacing w:after="0" w:line="360" w:lineRule="auto"/>
        <w:jc w:val="both"/>
        <w:rPr>
          <w:rFonts w:ascii="Arial" w:hAnsi="Arial"/>
          <w:sz w:val="24"/>
          <w:szCs w:val="24"/>
          <w:lang w:val="es-MX"/>
        </w:rPr>
      </w:pPr>
    </w:p>
    <w:p w:rsidR="00E3263D" w:rsidRPr="00E3263D" w:rsidRDefault="00E77C83" w:rsidP="00E77C83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  <w:lang w:val="es-MX"/>
        </w:rPr>
        <w:t>dc</w:t>
      </w:r>
      <w:proofErr w:type="gramEnd"/>
      <w:r w:rsidRPr="00E3263D">
        <w:rPr>
          <w:rFonts w:ascii="Arial" w:hAnsi="Arial" w:cs="Arial"/>
          <w:sz w:val="24"/>
          <w:szCs w:val="24"/>
        </w:rPr>
        <w:t xml:space="preserve"> </w:t>
      </w:r>
    </w:p>
    <w:sectPr w:rsidR="00E3263D" w:rsidRPr="00E3263D" w:rsidSect="00485B8F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C83" w:rsidRDefault="00E77C83" w:rsidP="00E77C83">
      <w:pPr>
        <w:spacing w:after="0" w:line="240" w:lineRule="auto"/>
      </w:pPr>
      <w:r>
        <w:separator/>
      </w:r>
    </w:p>
  </w:endnote>
  <w:endnote w:type="continuationSeparator" w:id="0">
    <w:p w:rsidR="00E77C83" w:rsidRDefault="00E77C83" w:rsidP="00E77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2623760"/>
      <w:docPartObj>
        <w:docPartGallery w:val="Page Numbers (Bottom of Page)"/>
        <w:docPartUnique/>
      </w:docPartObj>
    </w:sdtPr>
    <w:sdtEndPr/>
    <w:sdtContent>
      <w:p w:rsidR="00E77C83" w:rsidRDefault="00E77C8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B8F">
          <w:rPr>
            <w:noProof/>
          </w:rPr>
          <w:t>3</w:t>
        </w:r>
        <w:r>
          <w:fldChar w:fldCharType="end"/>
        </w:r>
      </w:p>
    </w:sdtContent>
  </w:sdt>
  <w:p w:rsidR="00E77C83" w:rsidRDefault="00E77C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C83" w:rsidRDefault="00E77C83" w:rsidP="00E77C83">
      <w:pPr>
        <w:spacing w:after="0" w:line="240" w:lineRule="auto"/>
      </w:pPr>
      <w:r>
        <w:separator/>
      </w:r>
    </w:p>
  </w:footnote>
  <w:footnote w:type="continuationSeparator" w:id="0">
    <w:p w:rsidR="00E77C83" w:rsidRDefault="00E77C83" w:rsidP="00E77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B92"/>
    <w:multiLevelType w:val="singleLevel"/>
    <w:tmpl w:val="6282B426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B8"/>
    <w:rsid w:val="001809C7"/>
    <w:rsid w:val="001912E0"/>
    <w:rsid w:val="001913B4"/>
    <w:rsid w:val="001C62E7"/>
    <w:rsid w:val="00216BE2"/>
    <w:rsid w:val="0022037B"/>
    <w:rsid w:val="002476BB"/>
    <w:rsid w:val="002542AF"/>
    <w:rsid w:val="00284B84"/>
    <w:rsid w:val="002F2C1B"/>
    <w:rsid w:val="00357555"/>
    <w:rsid w:val="003B76CD"/>
    <w:rsid w:val="003E4505"/>
    <w:rsid w:val="003E6785"/>
    <w:rsid w:val="00410B15"/>
    <w:rsid w:val="00421239"/>
    <w:rsid w:val="00423D80"/>
    <w:rsid w:val="00444470"/>
    <w:rsid w:val="004842EF"/>
    <w:rsid w:val="00485B8F"/>
    <w:rsid w:val="004F073C"/>
    <w:rsid w:val="005212AA"/>
    <w:rsid w:val="005C352B"/>
    <w:rsid w:val="006826AA"/>
    <w:rsid w:val="00706CAD"/>
    <w:rsid w:val="00711798"/>
    <w:rsid w:val="007173C8"/>
    <w:rsid w:val="007469D2"/>
    <w:rsid w:val="00854095"/>
    <w:rsid w:val="008E45F2"/>
    <w:rsid w:val="00940E8E"/>
    <w:rsid w:val="009A109F"/>
    <w:rsid w:val="009F39DE"/>
    <w:rsid w:val="00A16671"/>
    <w:rsid w:val="00A24BCE"/>
    <w:rsid w:val="00A34414"/>
    <w:rsid w:val="00AD1E98"/>
    <w:rsid w:val="00B33B9A"/>
    <w:rsid w:val="00B35E6F"/>
    <w:rsid w:val="00BE38C6"/>
    <w:rsid w:val="00C11AD4"/>
    <w:rsid w:val="00C846E1"/>
    <w:rsid w:val="00D417A4"/>
    <w:rsid w:val="00DB1DD7"/>
    <w:rsid w:val="00DE7481"/>
    <w:rsid w:val="00E003DE"/>
    <w:rsid w:val="00E27A82"/>
    <w:rsid w:val="00E3263D"/>
    <w:rsid w:val="00E77C83"/>
    <w:rsid w:val="00ED12BE"/>
    <w:rsid w:val="00F0205E"/>
    <w:rsid w:val="00F15EB8"/>
    <w:rsid w:val="00F36D03"/>
    <w:rsid w:val="00F81CDA"/>
    <w:rsid w:val="00FC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74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F15EB8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15EB8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F15EB8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sid w:val="00F15EB8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F15EB8"/>
    <w:pPr>
      <w:spacing w:after="0" w:line="360" w:lineRule="auto"/>
      <w:jc w:val="center"/>
    </w:pPr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F15EB8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E7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E77C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7C83"/>
  </w:style>
  <w:style w:type="paragraph" w:styleId="Piedepgina">
    <w:name w:val="footer"/>
    <w:basedOn w:val="Normal"/>
    <w:link w:val="PiedepginaCar"/>
    <w:uiPriority w:val="99"/>
    <w:unhideWhenUsed/>
    <w:rsid w:val="00E77C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74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F15EB8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15EB8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F15EB8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sid w:val="00F15EB8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F15EB8"/>
    <w:pPr>
      <w:spacing w:after="0" w:line="360" w:lineRule="auto"/>
      <w:jc w:val="center"/>
    </w:pPr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F15EB8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E74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E77C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7C83"/>
  </w:style>
  <w:style w:type="paragraph" w:styleId="Piedepgina">
    <w:name w:val="footer"/>
    <w:basedOn w:val="Normal"/>
    <w:link w:val="PiedepginaCar"/>
    <w:uiPriority w:val="99"/>
    <w:unhideWhenUsed/>
    <w:rsid w:val="00E77C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B0BB5-DBFA-4F9D-9A3A-B784E405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Tribunal1</cp:lastModifiedBy>
  <cp:revision>6</cp:revision>
  <cp:lastPrinted>2016-12-26T19:06:00Z</cp:lastPrinted>
  <dcterms:created xsi:type="dcterms:W3CDTF">2016-12-26T18:50:00Z</dcterms:created>
  <dcterms:modified xsi:type="dcterms:W3CDTF">2016-12-26T19:07:00Z</dcterms:modified>
</cp:coreProperties>
</file>