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08" w:rsidRPr="00B95808" w:rsidRDefault="00B95808" w:rsidP="00B95808">
      <w:pPr>
        <w:tabs>
          <w:tab w:val="center" w:pos="4253"/>
        </w:tabs>
        <w:suppressAutoHyphens/>
        <w:jc w:val="right"/>
        <w:rPr>
          <w:rFonts w:cs="Arial"/>
          <w:b/>
          <w:color w:val="000000"/>
          <w:sz w:val="28"/>
          <w:szCs w:val="28"/>
          <w:lang w:val="es-ES_tradnl"/>
        </w:rPr>
      </w:pPr>
      <w:bookmarkStart w:id="0" w:name="_GoBack"/>
      <w:bookmarkEnd w:id="0"/>
      <w:r w:rsidRPr="00B95808">
        <w:rPr>
          <w:rFonts w:cs="Arial"/>
          <w:b/>
          <w:color w:val="000000"/>
          <w:sz w:val="28"/>
          <w:szCs w:val="28"/>
          <w:lang w:val="es-ES_tradnl"/>
        </w:rPr>
        <w:t>RES. 442/17</w:t>
      </w:r>
    </w:p>
    <w:p w:rsidR="00B95808" w:rsidRPr="00B95808" w:rsidRDefault="00B95808" w:rsidP="00B95808">
      <w:pPr>
        <w:tabs>
          <w:tab w:val="center" w:pos="4253"/>
        </w:tabs>
        <w:suppressAutoHyphens/>
        <w:jc w:val="right"/>
        <w:rPr>
          <w:rFonts w:cs="Arial"/>
          <w:b/>
          <w:color w:val="000000"/>
          <w:szCs w:val="20"/>
          <w:lang w:val="es-ES_tradnl"/>
        </w:rPr>
      </w:pPr>
    </w:p>
    <w:p w:rsidR="00B95808" w:rsidRPr="00B95808" w:rsidRDefault="00B95808" w:rsidP="00B95808">
      <w:pPr>
        <w:tabs>
          <w:tab w:val="center" w:pos="4253"/>
        </w:tabs>
        <w:suppressAutoHyphens/>
        <w:jc w:val="center"/>
        <w:rPr>
          <w:rFonts w:cs="Arial"/>
          <w:b/>
          <w:color w:val="000000"/>
          <w:szCs w:val="20"/>
          <w:lang w:val="es-ES_tradnl"/>
        </w:rPr>
      </w:pPr>
      <w:r w:rsidRPr="00B95808">
        <w:rPr>
          <w:rFonts w:cs="Arial"/>
          <w:b/>
          <w:color w:val="000000"/>
          <w:szCs w:val="20"/>
          <w:lang w:val="es-ES_tradnl"/>
        </w:rPr>
        <w:t>RESOLUCION ADOPTADA POR EL</w:t>
      </w:r>
    </w:p>
    <w:p w:rsidR="00B95808" w:rsidRPr="00B95808" w:rsidRDefault="00B95808" w:rsidP="00B95808">
      <w:pPr>
        <w:tabs>
          <w:tab w:val="left" w:pos="-720"/>
        </w:tabs>
        <w:suppressAutoHyphens/>
        <w:jc w:val="center"/>
        <w:rPr>
          <w:rFonts w:cs="Arial"/>
          <w:b/>
          <w:color w:val="000000"/>
          <w:szCs w:val="20"/>
          <w:lang w:val="es-ES_tradnl"/>
        </w:rPr>
      </w:pPr>
    </w:p>
    <w:p w:rsidR="00B95808" w:rsidRPr="00B95808" w:rsidRDefault="00B95808" w:rsidP="00B95808">
      <w:pPr>
        <w:tabs>
          <w:tab w:val="center" w:pos="4253"/>
        </w:tabs>
        <w:suppressAutoHyphens/>
        <w:jc w:val="center"/>
        <w:rPr>
          <w:rFonts w:cs="Arial"/>
          <w:b/>
          <w:color w:val="000000"/>
          <w:szCs w:val="20"/>
          <w:lang w:val="es-ES_tradnl"/>
        </w:rPr>
      </w:pPr>
      <w:r w:rsidRPr="00B95808">
        <w:rPr>
          <w:rFonts w:cs="Arial"/>
          <w:b/>
          <w:color w:val="000000"/>
          <w:szCs w:val="20"/>
          <w:lang w:val="es-ES_tradnl"/>
        </w:rPr>
        <w:t>TRIBUNAL DE CUENTAS</w:t>
      </w:r>
    </w:p>
    <w:p w:rsidR="00B95808" w:rsidRPr="00B95808" w:rsidRDefault="00B95808" w:rsidP="00B95808">
      <w:pPr>
        <w:tabs>
          <w:tab w:val="left" w:pos="-720"/>
        </w:tabs>
        <w:suppressAutoHyphens/>
        <w:jc w:val="center"/>
        <w:rPr>
          <w:rFonts w:cs="Arial"/>
          <w:b/>
          <w:color w:val="000000"/>
          <w:szCs w:val="20"/>
          <w:lang w:val="es-ES_tradnl"/>
        </w:rPr>
      </w:pPr>
    </w:p>
    <w:p w:rsidR="00B95808" w:rsidRPr="00B95808" w:rsidRDefault="00B95808" w:rsidP="00B95808">
      <w:pPr>
        <w:tabs>
          <w:tab w:val="center" w:pos="4253"/>
        </w:tabs>
        <w:suppressAutoHyphens/>
        <w:jc w:val="center"/>
        <w:rPr>
          <w:rFonts w:cs="Arial"/>
          <w:b/>
          <w:color w:val="000000"/>
          <w:szCs w:val="20"/>
          <w:lang w:val="es-ES_tradnl"/>
        </w:rPr>
      </w:pPr>
      <w:r w:rsidRPr="00B95808">
        <w:rPr>
          <w:rFonts w:cs="Arial"/>
          <w:b/>
          <w:color w:val="000000"/>
          <w:szCs w:val="20"/>
          <w:lang w:val="es-ES_tradnl"/>
        </w:rPr>
        <w:t>EN SESION DE FECHA 1º DE FEBRERO DE 2017</w:t>
      </w:r>
    </w:p>
    <w:p w:rsidR="00B95808" w:rsidRPr="00B95808" w:rsidRDefault="00B95808" w:rsidP="00B95808">
      <w:pPr>
        <w:tabs>
          <w:tab w:val="center" w:pos="4253"/>
        </w:tabs>
        <w:suppressAutoHyphens/>
        <w:jc w:val="center"/>
        <w:rPr>
          <w:rFonts w:cs="Arial"/>
          <w:b/>
          <w:color w:val="000000"/>
          <w:szCs w:val="20"/>
          <w:lang w:val="es-ES_tradnl"/>
        </w:rPr>
      </w:pPr>
    </w:p>
    <w:p w:rsidR="00B95808" w:rsidRPr="00B95808" w:rsidRDefault="00B95808" w:rsidP="00B95808">
      <w:pPr>
        <w:tabs>
          <w:tab w:val="center" w:pos="4253"/>
        </w:tabs>
        <w:suppressAutoHyphens/>
        <w:jc w:val="center"/>
        <w:rPr>
          <w:rFonts w:cs="Arial"/>
          <w:b/>
          <w:color w:val="000000"/>
          <w:szCs w:val="20"/>
          <w:lang w:val="es-UY"/>
        </w:rPr>
      </w:pPr>
      <w:r w:rsidRPr="00B95808">
        <w:rPr>
          <w:rFonts w:cs="Arial"/>
          <w:b/>
          <w:color w:val="000000"/>
          <w:szCs w:val="20"/>
          <w:lang w:val="es-UY"/>
        </w:rPr>
        <w:t xml:space="preserve">(E. E. Nº 2015-17-1-0006087, Entradas  </w:t>
      </w:r>
      <w:proofErr w:type="spellStart"/>
      <w:r w:rsidRPr="00B95808">
        <w:rPr>
          <w:rFonts w:cs="Arial"/>
          <w:b/>
          <w:color w:val="000000"/>
          <w:szCs w:val="20"/>
          <w:lang w:val="es-UY"/>
        </w:rPr>
        <w:t>Nros</w:t>
      </w:r>
      <w:proofErr w:type="spellEnd"/>
      <w:r w:rsidRPr="00B95808">
        <w:rPr>
          <w:rFonts w:cs="Arial"/>
          <w:b/>
          <w:color w:val="000000"/>
          <w:szCs w:val="20"/>
          <w:lang w:val="es-UY"/>
        </w:rPr>
        <w:t>. 317/17 y 521/17)</w:t>
      </w:r>
    </w:p>
    <w:p w:rsidR="00B95808" w:rsidRPr="00B95808" w:rsidRDefault="00B95808" w:rsidP="00B95808">
      <w:pPr>
        <w:tabs>
          <w:tab w:val="center" w:pos="4253"/>
        </w:tabs>
        <w:suppressAutoHyphens/>
        <w:jc w:val="center"/>
        <w:rPr>
          <w:rFonts w:ascii="Helvetica" w:hAnsi="Helvetica"/>
          <w:color w:val="000000"/>
          <w:szCs w:val="20"/>
          <w:lang w:val="es-UY"/>
        </w:rPr>
      </w:pPr>
    </w:p>
    <w:p w:rsidR="00B95808" w:rsidRPr="00B95808" w:rsidRDefault="00B95808" w:rsidP="00B95808">
      <w:pPr>
        <w:rPr>
          <w:rFonts w:ascii="GothicPS" w:hAnsi="GothicPS"/>
          <w:b/>
          <w:color w:val="000000"/>
          <w:szCs w:val="20"/>
          <w:lang w:val="es-ES_tradnl"/>
        </w:rPr>
      </w:pPr>
    </w:p>
    <w:p w:rsidR="00B95808" w:rsidRPr="00B95808" w:rsidRDefault="00B95808" w:rsidP="00B95808">
      <w:pPr>
        <w:keepNext/>
        <w:spacing w:line="360" w:lineRule="auto"/>
        <w:ind w:firstLine="851"/>
        <w:jc w:val="both"/>
        <w:outlineLvl w:val="7"/>
        <w:rPr>
          <w:rFonts w:cs="Arial"/>
          <w:color w:val="000000"/>
          <w:szCs w:val="20"/>
          <w:lang w:val="es-ES_tradnl"/>
        </w:rPr>
      </w:pPr>
      <w:r w:rsidRPr="00B95808">
        <w:rPr>
          <w:rFonts w:cs="Arial"/>
          <w:b/>
          <w:color w:val="000000"/>
          <w:szCs w:val="20"/>
          <w:lang w:val="es-ES_tradnl"/>
        </w:rPr>
        <w:t xml:space="preserve">VISTO: </w:t>
      </w:r>
      <w:r w:rsidRPr="00B95808">
        <w:rPr>
          <w:rFonts w:cs="Arial"/>
          <w:color w:val="000000"/>
          <w:szCs w:val="20"/>
          <w:lang w:val="es-ES_tradnl"/>
        </w:rPr>
        <w:t>el Oficio Nº 002/DAD/BOL/17 de fecha 3 de enero del corriente,  remitido por el Ministerio de  Defensa Nacional, mediante el cual comunica y adjunta  la  Resolución  Nº 1108/2016,  relacionada  con  la Licitación Pública Nº 020/2015, convocada para la adquisición de una aeronave multipropósito de tamaño mediano, su mantenimiento, servicios de apoyo técnico y capacitación profesional;</w:t>
      </w:r>
    </w:p>
    <w:p w:rsidR="00B95808" w:rsidRPr="00B95808" w:rsidRDefault="00B95808" w:rsidP="00B95808">
      <w:pPr>
        <w:spacing w:line="360" w:lineRule="auto"/>
        <w:ind w:firstLine="851"/>
        <w:jc w:val="both"/>
        <w:rPr>
          <w:rFonts w:cs="Arial"/>
          <w:color w:val="000000"/>
          <w:szCs w:val="20"/>
        </w:rPr>
      </w:pPr>
      <w:r w:rsidRPr="00B95808">
        <w:rPr>
          <w:rFonts w:cs="Arial"/>
          <w:b/>
          <w:color w:val="000000"/>
          <w:szCs w:val="20"/>
        </w:rPr>
        <w:t xml:space="preserve">RESULTANDO: 1) </w:t>
      </w:r>
      <w:r w:rsidRPr="00B95808">
        <w:rPr>
          <w:rFonts w:cs="Arial"/>
          <w:color w:val="000000"/>
          <w:szCs w:val="20"/>
        </w:rPr>
        <w:t xml:space="preserve">que el Poder Ejecutivo proyectó adjudicar el objeto del citado llamado, a la empresa </w:t>
      </w:r>
      <w:proofErr w:type="spellStart"/>
      <w:r w:rsidRPr="00B95808">
        <w:rPr>
          <w:rFonts w:cs="Arial"/>
          <w:color w:val="000000"/>
          <w:szCs w:val="20"/>
        </w:rPr>
        <w:t>Floridian</w:t>
      </w:r>
      <w:proofErr w:type="spellEnd"/>
      <w:r w:rsidRPr="00B95808">
        <w:rPr>
          <w:rFonts w:cs="Arial"/>
          <w:color w:val="000000"/>
          <w:szCs w:val="20"/>
        </w:rPr>
        <w:t xml:space="preserve"> S.A., por un total de U$S  1:010.000 CIP Brigada Aérea I, Canelones, Uruguay; </w:t>
      </w:r>
    </w:p>
    <w:p w:rsidR="00B95808" w:rsidRPr="00B95808" w:rsidRDefault="00B95808" w:rsidP="00B95808">
      <w:pPr>
        <w:spacing w:line="360" w:lineRule="auto"/>
        <w:ind w:firstLine="2694"/>
        <w:jc w:val="both"/>
        <w:rPr>
          <w:rFonts w:cs="Arial"/>
          <w:color w:val="000000"/>
          <w:szCs w:val="20"/>
          <w:lang w:val="es-ES_tradnl"/>
        </w:rPr>
      </w:pPr>
      <w:r w:rsidRPr="00B95808">
        <w:rPr>
          <w:rFonts w:cs="Arial"/>
          <w:b/>
          <w:color w:val="000000"/>
          <w:szCs w:val="20"/>
        </w:rPr>
        <w:t xml:space="preserve">2) </w:t>
      </w:r>
      <w:r w:rsidRPr="00B95808">
        <w:rPr>
          <w:rFonts w:cs="Arial"/>
          <w:color w:val="000000"/>
          <w:szCs w:val="20"/>
        </w:rPr>
        <w:t>que este Tribunal en Sesión de fecha 30 de noviembre del 2016, acordó observar el gasto, en virtud de los siguientes aspectos:</w:t>
      </w:r>
    </w:p>
    <w:p w:rsidR="00B95808" w:rsidRPr="00B95808" w:rsidRDefault="00B95808" w:rsidP="00B95808">
      <w:pPr>
        <w:spacing w:line="360" w:lineRule="auto"/>
        <w:jc w:val="both"/>
        <w:rPr>
          <w:rFonts w:cs="Arial"/>
          <w:lang w:val="es-UY"/>
        </w:rPr>
      </w:pPr>
      <w:r w:rsidRPr="00B95808">
        <w:rPr>
          <w:b/>
          <w:bCs/>
          <w:lang w:val="es-UY"/>
        </w:rPr>
        <w:t xml:space="preserve">2.1) </w:t>
      </w:r>
      <w:r w:rsidRPr="00B95808">
        <w:rPr>
          <w:bCs/>
          <w:lang w:val="es-UY"/>
        </w:rPr>
        <w:t xml:space="preserve">que </w:t>
      </w:r>
      <w:r w:rsidRPr="00B95808">
        <w:rPr>
          <w:rFonts w:cs="Arial"/>
          <w:lang w:val="es-UY"/>
        </w:rPr>
        <w:t>en el Numeral 11 (“Comparación de las ofertas”) del Pliego Particular de Condiciones que rigió el llamado, se pondera en el ítem 1 (“Avión multipropósito”), el “</w:t>
      </w:r>
      <w:r w:rsidRPr="00B95808">
        <w:rPr>
          <w:rFonts w:cs="Arial"/>
          <w:i/>
          <w:lang w:val="es-UY"/>
        </w:rPr>
        <w:t xml:space="preserve">certificado de aeronavegabilidad otorgado por </w:t>
      </w:r>
      <w:smartTag w:uri="urn:schemas-microsoft-com:office:smarttags" w:element="PersonName">
        <w:smartTagPr>
          <w:attr w:name="ProductID" w:val="la DINACIA"/>
        </w:smartTagPr>
        <w:r w:rsidRPr="00B95808">
          <w:rPr>
            <w:rFonts w:cs="Arial"/>
            <w:i/>
            <w:lang w:val="es-UY"/>
          </w:rPr>
          <w:t>la DINACIA</w:t>
        </w:r>
      </w:smartTag>
      <w:r w:rsidRPr="00B95808">
        <w:rPr>
          <w:rFonts w:cs="Arial"/>
          <w:i/>
          <w:lang w:val="es-UY"/>
        </w:rPr>
        <w:t xml:space="preserve"> (Uruguay)</w:t>
      </w:r>
      <w:r w:rsidRPr="00B95808">
        <w:rPr>
          <w:rFonts w:cs="Arial"/>
          <w:lang w:val="es-UY"/>
        </w:rPr>
        <w:t>”, otorgándosele un porcentaje del 20%;</w:t>
      </w:r>
    </w:p>
    <w:p w:rsidR="00B95808" w:rsidRPr="00B95808" w:rsidRDefault="00B95808" w:rsidP="00B95808">
      <w:pPr>
        <w:spacing w:line="360" w:lineRule="auto"/>
        <w:jc w:val="both"/>
        <w:rPr>
          <w:rFonts w:cs="Arial"/>
          <w:lang w:val="es-UY"/>
        </w:rPr>
      </w:pPr>
      <w:r w:rsidRPr="00B95808">
        <w:rPr>
          <w:rFonts w:cs="Arial"/>
          <w:b/>
          <w:lang w:val="es-UY"/>
        </w:rPr>
        <w:t xml:space="preserve">2.2) </w:t>
      </w:r>
      <w:r w:rsidRPr="00B95808">
        <w:rPr>
          <w:rFonts w:cs="Arial"/>
          <w:lang w:val="es-UY"/>
        </w:rPr>
        <w:t>que</w:t>
      </w:r>
      <w:r w:rsidRPr="00B95808">
        <w:rPr>
          <w:rFonts w:cs="Arial"/>
          <w:b/>
          <w:lang w:val="es-UY"/>
        </w:rPr>
        <w:t xml:space="preserve"> </w:t>
      </w:r>
      <w:r w:rsidRPr="00B95808">
        <w:rPr>
          <w:rFonts w:cs="Arial"/>
          <w:lang w:val="es-UY"/>
        </w:rPr>
        <w:t>la Administración actuante fue consultada respecto a la interpretación de este extremo, y en respuesta que despejó cualquier duda, con fecha 07/03/16 le señaló al consultante que conforme al Pliego, “</w:t>
      </w:r>
      <w:r w:rsidRPr="00B95808">
        <w:rPr>
          <w:rFonts w:cs="Arial"/>
          <w:i/>
          <w:lang w:val="es-UY"/>
        </w:rPr>
        <w:t xml:space="preserve">se requiere que junto con la oferta se presente certificado de aeronavegabilidad vigente expedido por la autoridad </w:t>
      </w:r>
      <w:r w:rsidRPr="00B95808">
        <w:rPr>
          <w:rFonts w:cs="Arial"/>
          <w:i/>
          <w:lang w:val="es-UY"/>
        </w:rPr>
        <w:lastRenderedPageBreak/>
        <w:t>aeronáutica competente del país donde se encuentre matriculada</w:t>
      </w:r>
      <w:r w:rsidRPr="00B95808">
        <w:rPr>
          <w:rFonts w:cs="Arial"/>
          <w:lang w:val="es-UY"/>
        </w:rPr>
        <w:t xml:space="preserve">” la aeronave, pero agregó: </w:t>
      </w:r>
      <w:r w:rsidRPr="00B95808">
        <w:rPr>
          <w:rFonts w:cs="Arial"/>
          <w:i/>
          <w:lang w:val="es-UY"/>
        </w:rPr>
        <w:t xml:space="preserve">“se ponderará con mayor puntaje el Certificado de Aeronavegabilidad otorgado por </w:t>
      </w:r>
      <w:smartTag w:uri="urn:schemas-microsoft-com:office:smarttags" w:element="PersonName">
        <w:smartTagPr>
          <w:attr w:name="ProductID" w:val="la DINACIA"/>
        </w:smartTagPr>
        <w:r w:rsidRPr="00B95808">
          <w:rPr>
            <w:rFonts w:cs="Arial"/>
            <w:i/>
            <w:lang w:val="es-UY"/>
          </w:rPr>
          <w:t>la DINACIA</w:t>
        </w:r>
      </w:smartTag>
      <w:r w:rsidRPr="00B95808">
        <w:rPr>
          <w:rFonts w:cs="Arial"/>
          <w:i/>
          <w:lang w:val="es-UY"/>
        </w:rPr>
        <w:t xml:space="preserve"> (Uruguay)”</w:t>
      </w:r>
      <w:r w:rsidRPr="00B95808">
        <w:rPr>
          <w:rFonts w:cs="Arial"/>
          <w:lang w:val="es-UY"/>
        </w:rPr>
        <w:t>;</w:t>
      </w:r>
    </w:p>
    <w:p w:rsidR="00B95808" w:rsidRPr="00B95808" w:rsidRDefault="00B95808" w:rsidP="00B95808">
      <w:pPr>
        <w:spacing w:line="360" w:lineRule="auto"/>
        <w:jc w:val="both"/>
        <w:rPr>
          <w:rFonts w:cs="Arial"/>
          <w:lang w:val="es-UY"/>
        </w:rPr>
      </w:pPr>
      <w:r w:rsidRPr="00B95808">
        <w:rPr>
          <w:rFonts w:cs="Arial"/>
          <w:b/>
          <w:lang w:val="es-UY"/>
        </w:rPr>
        <w:t>2.3)</w:t>
      </w:r>
      <w:r w:rsidRPr="00B95808">
        <w:rPr>
          <w:rFonts w:cs="Arial"/>
          <w:lang w:val="es-UY"/>
        </w:rPr>
        <w:t xml:space="preserve"> que consultada la autoridad competente sobre plazos de certificación de Aeronaves por </w:t>
      </w:r>
      <w:smartTag w:uri="urn:schemas-microsoft-com:office:smarttags" w:element="PersonName">
        <w:smartTagPr>
          <w:attr w:name="ProductID" w:val="la DINACIA"/>
        </w:smartTagPr>
        <w:r w:rsidRPr="00B95808">
          <w:rPr>
            <w:rFonts w:cs="Arial"/>
            <w:lang w:val="es-UY"/>
          </w:rPr>
          <w:t>la DINACIA</w:t>
        </w:r>
      </w:smartTag>
      <w:r w:rsidRPr="00B95808">
        <w:rPr>
          <w:rFonts w:cs="Arial"/>
          <w:lang w:val="es-UY"/>
        </w:rPr>
        <w:t xml:space="preserve">, se expresa en correo electrónico de fecha 17/11/16 del Comandante en Jefe de </w:t>
      </w:r>
      <w:smartTag w:uri="urn:schemas-microsoft-com:office:smarttags" w:element="PersonName">
        <w:smartTagPr>
          <w:attr w:name="ProductID" w:val="̀͐"/>
        </w:smartTagPr>
        <w:r w:rsidRPr="00B95808">
          <w:rPr>
            <w:rFonts w:cs="Arial"/>
            <w:lang w:val="es-UY"/>
          </w:rPr>
          <w:t>la Fuerza Aérea</w:t>
        </w:r>
      </w:smartTag>
      <w:r w:rsidRPr="00B95808">
        <w:rPr>
          <w:rFonts w:cs="Arial"/>
          <w:lang w:val="es-UY"/>
        </w:rPr>
        <w:t xml:space="preserve"> Uruguaya, que el trámite no debería ser superior a los tres meses si existen antecedentes de una aeronave similar en el país;</w:t>
      </w:r>
    </w:p>
    <w:p w:rsidR="00B95808" w:rsidRPr="00B95808" w:rsidRDefault="00B95808" w:rsidP="00B95808">
      <w:pPr>
        <w:spacing w:line="360" w:lineRule="auto"/>
        <w:jc w:val="both"/>
        <w:rPr>
          <w:rFonts w:cs="Arial"/>
          <w:lang w:val="es-UY"/>
        </w:rPr>
      </w:pPr>
      <w:r w:rsidRPr="00B95808">
        <w:rPr>
          <w:rFonts w:cs="Arial"/>
          <w:b/>
          <w:lang w:val="es-UY"/>
        </w:rPr>
        <w:t>2.4)</w:t>
      </w:r>
      <w:r w:rsidRPr="00B95808">
        <w:rPr>
          <w:rFonts w:cs="Arial"/>
          <w:lang w:val="es-UY"/>
        </w:rPr>
        <w:t xml:space="preserve"> que conforme lo anterior, el eventual oferente que se enteró del llamado por las vías de estilo, no contaba con el tiempo suficiente (60 días calendario entre la publicación del llamado y su apertura) para tramitar un Certificado ante la autoridad nacional competente, que le permitiría puntuar en igualdad de condiciones con oferentes que contaran con dicho certificado;</w:t>
      </w:r>
    </w:p>
    <w:p w:rsidR="00B95808" w:rsidRPr="00B95808" w:rsidRDefault="00B95808" w:rsidP="00B95808">
      <w:pPr>
        <w:spacing w:line="360" w:lineRule="auto"/>
        <w:jc w:val="both"/>
        <w:rPr>
          <w:rFonts w:cs="Arial"/>
          <w:lang w:val="es-UY"/>
        </w:rPr>
      </w:pPr>
      <w:r w:rsidRPr="00B95808">
        <w:rPr>
          <w:rFonts w:cs="Arial"/>
          <w:b/>
          <w:lang w:val="es-UY"/>
        </w:rPr>
        <w:t xml:space="preserve">2.5) </w:t>
      </w:r>
      <w:r w:rsidRPr="00B95808">
        <w:rPr>
          <w:rFonts w:cs="Arial"/>
          <w:lang w:val="es-UY"/>
        </w:rPr>
        <w:t>que por tanto existió una imposibilidad material de competir en el procedimiento en igualdad de condiciones para aquellos eventuales oferentes que no contarán con el certificado de aeronavegabilidad expedido por DINACIA, lo que contraviene principios como el de igualdad de los oferentes y el de concurrencia (Artículo 149 del TOCAF);</w:t>
      </w:r>
    </w:p>
    <w:p w:rsidR="00B95808" w:rsidRPr="00B95808" w:rsidRDefault="00B95808" w:rsidP="00B95808">
      <w:pPr>
        <w:spacing w:line="360" w:lineRule="auto"/>
        <w:jc w:val="both"/>
        <w:rPr>
          <w:rFonts w:cs="Arial"/>
          <w:lang w:val="es-UY"/>
        </w:rPr>
      </w:pPr>
      <w:r w:rsidRPr="00B95808">
        <w:rPr>
          <w:rFonts w:cs="Arial"/>
          <w:b/>
          <w:lang w:val="es-UY"/>
        </w:rPr>
        <w:t>2.6)</w:t>
      </w:r>
      <w:r w:rsidRPr="00B95808">
        <w:rPr>
          <w:rFonts w:cs="Arial"/>
          <w:lang w:val="es-UY"/>
        </w:rPr>
        <w:t xml:space="preserve"> que asimismo, la Administración debió ponderar en el Artículo 11 del Pliego Particular de Condiciones el tratamiento que le otorgaría al ítem 36 del Anexo C del mismo (“Capacidad para la instalación de Dispositivo/s para transporte de Camilla/s”), respecto al cual exige una serie de “dispositivos de soporte vital”. En efecto, esta capacidad </w:t>
      </w:r>
      <w:r w:rsidRPr="00B95808">
        <w:rPr>
          <w:rFonts w:cs="Arial"/>
          <w:i/>
          <w:lang w:val="es-UY"/>
        </w:rPr>
        <w:t xml:space="preserve">“será evaluada a exclusivo criterio de </w:t>
      </w:r>
      <w:smartTag w:uri="urn:schemas-microsoft-com:office:smarttags" w:element="PersonName">
        <w:smartTagPr>
          <w:attr w:name="ProductID" w:val="la FAU"/>
        </w:smartTagPr>
        <w:r w:rsidRPr="00B95808">
          <w:rPr>
            <w:rFonts w:cs="Arial"/>
            <w:i/>
            <w:lang w:val="es-UY"/>
          </w:rPr>
          <w:t>la FAU</w:t>
        </w:r>
      </w:smartTag>
      <w:r w:rsidRPr="00B95808">
        <w:rPr>
          <w:rFonts w:cs="Arial"/>
          <w:i/>
          <w:lang w:val="es-UY"/>
        </w:rPr>
        <w:t>”</w:t>
      </w:r>
      <w:r w:rsidRPr="00B95808">
        <w:rPr>
          <w:rFonts w:cs="Arial"/>
          <w:lang w:val="es-UY"/>
        </w:rPr>
        <w:t xml:space="preserve">, lo cual no ofrece garantías a eventuales oferentes, descansando en la discrecionalidad de </w:t>
      </w:r>
      <w:smartTag w:uri="urn:schemas-microsoft-com:office:smarttags" w:element="PersonName">
        <w:smartTagPr>
          <w:attr w:name="ProductID" w:val="la Administraci￳n"/>
        </w:smartTagPr>
        <w:r w:rsidRPr="00B95808">
          <w:rPr>
            <w:rFonts w:cs="Arial"/>
            <w:lang w:val="es-UY"/>
          </w:rPr>
          <w:t>la Administración</w:t>
        </w:r>
      </w:smartTag>
      <w:r w:rsidRPr="00B95808">
        <w:rPr>
          <w:rFonts w:cs="Arial"/>
          <w:lang w:val="es-UY"/>
        </w:rPr>
        <w:t xml:space="preserve"> su ponderación, violentando así el Artículo 48 del TOCAF;</w:t>
      </w:r>
    </w:p>
    <w:p w:rsidR="00B95808" w:rsidRPr="00B95808" w:rsidRDefault="00B95808" w:rsidP="00B95808">
      <w:pPr>
        <w:spacing w:line="360" w:lineRule="auto"/>
        <w:ind w:firstLine="2694"/>
        <w:jc w:val="both"/>
        <w:rPr>
          <w:rFonts w:cs="Arial"/>
          <w:lang w:val="es-UY"/>
        </w:rPr>
      </w:pPr>
      <w:r w:rsidRPr="00B95808">
        <w:rPr>
          <w:rFonts w:cs="Arial"/>
          <w:b/>
          <w:lang w:val="es-UY"/>
        </w:rPr>
        <w:lastRenderedPageBreak/>
        <w:t xml:space="preserve">3) </w:t>
      </w:r>
      <w:r w:rsidRPr="00B95808">
        <w:rPr>
          <w:rFonts w:cs="Arial"/>
          <w:lang w:val="es-UY"/>
        </w:rPr>
        <w:t xml:space="preserve">que  en  esta  oportunidad  se  remite Resolución Nº 1108/016 adoptada por el Poder Ejecutivo con fecha 29 de diciembre del 2016, por la cual dispuso reiterar el referido gasto y adjudicar el objeto de la convocatoria a la firma </w:t>
      </w:r>
      <w:proofErr w:type="spellStart"/>
      <w:r w:rsidRPr="00B95808">
        <w:rPr>
          <w:rFonts w:cs="Arial"/>
          <w:lang w:val="es-UY"/>
        </w:rPr>
        <w:t>Floridian</w:t>
      </w:r>
      <w:proofErr w:type="spellEnd"/>
      <w:r w:rsidRPr="00B95808">
        <w:rPr>
          <w:rFonts w:cs="Arial"/>
          <w:lang w:val="es-UY"/>
        </w:rPr>
        <w:t xml:space="preserve"> S.A., por el monto relacionado ut supra;</w:t>
      </w:r>
    </w:p>
    <w:p w:rsidR="00B95808" w:rsidRPr="00B95808" w:rsidRDefault="00B95808" w:rsidP="00B95808">
      <w:pPr>
        <w:spacing w:line="360" w:lineRule="auto"/>
        <w:ind w:firstLine="2694"/>
        <w:jc w:val="both"/>
        <w:rPr>
          <w:rFonts w:cs="Arial"/>
          <w:lang w:val="es-UY"/>
        </w:rPr>
      </w:pPr>
      <w:r w:rsidRPr="00B95808">
        <w:rPr>
          <w:rFonts w:cs="Arial"/>
          <w:b/>
          <w:lang w:val="es-UY"/>
        </w:rPr>
        <w:t xml:space="preserve">4) </w:t>
      </w:r>
      <w:r w:rsidRPr="00B95808">
        <w:rPr>
          <w:rFonts w:cs="Arial"/>
          <w:lang w:val="es-UY"/>
        </w:rPr>
        <w:t>que en dicho acto, el Ordenador establece los fundamentos  en los que se basa la insistencia del gasto, a saber:</w:t>
      </w:r>
    </w:p>
    <w:p w:rsidR="00B95808" w:rsidRPr="00B95808" w:rsidRDefault="00B95808" w:rsidP="00B95808">
      <w:pPr>
        <w:spacing w:line="360" w:lineRule="auto"/>
        <w:jc w:val="both"/>
        <w:rPr>
          <w:rFonts w:cs="Arial"/>
          <w:lang w:val="es-UY"/>
        </w:rPr>
      </w:pPr>
      <w:r w:rsidRPr="00B95808">
        <w:rPr>
          <w:rFonts w:cs="Arial"/>
          <w:b/>
          <w:lang w:val="es-UY"/>
        </w:rPr>
        <w:t xml:space="preserve">4.1) </w:t>
      </w:r>
      <w:r w:rsidRPr="00B95808">
        <w:rPr>
          <w:rFonts w:cs="Arial"/>
          <w:lang w:val="es-UY"/>
        </w:rPr>
        <w:t>que  la  Fiscalía  de  Gobierno  de  1er.  Turno  se  expidió  por Dictamen Nº 425/16 de 14 de diciembre del 2016, concluyendo que no asiste razón al Tribunal de Cuentas en cuanto a la observación formulada por la compra de la citada aeronave;</w:t>
      </w:r>
    </w:p>
    <w:p w:rsidR="00B95808" w:rsidRPr="00B95808" w:rsidRDefault="00B95808" w:rsidP="00B95808">
      <w:pPr>
        <w:spacing w:line="360" w:lineRule="auto"/>
        <w:jc w:val="both"/>
        <w:rPr>
          <w:rFonts w:cs="Arial"/>
          <w:lang w:val="es-UY"/>
        </w:rPr>
      </w:pPr>
      <w:r w:rsidRPr="00B95808">
        <w:rPr>
          <w:rFonts w:cs="Arial"/>
          <w:b/>
          <w:lang w:val="es-UY"/>
        </w:rPr>
        <w:t>4.2)</w:t>
      </w:r>
      <w:r w:rsidRPr="00B95808">
        <w:rPr>
          <w:rFonts w:cs="Arial"/>
          <w:lang w:val="es-UY"/>
        </w:rPr>
        <w:t xml:space="preserve"> que, compartiendo lo informado por la Fiscalía de Gobierno de 1er. Turno, entiende que no existió, ni en forma real ni potencial, un apartamiento de las normas de contratación pública en lo relativo a los criterios adoptados en el Pliego de Condiciones Particulares, no verificándose ningún supuesto de vulneración de los principios de igualdad y concurrencia de los oferentes;</w:t>
      </w:r>
    </w:p>
    <w:p w:rsidR="00B95808" w:rsidRPr="00B95808" w:rsidRDefault="00B95808" w:rsidP="00B95808">
      <w:pPr>
        <w:spacing w:line="360" w:lineRule="auto"/>
        <w:jc w:val="both"/>
        <w:rPr>
          <w:rFonts w:cs="Arial"/>
          <w:lang w:val="es-UY"/>
        </w:rPr>
      </w:pPr>
      <w:r w:rsidRPr="00B95808">
        <w:rPr>
          <w:rFonts w:cs="Arial"/>
          <w:b/>
          <w:lang w:val="es-UY"/>
        </w:rPr>
        <w:t xml:space="preserve">4.3) </w:t>
      </w:r>
      <w:r w:rsidRPr="00B95808">
        <w:rPr>
          <w:rFonts w:cs="Arial"/>
          <w:lang w:val="es-UY"/>
        </w:rPr>
        <w:t>que,</w:t>
      </w:r>
      <w:r w:rsidRPr="00B95808">
        <w:rPr>
          <w:rFonts w:cs="Arial"/>
          <w:b/>
          <w:lang w:val="es-UY"/>
        </w:rPr>
        <w:t xml:space="preserve"> </w:t>
      </w:r>
      <w:r w:rsidRPr="00B95808">
        <w:rPr>
          <w:rFonts w:cs="Arial"/>
          <w:lang w:val="es-UY"/>
        </w:rPr>
        <w:t>por otra parte, se señaló que el Numeral 1)1 del Pliego Particular estableció una ponderación favorable, en el caso de presentación por parte de un oferente del  -certificado de aeronavegabilidad expedido por la Dirección Nacional de Aviación Civil e Infraestructura Aeronáutica- y que tal extremo no afecta el principio de igualdad, más allá de que eventualmente la tramitación del mismo pudiere insumir un plazo que supere el término previsto para la presentación de ofertas, estando todos los eventuales oferentes en idéntica situación;</w:t>
      </w:r>
    </w:p>
    <w:p w:rsidR="00B95808" w:rsidRPr="00B95808" w:rsidRDefault="00B95808" w:rsidP="00B95808">
      <w:pPr>
        <w:spacing w:line="360" w:lineRule="auto"/>
        <w:jc w:val="both"/>
        <w:rPr>
          <w:rFonts w:cs="Arial"/>
          <w:lang w:val="es-UY"/>
        </w:rPr>
      </w:pPr>
      <w:r w:rsidRPr="00B95808">
        <w:rPr>
          <w:rFonts w:cs="Arial"/>
          <w:b/>
          <w:lang w:val="es-UY"/>
        </w:rPr>
        <w:t xml:space="preserve">4.4) </w:t>
      </w:r>
      <w:r w:rsidRPr="00B95808">
        <w:rPr>
          <w:rFonts w:cs="Arial"/>
          <w:lang w:val="es-UY"/>
        </w:rPr>
        <w:t>que el criterio de valoración de propuestas, además de haber sido igualitario para cualquier potencial oferente, formalmente no constituyó ningún tipo de exigencia de admisibilidad de las ofertas que implicaran limitaciones a oferentes que no contaren con el antedicho certificado;</w:t>
      </w:r>
    </w:p>
    <w:p w:rsidR="00B95808" w:rsidRPr="00B95808" w:rsidRDefault="00B95808" w:rsidP="00B95808">
      <w:pPr>
        <w:spacing w:line="360" w:lineRule="auto"/>
        <w:ind w:firstLine="2694"/>
        <w:jc w:val="both"/>
        <w:rPr>
          <w:rFonts w:cs="Arial"/>
          <w:lang w:val="es-UY"/>
        </w:rPr>
      </w:pPr>
      <w:r w:rsidRPr="00B95808">
        <w:rPr>
          <w:rFonts w:cs="Arial"/>
          <w:b/>
          <w:lang w:val="es-UY"/>
        </w:rPr>
        <w:t>5)</w:t>
      </w:r>
      <w:r w:rsidRPr="00B95808">
        <w:rPr>
          <w:rFonts w:cs="Arial"/>
          <w:lang w:val="es-UY"/>
        </w:rPr>
        <w:t xml:space="preserve"> que, por Resolución 024/017 de 24 de enero de 2017 el Presidente de la República resuelve modificar el Numeral 2º de la Resolución 1.108/016 que refiere al financiamiento de la erogación la que será atendida con cargo a los créditos del Ejercicio 2017, Afectaciones 18 y 19, Proyecto 795, Objeto del gasto 356, Unidad Ejecutora 023 “Comando General de la Fuerza Aérea” del Inciso 03 Ministerio de defensa Nacional;</w:t>
      </w:r>
    </w:p>
    <w:p w:rsidR="00B95808" w:rsidRPr="00B95808" w:rsidRDefault="00B95808" w:rsidP="00B95808">
      <w:pPr>
        <w:spacing w:line="360" w:lineRule="auto"/>
        <w:ind w:firstLine="851"/>
        <w:jc w:val="both"/>
        <w:rPr>
          <w:rFonts w:cs="Arial"/>
          <w:lang w:val="es-UY"/>
        </w:rPr>
      </w:pPr>
      <w:r w:rsidRPr="00B95808">
        <w:rPr>
          <w:rFonts w:cs="Arial"/>
          <w:b/>
          <w:bCs/>
          <w:lang w:val="es-UY"/>
        </w:rPr>
        <w:t>CONSIDERANDO</w:t>
      </w:r>
      <w:r w:rsidRPr="00B95808">
        <w:rPr>
          <w:b/>
          <w:bCs/>
          <w:lang w:val="es-UY"/>
        </w:rPr>
        <w:t xml:space="preserve">: </w:t>
      </w:r>
      <w:r w:rsidRPr="00B95808">
        <w:rPr>
          <w:bCs/>
          <w:lang w:val="es-UY"/>
        </w:rPr>
        <w:t>que son de recibo los fundamentos expresados por el Poder Ejecutivo en su Resolución de 29 de diciembre de 2016, por la que dispone reiterar el gasto y adjudicar el objeto de la contratación;</w:t>
      </w:r>
    </w:p>
    <w:p w:rsidR="00B95808" w:rsidRPr="00B95808" w:rsidRDefault="00B95808" w:rsidP="00B95808">
      <w:pPr>
        <w:spacing w:line="360" w:lineRule="auto"/>
        <w:ind w:firstLine="851"/>
        <w:jc w:val="both"/>
        <w:rPr>
          <w:rFonts w:cs="Arial"/>
          <w:color w:val="000000"/>
          <w:szCs w:val="20"/>
          <w:lang w:val="es-ES_tradnl"/>
        </w:rPr>
      </w:pPr>
      <w:r w:rsidRPr="00B95808">
        <w:rPr>
          <w:rFonts w:cs="Arial"/>
          <w:b/>
          <w:color w:val="000000"/>
          <w:szCs w:val="20"/>
          <w:lang w:val="es-ES_tradnl"/>
        </w:rPr>
        <w:t xml:space="preserve">ATENTO: </w:t>
      </w:r>
      <w:r w:rsidRPr="00B95808">
        <w:rPr>
          <w:rFonts w:cs="Arial"/>
          <w:color w:val="000000"/>
          <w:szCs w:val="20"/>
          <w:lang w:val="es-ES_tradnl"/>
        </w:rPr>
        <w:t xml:space="preserve">a lo precedentemente expuesto y a lo establecido en el Artículo 211 Literal B) de </w:t>
      </w:r>
      <w:smartTag w:uri="urn:schemas-microsoft-com:office:smarttags" w:element="PersonName">
        <w:smartTagPr>
          <w:attr w:name="ProductID" w:val="la Constituci￳n"/>
        </w:smartTagPr>
        <w:r w:rsidRPr="00B95808">
          <w:rPr>
            <w:rFonts w:cs="Arial"/>
            <w:color w:val="000000"/>
            <w:szCs w:val="20"/>
            <w:lang w:val="es-ES_tradnl"/>
          </w:rPr>
          <w:t>la Constitución</w:t>
        </w:r>
      </w:smartTag>
      <w:r w:rsidRPr="00B95808">
        <w:rPr>
          <w:rFonts w:cs="Arial"/>
          <w:color w:val="000000"/>
          <w:szCs w:val="20"/>
          <w:lang w:val="es-ES_tradnl"/>
        </w:rPr>
        <w:t xml:space="preserve"> de </w:t>
      </w:r>
      <w:smartTag w:uri="urn:schemas-microsoft-com:office:smarttags" w:element="PersonName">
        <w:smartTagPr>
          <w:attr w:name="ProductID" w:val="la Rep￺blica"/>
        </w:smartTagPr>
        <w:r w:rsidRPr="00B95808">
          <w:rPr>
            <w:rFonts w:cs="Arial"/>
            <w:color w:val="000000"/>
            <w:szCs w:val="20"/>
            <w:lang w:val="es-ES_tradnl"/>
          </w:rPr>
          <w:t>la República</w:t>
        </w:r>
      </w:smartTag>
      <w:r w:rsidRPr="00B95808">
        <w:rPr>
          <w:rFonts w:cs="Arial"/>
          <w:color w:val="000000"/>
          <w:szCs w:val="20"/>
          <w:lang w:val="es-ES_tradnl"/>
        </w:rPr>
        <w:t>;</w:t>
      </w:r>
    </w:p>
    <w:p w:rsidR="00B95808" w:rsidRPr="00B95808" w:rsidRDefault="00B95808" w:rsidP="00B95808">
      <w:pPr>
        <w:keepNext/>
        <w:spacing w:line="360" w:lineRule="auto"/>
        <w:jc w:val="center"/>
        <w:outlineLvl w:val="1"/>
        <w:rPr>
          <w:rFonts w:cs="Arial"/>
          <w:b/>
          <w:color w:val="000000"/>
          <w:szCs w:val="20"/>
          <w:lang w:val="es-UY"/>
        </w:rPr>
      </w:pPr>
      <w:r w:rsidRPr="00B95808">
        <w:rPr>
          <w:rFonts w:cs="Arial"/>
          <w:b/>
          <w:color w:val="000000"/>
          <w:szCs w:val="20"/>
          <w:lang w:val="es-UY"/>
        </w:rPr>
        <w:t xml:space="preserve">EL TRIBUNAL </w:t>
      </w:r>
      <w:r>
        <w:rPr>
          <w:rFonts w:cs="Arial"/>
          <w:b/>
          <w:color w:val="000000"/>
          <w:szCs w:val="20"/>
          <w:lang w:val="es-UY"/>
        </w:rPr>
        <w:t xml:space="preserve"> POR MAYORIA </w:t>
      </w:r>
      <w:r w:rsidRPr="00B95808">
        <w:rPr>
          <w:rFonts w:cs="Arial"/>
          <w:b/>
          <w:color w:val="000000"/>
          <w:szCs w:val="20"/>
          <w:lang w:val="es-UY"/>
        </w:rPr>
        <w:t>ACUERDA</w:t>
      </w:r>
      <w:r w:rsidRPr="00B95808">
        <w:rPr>
          <w:rFonts w:cs="Arial"/>
          <w:b/>
          <w:color w:val="000000"/>
          <w:szCs w:val="20"/>
          <w:lang w:val="es-ES_tradnl"/>
        </w:rPr>
        <w:t xml:space="preserve">                  </w:t>
      </w:r>
    </w:p>
    <w:p w:rsidR="00B95808" w:rsidRPr="00B95808" w:rsidRDefault="00B95808" w:rsidP="00B95808">
      <w:pPr>
        <w:numPr>
          <w:ilvl w:val="0"/>
          <w:numId w:val="2"/>
        </w:numPr>
        <w:spacing w:line="360" w:lineRule="auto"/>
        <w:jc w:val="both"/>
        <w:rPr>
          <w:rFonts w:cs="Arial"/>
          <w:color w:val="000000"/>
          <w:szCs w:val="20"/>
        </w:rPr>
      </w:pPr>
      <w:r w:rsidRPr="00B95808">
        <w:rPr>
          <w:rFonts w:cs="Arial"/>
          <w:color w:val="000000"/>
          <w:szCs w:val="20"/>
        </w:rPr>
        <w:t>Levantar  las  observaciones  formuladas por este Tribunal en Resolución Nº 4261/16 de 30 de noviembre de 2016;</w:t>
      </w:r>
    </w:p>
    <w:p w:rsidR="00B95808" w:rsidRPr="00B95808" w:rsidRDefault="00B95808" w:rsidP="00B95808">
      <w:pPr>
        <w:numPr>
          <w:ilvl w:val="0"/>
          <w:numId w:val="2"/>
        </w:numPr>
        <w:spacing w:line="360" w:lineRule="auto"/>
        <w:jc w:val="both"/>
        <w:rPr>
          <w:rFonts w:cs="Arial"/>
          <w:color w:val="000000"/>
          <w:szCs w:val="20"/>
        </w:rPr>
      </w:pPr>
      <w:r w:rsidRPr="00B95808">
        <w:rPr>
          <w:rFonts w:cs="Arial"/>
          <w:color w:val="000000"/>
          <w:szCs w:val="20"/>
        </w:rPr>
        <w:t xml:space="preserve">Comunicar al Poder Ejecutivo y al Contador Auditor destacado ante el Ministerio de Defensa Nacional. </w:t>
      </w:r>
    </w:p>
    <w:p w:rsidR="00B95808" w:rsidRPr="00B95808" w:rsidRDefault="00B95808" w:rsidP="00B95808">
      <w:pPr>
        <w:spacing w:line="360" w:lineRule="auto"/>
        <w:jc w:val="both"/>
        <w:rPr>
          <w:rFonts w:cs="Arial"/>
          <w:color w:val="000000"/>
          <w:szCs w:val="20"/>
        </w:rPr>
      </w:pPr>
      <w:r w:rsidRPr="00B95808">
        <w:rPr>
          <w:rFonts w:cs="Arial"/>
          <w:color w:val="000000"/>
          <w:szCs w:val="20"/>
        </w:rPr>
        <w:t xml:space="preserve">  </w:t>
      </w:r>
    </w:p>
    <w:p w:rsidR="00B95808" w:rsidRPr="00B95808" w:rsidRDefault="00B95808" w:rsidP="00B95808">
      <w:pPr>
        <w:spacing w:line="360" w:lineRule="auto"/>
        <w:jc w:val="both"/>
        <w:rPr>
          <w:rFonts w:cs="Arial"/>
          <w:color w:val="000000"/>
          <w:szCs w:val="20"/>
        </w:rPr>
      </w:pPr>
    </w:p>
    <w:p w:rsidR="00B95808" w:rsidRPr="00B95808" w:rsidRDefault="00B95808" w:rsidP="00366CE0">
      <w:pPr>
        <w:spacing w:line="360" w:lineRule="auto"/>
        <w:jc w:val="both"/>
        <w:rPr>
          <w:rFonts w:cs="Arial"/>
          <w:b/>
        </w:rPr>
      </w:pPr>
    </w:p>
    <w:p w:rsidR="00B95808" w:rsidRDefault="00B95808" w:rsidP="00366CE0">
      <w:pPr>
        <w:spacing w:line="360" w:lineRule="auto"/>
        <w:jc w:val="both"/>
        <w:rPr>
          <w:rFonts w:cs="Arial"/>
          <w:b/>
          <w:lang w:val="es-UY"/>
        </w:rPr>
      </w:pPr>
    </w:p>
    <w:p w:rsidR="00B95808" w:rsidRDefault="00B95808" w:rsidP="00366CE0">
      <w:pPr>
        <w:spacing w:line="360" w:lineRule="auto"/>
        <w:jc w:val="both"/>
        <w:rPr>
          <w:rFonts w:cs="Arial"/>
          <w:b/>
          <w:lang w:val="es-UY"/>
        </w:rPr>
      </w:pPr>
    </w:p>
    <w:p w:rsidR="00B95808" w:rsidRDefault="00B95808" w:rsidP="00366CE0">
      <w:pPr>
        <w:spacing w:line="360" w:lineRule="auto"/>
        <w:jc w:val="both"/>
        <w:rPr>
          <w:rFonts w:cs="Arial"/>
          <w:b/>
          <w:lang w:val="es-UY"/>
        </w:rPr>
      </w:pPr>
    </w:p>
    <w:p w:rsidR="00B95808" w:rsidRDefault="00B95808" w:rsidP="00366CE0">
      <w:pPr>
        <w:spacing w:line="360" w:lineRule="auto"/>
        <w:jc w:val="both"/>
        <w:rPr>
          <w:rFonts w:cs="Arial"/>
          <w:b/>
          <w:lang w:val="es-UY"/>
        </w:rPr>
      </w:pPr>
    </w:p>
    <w:p w:rsidR="00B95808" w:rsidRDefault="00B95808" w:rsidP="00366CE0">
      <w:pPr>
        <w:spacing w:line="360" w:lineRule="auto"/>
        <w:jc w:val="both"/>
        <w:rPr>
          <w:rFonts w:cs="Arial"/>
          <w:b/>
          <w:lang w:val="es-UY"/>
        </w:rPr>
      </w:pPr>
    </w:p>
    <w:p w:rsidR="00B95808" w:rsidRDefault="00B95808" w:rsidP="00366CE0">
      <w:pPr>
        <w:spacing w:line="360" w:lineRule="auto"/>
        <w:jc w:val="both"/>
        <w:rPr>
          <w:rFonts w:cs="Arial"/>
          <w:b/>
          <w:lang w:val="es-UY"/>
        </w:rPr>
      </w:pPr>
    </w:p>
    <w:p w:rsidR="00366CE0" w:rsidRDefault="00366CE0" w:rsidP="00366CE0">
      <w:pPr>
        <w:spacing w:line="360" w:lineRule="auto"/>
        <w:jc w:val="both"/>
        <w:rPr>
          <w:rFonts w:cs="Arial"/>
          <w:b/>
          <w:lang w:val="es-UY"/>
        </w:rPr>
      </w:pPr>
      <w:r w:rsidRPr="00E9382D">
        <w:rPr>
          <w:rFonts w:cs="Arial"/>
          <w:b/>
          <w:lang w:val="es-UY"/>
        </w:rPr>
        <w:t>CON</w:t>
      </w:r>
      <w:r>
        <w:rPr>
          <w:rFonts w:cs="Arial"/>
          <w:b/>
          <w:lang w:val="es-UY"/>
        </w:rPr>
        <w:t>S</w:t>
      </w:r>
      <w:r w:rsidRPr="00E9382D">
        <w:rPr>
          <w:rFonts w:cs="Arial"/>
          <w:b/>
          <w:lang w:val="es-UY"/>
        </w:rPr>
        <w:t xml:space="preserve">TANCIA DE FUNDAMENTO DE </w:t>
      </w:r>
      <w:r>
        <w:rPr>
          <w:rFonts w:cs="Arial"/>
          <w:b/>
          <w:lang w:val="es-UY"/>
        </w:rPr>
        <w:t xml:space="preserve"> </w:t>
      </w:r>
      <w:r w:rsidRPr="00E9382D">
        <w:rPr>
          <w:rFonts w:cs="Arial"/>
          <w:b/>
          <w:lang w:val="es-UY"/>
        </w:rPr>
        <w:t xml:space="preserve">VOTO </w:t>
      </w:r>
      <w:r>
        <w:rPr>
          <w:rFonts w:cs="Arial"/>
          <w:b/>
          <w:lang w:val="es-UY"/>
        </w:rPr>
        <w:t xml:space="preserve"> DISCORDE</w:t>
      </w:r>
      <w:r w:rsidRPr="00E9382D">
        <w:rPr>
          <w:rFonts w:cs="Arial"/>
          <w:b/>
          <w:lang w:val="es-UY"/>
        </w:rPr>
        <w:t xml:space="preserve"> </w:t>
      </w:r>
      <w:r>
        <w:rPr>
          <w:rFonts w:cs="Arial"/>
          <w:b/>
          <w:lang w:val="es-UY"/>
        </w:rPr>
        <w:t xml:space="preserve"> </w:t>
      </w:r>
      <w:r w:rsidRPr="00E9382D">
        <w:rPr>
          <w:rFonts w:cs="Arial"/>
          <w:b/>
          <w:lang w:val="es-UY"/>
        </w:rPr>
        <w:t xml:space="preserve">DEL </w:t>
      </w:r>
      <w:r>
        <w:rPr>
          <w:rFonts w:cs="Arial"/>
          <w:b/>
          <w:lang w:val="es-UY"/>
        </w:rPr>
        <w:t>MINISTRO DR.</w:t>
      </w:r>
      <w:r w:rsidRPr="00E9382D">
        <w:rPr>
          <w:rFonts w:cs="Arial"/>
          <w:b/>
          <w:lang w:val="es-UY"/>
        </w:rPr>
        <w:t xml:space="preserve">ALVARO EZCURRA: </w:t>
      </w:r>
      <w:r>
        <w:rPr>
          <w:rFonts w:cs="Arial"/>
          <w:b/>
          <w:lang w:val="es-UY"/>
        </w:rPr>
        <w:t xml:space="preserve"> </w:t>
      </w:r>
    </w:p>
    <w:p w:rsidR="00366CE0" w:rsidRPr="00366CE0" w:rsidRDefault="00366CE0" w:rsidP="00366CE0">
      <w:pPr>
        <w:spacing w:line="360" w:lineRule="auto"/>
        <w:jc w:val="both"/>
        <w:rPr>
          <w:rFonts w:cs="Arial"/>
          <w:b/>
          <w:lang w:val="es-UY"/>
        </w:rPr>
      </w:pPr>
      <w:r>
        <w:rPr>
          <w:rFonts w:cs="Arial"/>
          <w:b/>
          <w:lang w:val="es-UY"/>
        </w:rPr>
        <w:t>“</w:t>
      </w:r>
      <w:r>
        <w:rPr>
          <w:rFonts w:cs="Arial"/>
          <w:b/>
          <w:bCs/>
          <w:lang w:val="es" w:eastAsia="es-AR"/>
        </w:rPr>
        <w:t>I.- ANTECEDENTES.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-Con fecha </w:t>
      </w:r>
      <w:r w:rsidRPr="00366CE0">
        <w:rPr>
          <w:rFonts w:cs="Arial"/>
          <w:b/>
          <w:bCs/>
          <w:lang w:val="es" w:eastAsia="es-AR"/>
        </w:rPr>
        <w:t>2 de marzo de 2015</w:t>
      </w:r>
      <w:r w:rsidRPr="00366CE0">
        <w:rPr>
          <w:rFonts w:cs="Arial"/>
          <w:lang w:val="es" w:eastAsia="es-AR"/>
        </w:rPr>
        <w:t xml:space="preserve">  la empresa </w:t>
      </w:r>
      <w:proofErr w:type="spellStart"/>
      <w:r w:rsidRPr="00366CE0">
        <w:rPr>
          <w:rFonts w:cs="Arial"/>
          <w:lang w:val="es" w:eastAsia="es-AR"/>
        </w:rPr>
        <w:t>Floridián</w:t>
      </w:r>
      <w:proofErr w:type="spellEnd"/>
      <w:r w:rsidRPr="00366CE0">
        <w:rPr>
          <w:rFonts w:cs="Arial"/>
          <w:lang w:val="es" w:eastAsia="es-AR"/>
        </w:rPr>
        <w:t xml:space="preserve"> S.A. se presenta por nota ante el Ministerio de Defensa Nacional y propone a esta Secretaría la venta de la aeronave </w:t>
      </w:r>
      <w:proofErr w:type="spellStart"/>
      <w:r w:rsidRPr="00366CE0">
        <w:rPr>
          <w:rFonts w:cs="Arial"/>
          <w:lang w:val="es" w:eastAsia="es-AR"/>
        </w:rPr>
        <w:t>Hawker</w:t>
      </w:r>
      <w:proofErr w:type="spellEnd"/>
      <w:r w:rsidRPr="00366CE0">
        <w:rPr>
          <w:rFonts w:cs="Arial"/>
          <w:lang w:val="es" w:eastAsia="es-AR"/>
        </w:rPr>
        <w:t xml:space="preserve"> HS 125-700A, Matrícula CX-CIB</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29 de abril de 2015</w:t>
      </w:r>
      <w:r w:rsidRPr="00366CE0">
        <w:rPr>
          <w:rFonts w:cs="Arial"/>
          <w:lang w:val="es" w:eastAsia="es-AR"/>
        </w:rPr>
        <w:t xml:space="preserve"> el Comandante en Jefe de la Fuerza Aérea remite antecedentes a este Tribunal relacionados con la compra directa por excepción de la misma aeronave por un precio total de U$S 1.260.000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-Con fecha </w:t>
      </w:r>
      <w:r w:rsidRPr="00366CE0">
        <w:rPr>
          <w:rFonts w:cs="Arial"/>
          <w:b/>
          <w:bCs/>
          <w:lang w:val="es" w:eastAsia="es-AR"/>
        </w:rPr>
        <w:t>13 de mayo de 2015</w:t>
      </w:r>
      <w:r w:rsidRPr="00366CE0">
        <w:rPr>
          <w:rFonts w:cs="Arial"/>
          <w:lang w:val="es" w:eastAsia="es-AR"/>
        </w:rPr>
        <w:t xml:space="preserve"> el TCR se expide dictaminando que no se había acreditado suficientemente la causal de excepción a la Licitación Pública al no fundarse debidamente la notoria escasez de aeronaves similares en la región.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28 de mayo de 2015</w:t>
      </w:r>
      <w:r w:rsidRPr="00366CE0">
        <w:rPr>
          <w:rFonts w:cs="Arial"/>
          <w:lang w:val="es" w:eastAsia="es-AR"/>
        </w:rPr>
        <w:t xml:space="preserve"> el Comando General de la Fuerza Aérea remite nuevas actuaciones a los efectos de que el TCR reconsiderara la referida observación.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8 de julio de 2015</w:t>
      </w:r>
      <w:r w:rsidRPr="00366CE0">
        <w:rPr>
          <w:rFonts w:cs="Arial"/>
          <w:lang w:val="es" w:eastAsia="es-AR"/>
        </w:rPr>
        <w:t xml:space="preserve"> el TCR dictaminó estar a lo dispuesto en Sesión de fecha 13 de mayo de 2015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8 de setiembre de 2015</w:t>
      </w:r>
      <w:r w:rsidRPr="00366CE0">
        <w:rPr>
          <w:rFonts w:cs="Arial"/>
          <w:lang w:val="es" w:eastAsia="es-AR"/>
        </w:rPr>
        <w:t xml:space="preserve"> el Ministerio de Defensa remite para conocimiento y opinión de este Cuerpo  el Pliego de Condiciones correspondiente a la Licitación Pública Internacional Nº 20/2015 para la “Adquisición de una aeronave multipropósito de tamaño mediano, su mantenimiento y capacitación profesional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1º de octubre de 2015</w:t>
      </w:r>
      <w:r w:rsidRPr="00366CE0">
        <w:rPr>
          <w:rFonts w:cs="Arial"/>
          <w:lang w:val="es" w:eastAsia="es-AR"/>
        </w:rPr>
        <w:t xml:space="preserve"> el TCR dictamina que, en base a la  Resolución de carácter general de fecha 14/04/99, no emitiría pronunciamiento sobre los Pliegos Particulares de Condiciones, no obstante lo cual señaló que resulta posible, por vía de la consulta vinculante prevista en el artículo 112 del TOCAF, que la Administración requiera la opinión de este Tribunal acerca de aspectos puntuales cuya legitimidad le merezca dudas.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-Con fecha </w:t>
      </w:r>
      <w:r w:rsidRPr="00366CE0">
        <w:rPr>
          <w:rFonts w:cs="Arial"/>
          <w:b/>
          <w:bCs/>
          <w:lang w:val="es" w:eastAsia="es-AR"/>
        </w:rPr>
        <w:t>11 octubre de 2016</w:t>
      </w:r>
      <w:r w:rsidRPr="00366CE0">
        <w:rPr>
          <w:rFonts w:cs="Arial"/>
          <w:lang w:val="es" w:eastAsia="es-AR"/>
        </w:rPr>
        <w:t xml:space="preserve"> el Ministro de Defensa Nacional remite expediente MDN 2015.04486-4 referente a la Licitación Internacional Nº 020/2015 “Adquisición de una aeronave multipropósito de tamaño mediano, su mantenimiento y capacitación profesional </w:t>
      </w:r>
      <w:proofErr w:type="gramStart"/>
      <w:r w:rsidRPr="00366CE0">
        <w:rPr>
          <w:rFonts w:cs="Arial"/>
          <w:lang w:val="es" w:eastAsia="es-AR"/>
        </w:rPr>
        <w:t>“ para</w:t>
      </w:r>
      <w:proofErr w:type="gramEnd"/>
      <w:r w:rsidRPr="00366CE0">
        <w:rPr>
          <w:rFonts w:cs="Arial"/>
          <w:lang w:val="es" w:eastAsia="es-AR"/>
        </w:rPr>
        <w:t xml:space="preserve"> la intervención preventiva prevista en el art. 211 de la Constitución de la República, agregando Proyecto de Resolución del Poder Ejecutivo por el cual se adjudica el llamado a la empresa </w:t>
      </w:r>
      <w:proofErr w:type="spellStart"/>
      <w:r w:rsidRPr="00366CE0">
        <w:rPr>
          <w:rFonts w:cs="Arial"/>
          <w:lang w:val="es" w:eastAsia="es-AR"/>
        </w:rPr>
        <w:t>Floridián</w:t>
      </w:r>
      <w:proofErr w:type="spellEnd"/>
      <w:r w:rsidRPr="00366CE0">
        <w:rPr>
          <w:rFonts w:cs="Arial"/>
          <w:lang w:val="es" w:eastAsia="es-AR"/>
        </w:rPr>
        <w:t xml:space="preserve"> S.A. por un total de U$S 1.010.000.</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30 de noviembre de 2016</w:t>
      </w:r>
      <w:r w:rsidRPr="00366CE0">
        <w:rPr>
          <w:rFonts w:cs="Arial"/>
          <w:lang w:val="es" w:eastAsia="es-AR"/>
        </w:rPr>
        <w:t xml:space="preserve"> el TCR dictaminó en Resolución Nº 4261 y por mayoría de 4 a 3 de sus miembros, observando el procedimiento licitatorio llevado a cabo por el Ministerio de Defensa Nacional por entender que se violaban los principios de igualdad de los oferentes y el principio de concurrencia (artículo 148 del TOCAF) así como porque el artículo 11 del Pliego Particular no ofrece garantías a eventuales oferentes, descansando en la discrecionalidad de la Administración su ponderación, violentando el artículo 48 del mismo cuerpo normativo.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29 de diciembre de 2016</w:t>
      </w:r>
      <w:r w:rsidRPr="00366CE0">
        <w:rPr>
          <w:rFonts w:cs="Arial"/>
          <w:lang w:val="es" w:eastAsia="es-AR"/>
        </w:rPr>
        <w:t xml:space="preserve"> el Poder Ejecutivo, según Resolución Nº 1108/016 dispuso reiterar el gasto y adjudicar el objeto de la convocatoria a la firma </w:t>
      </w:r>
      <w:proofErr w:type="spellStart"/>
      <w:r w:rsidRPr="00366CE0">
        <w:rPr>
          <w:rFonts w:cs="Arial"/>
          <w:lang w:val="es" w:eastAsia="es-AR"/>
        </w:rPr>
        <w:t>Floridián</w:t>
      </w:r>
      <w:proofErr w:type="spellEnd"/>
      <w:r w:rsidRPr="00366CE0">
        <w:rPr>
          <w:rFonts w:cs="Arial"/>
          <w:lang w:val="es" w:eastAsia="es-AR"/>
        </w:rPr>
        <w:t xml:space="preserve"> S.A. por la suma de U$S 1.010.000 CIP Brigada Aérea I, </w:t>
      </w:r>
      <w:proofErr w:type="gramStart"/>
      <w:r w:rsidRPr="00366CE0">
        <w:rPr>
          <w:rFonts w:cs="Arial"/>
          <w:lang w:val="es" w:eastAsia="es-AR"/>
        </w:rPr>
        <w:t>Canelones ,</w:t>
      </w:r>
      <w:proofErr w:type="gramEnd"/>
      <w:r w:rsidRPr="00366CE0">
        <w:rPr>
          <w:rFonts w:cs="Arial"/>
          <w:lang w:val="es" w:eastAsia="es-AR"/>
        </w:rPr>
        <w:t xml:space="preserve"> Uruguay.</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 Con fecha </w:t>
      </w:r>
      <w:r w:rsidRPr="00366CE0">
        <w:rPr>
          <w:rFonts w:cs="Arial"/>
          <w:b/>
          <w:bCs/>
          <w:lang w:val="es" w:eastAsia="es-AR"/>
        </w:rPr>
        <w:t>1 de febrero de 2017,</w:t>
      </w:r>
      <w:r w:rsidRPr="00366CE0">
        <w:rPr>
          <w:rFonts w:cs="Arial"/>
          <w:lang w:val="es" w:eastAsia="es-AR"/>
        </w:rPr>
        <w:t xml:space="preserve"> el TCR,  por mayoría de 4 a 3 de sus miembros, considera de recibo los fundamentos expresados por el Poder Ejecutivo en su Resolución de 29 de diciembre de 2016 y dictamina levantando las observaciones formuladas en Resolución Nº 4261/16 de 30 de noviembre de 2016.  </w:t>
      </w:r>
    </w:p>
    <w:p w:rsidR="00366CE0" w:rsidRPr="00366CE0" w:rsidRDefault="00366CE0" w:rsidP="00366CE0">
      <w:pPr>
        <w:autoSpaceDE w:val="0"/>
        <w:autoSpaceDN w:val="0"/>
        <w:adjustRightInd w:val="0"/>
        <w:spacing w:line="360" w:lineRule="auto"/>
        <w:jc w:val="both"/>
        <w:rPr>
          <w:rFonts w:cs="Arial"/>
          <w:b/>
          <w:bCs/>
          <w:lang w:val="es" w:eastAsia="es-AR"/>
        </w:rPr>
      </w:pPr>
      <w:r w:rsidRPr="00366CE0">
        <w:rPr>
          <w:rFonts w:cs="Arial"/>
          <w:b/>
          <w:bCs/>
          <w:lang w:val="es" w:eastAsia="es-AR"/>
        </w:rPr>
        <w:t xml:space="preserve">II.- LA DISCORDIA.-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II.1) A los efectos de esta discordia señalo que tendré como agregado al expediente el informe de la Fiscalía de Gobierno de 1er. Turno sobre el cual reposa la fundamentación del PE, en tanto éste, lamentablemente, lo hace suyo, al referenciarlo en la Resolución de reiteración y publicarlo en la página Web de Presidencia de la República.</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Lamentablemente, también, la mayoría del Cuerpo no estuvo de acuerdo en hacer mención  en su Resolución de levantamiento de las observaciones, a los términos insultantes utilizados por el la Fiscalía de Gobierno en su informe. Debió haberlo hecho  en tanto el Poder Ejecutivo respaldó tácitamente sus agravios.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Dejando de lado por un momento las injurias de que ha sido objeto este Tribunal (sus Ministros y sus funcionarios) por parte de la Sra. Fiscal de Gobierno, debo señalar que el  contenido de su informe no sólo no contribuye a la correcta discusión del asunto que nos ocupa, sino que muy por el contrario, a través de un desconocimiento inexcusable de la Constitución Nacional, induce al Poder Ejecutivo a compartir conceptos notoriamente contrarios a la Carta, como cuando, atrevidamente, pretende avanzar sobre la autonomía funcional del Tribunal de Cuentas a través de una ley promovida por el propio Poder Ejecutivo, para “corregir” la “inseguridad jurídica “ con que funciona el Organismo, sugerencia groseramente violatoria del artículo 210 de la Constitución.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Y agrega otros dislates de igual tenor como que “el Tribunal de Cuentas no pudo escapar al régimen de transparencia” o la amenaza de la realización de un juicio político a sus miembros, afirmaciones que no amedrentan a este Ministro ni, por supuesto, a los funcionarios del Organismo. Muy por el contrario, los rebelan ante la injusticia que proviene de la artera actitud de sugerir  intereses </w:t>
      </w:r>
      <w:proofErr w:type="spellStart"/>
      <w:r w:rsidRPr="00366CE0">
        <w:rPr>
          <w:rFonts w:cs="Arial"/>
          <w:lang w:val="es" w:eastAsia="es-AR"/>
        </w:rPr>
        <w:t>espúreos</w:t>
      </w:r>
      <w:proofErr w:type="spellEnd"/>
      <w:r w:rsidRPr="00366CE0">
        <w:rPr>
          <w:rFonts w:cs="Arial"/>
          <w:lang w:val="es" w:eastAsia="es-AR"/>
        </w:rPr>
        <w:t xml:space="preserve"> y los reafirman en sus creencias republicanas donde la separación de poderes continúa siendo principio inalienable del régimen democrático al que pertenecen.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Porque, no nos olvidemos que este Ministro al igual que el resto del Cuerpo ha sido designado nada menos que por la Asamblea General, ante quien responde, y un ataque a la independencia del Tribunal de Cuentas como el que se produce en la instancia, constituye también un ataque a otro Poder del Estado.</w:t>
      </w:r>
    </w:p>
    <w:p w:rsidR="00366CE0" w:rsidRPr="00366CE0" w:rsidRDefault="00366CE0" w:rsidP="00366CE0">
      <w:pPr>
        <w:autoSpaceDE w:val="0"/>
        <w:autoSpaceDN w:val="0"/>
        <w:adjustRightInd w:val="0"/>
        <w:spacing w:line="360" w:lineRule="auto"/>
        <w:jc w:val="both"/>
        <w:rPr>
          <w:rFonts w:cs="Arial"/>
          <w:u w:val="single"/>
          <w:lang w:val="es" w:eastAsia="es-AR"/>
        </w:rPr>
      </w:pPr>
      <w:r w:rsidRPr="00366CE0">
        <w:rPr>
          <w:rFonts w:cs="Arial"/>
          <w:lang w:val="es" w:eastAsia="es-AR"/>
        </w:rPr>
        <w:t xml:space="preserve">II.2) Voto discorde en el presente expediente en tanto mantengo mi opinión, al igual que la División Jurídica del TCR, y en contradicción con la mayoría del Cuerpo, de que el procedimiento licitatorio llevado a cabo por el Ministerio de Defensa, Comando General de la Fuerza Aérea, adolece de ilegalidades que, según mi criterio,  lo hacen pasible no sólo de las observaciones oportunamente acordadas en la Resolución de 30/11/16 sino también de la aplicación del artículo 49 del TOCAF en cuanto ordena que cuando se compruebe que en un llamado a licitación se hubieren formulado especificaciones o incluido cláusulas cuyo cumplimiento sólo sea factible para determinada persona o entidad, de manera que el llamado esté dirigido a favorecer situaciones particulares, </w:t>
      </w:r>
      <w:r w:rsidRPr="00366CE0">
        <w:rPr>
          <w:rFonts w:cs="Arial"/>
          <w:u w:val="single"/>
          <w:lang w:val="es" w:eastAsia="es-AR"/>
        </w:rPr>
        <w:t xml:space="preserve">se deberá anular en forma inmediata la licitación en el estado en que se encuentre debiendo iniciarse concomitantemente el sumario correspondiente a los efectos de determinar responsabilidades.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No encuentro oportunidad diferente a la que nos ocupa, en que se justifique tan claramente la aplicación de dicho artículo en atención a la violación de los principios de igualdad y libre concurrencia , que en forma por demás evidente facilitan la adjudicación de la licitación a un oferente predeterminado.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Los argumentos expuestos por el Poder Ejecutivo en esta oportunidad (la de la reiteración del gasto) no conmueven en absoluto la opinión de este Ministro.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En primer lugar, la relación de antecedentes que se hace al inicio de esta discordia entiendo que resulta imprescindible. De la simple narrativa de lo acontecido durante los procedimientos surge, casi indubitable, el objetivo del Ministerio de Defensa : la adquisición de la aeronave propiedad de </w:t>
      </w:r>
      <w:proofErr w:type="spellStart"/>
      <w:r w:rsidRPr="00366CE0">
        <w:rPr>
          <w:rFonts w:cs="Arial"/>
          <w:lang w:val="es" w:eastAsia="es-AR"/>
        </w:rPr>
        <w:t>Floridián</w:t>
      </w:r>
      <w:proofErr w:type="spellEnd"/>
      <w:r w:rsidRPr="00366CE0">
        <w:rPr>
          <w:rFonts w:cs="Arial"/>
          <w:lang w:val="es" w:eastAsia="es-AR"/>
        </w:rPr>
        <w:t xml:space="preserve"> S.A</w:t>
      </w:r>
      <w:proofErr w:type="gramStart"/>
      <w:r w:rsidRPr="00366CE0">
        <w:rPr>
          <w:rFonts w:cs="Arial"/>
          <w:lang w:val="es" w:eastAsia="es-AR"/>
        </w:rPr>
        <w:t>. .</w:t>
      </w:r>
      <w:proofErr w:type="gramEnd"/>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Se encontró primeramente con la observación del TCR cuando pretendió adquirir directamente ese avión prescindiendo de la realización de una licitación pública, insistió en su adquisición solicitando la reconsideración de la contratación manifestando en esa oportunidad, como condición determinante, que la aeronave contaba con certificado de aeronavegabilidad expedido por la DINACIA  y que sólo esa  lo ostentaba en la región. Y cuando el TCR mantuvo su observación al procedimiento de contratación directa, decidió realizar una licitación pública internacional confeccionando un Pliego de Condiciones en el que tal característica resultaba determinante para la adjudicación.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En efecto, ejecutado el procedimiento, y venido al TCR para su intervención preventiva, quedó de manifiesto que las cláusulas del Pliego ponderaban generosa y decisivamente (nada menos que con un 20%) las condiciones de una aeronave que contara con la certificación expedida por la DINACIA.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Reitero, el Ministerio de Defensa conocía de antemano que sólo una aeronave tenía vigente dicho certificado: la de propiedad de </w:t>
      </w:r>
      <w:proofErr w:type="spellStart"/>
      <w:r w:rsidRPr="00366CE0">
        <w:rPr>
          <w:rFonts w:cs="Arial"/>
          <w:lang w:val="es" w:eastAsia="es-AR"/>
        </w:rPr>
        <w:t>Floridián</w:t>
      </w:r>
      <w:proofErr w:type="spellEnd"/>
      <w:r w:rsidRPr="00366CE0">
        <w:rPr>
          <w:rFonts w:cs="Arial"/>
          <w:lang w:val="es" w:eastAsia="es-AR"/>
        </w:rPr>
        <w:t xml:space="preserve"> S.A.</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A todo ello debemos sumarle el hecho de que, entre la publicación del llamado y la apertura de las ofertas transcurrieron 60 días calendario, cuando según el propio comando de la Fuerza Aérea el trámite para obtener la certificación de DINACIA demora como mínimo tres meses. Como consecuencia, ningún otro oferente podía presentarse al acto de apertura luciendo el certificado. Todos, salvo </w:t>
      </w:r>
      <w:proofErr w:type="spellStart"/>
      <w:r w:rsidRPr="00366CE0">
        <w:rPr>
          <w:rFonts w:cs="Arial"/>
          <w:lang w:val="es" w:eastAsia="es-AR"/>
        </w:rPr>
        <w:t>Floridian</w:t>
      </w:r>
      <w:proofErr w:type="spellEnd"/>
      <w:r w:rsidRPr="00366CE0">
        <w:rPr>
          <w:rFonts w:cs="Arial"/>
          <w:lang w:val="es" w:eastAsia="es-AR"/>
        </w:rPr>
        <w:t xml:space="preserve"> S.A. estarían impedidos de acceder a esa ponderación decisiva.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No comprendo entonces como el Poder Ejecutivo puede sostener que todos los eventuales oferentes “se encontraban en idéntica condición </w:t>
      </w:r>
      <w:proofErr w:type="gramStart"/>
      <w:r w:rsidRPr="00366CE0">
        <w:rPr>
          <w:rFonts w:cs="Arial"/>
          <w:lang w:val="es" w:eastAsia="es-AR"/>
        </w:rPr>
        <w:t>“ cuando</w:t>
      </w:r>
      <w:proofErr w:type="gramEnd"/>
      <w:r w:rsidRPr="00366CE0">
        <w:rPr>
          <w:rFonts w:cs="Arial"/>
          <w:lang w:val="es" w:eastAsia="es-AR"/>
        </w:rPr>
        <w:t xml:space="preserve"> se le otorgaba al poseedor del certificado (una condición que se sabía que sólo uno contaba) una ventaja prácticamente indescontable en el procedimiento, dejándolo en inmejorable posición para resultar adjudicatario.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En definitiva, cuando el Pliego de Condiciones establece extremos ponderables que solo son pasibles de cumplimiento para alguno de los posibles oferentes y tal ponderación no se justifica en el interés general habilitado excepcionalmente por una ley, se verifica una clara violación al principio de igualdad que debe regir toda contratación pública al amparo del principio constitucional de que todos somos iguales ante la Ley.</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II.3) Asimismo se sostiene por parte del Poder Ejecutivo que los principios vulnerados no se verifican en tanto existió un solo oferente. Tampoco resulta de recibo tal afirmación.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El informante y el informado incurren en un evidente error: confunden causa con consecuencia.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La causa de que haya habido un sólo oferente, algo absolutamente inusual en una licitación internacional cuyo objeto está constituido por un avión profusamente utilizado en todo el mundo, es, justamente, la desigualdad con que se pretendía ponderar las ofertas.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Tal irregularidad contenida en el Pliego Particular de la Licitación  deriva, inevitablemente, en el desaliento de los posibles oferentes, quienes, aun pudiendo ofrecer aeronaves que cumplieran con todas las condiciones establecidas en el Pliego a un precio competitivo, sabían que no resultarían adjudicatarios.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La consecuencia fue que se presentó sólo un oferente, aquél que estaba en condiciones de ganar.</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Tal razonamiento, que parte de un análisis lógico de los hechos, no parece desde mi punto de vista, surgir de una imaginación “frondosa”  como pretende la Fiscal en su agraviante informe. Más bien constituye un análisis racional de las consecuencias que tuvo el contenido ilegal de una cláusula discriminatoria y que, en cumplimiento de las obligaciones de su cargo,  este Ministro tiene la obligación de observar.</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Debo decir, asimismo, que excedería esta discordia el agregado de innumerables observaciones que este Tribunal ha realizado a los Pliegos de Condiciones Particulares por violación al Principio de Igualdad, con absoluta abstracción de la cantidad de oferentes que se presentaran con posterioridad. Este procedimiento ha sido hasta </w:t>
      </w:r>
      <w:proofErr w:type="gramStart"/>
      <w:r w:rsidRPr="00366CE0">
        <w:rPr>
          <w:rFonts w:cs="Arial"/>
          <w:lang w:val="es" w:eastAsia="es-AR"/>
        </w:rPr>
        <w:t>el</w:t>
      </w:r>
      <w:proofErr w:type="gramEnd"/>
      <w:r w:rsidRPr="00366CE0">
        <w:rPr>
          <w:rFonts w:cs="Arial"/>
          <w:lang w:val="es" w:eastAsia="es-AR"/>
        </w:rPr>
        <w:t xml:space="preserve"> presente jurisprudencia corriente en los dictámenes del Cuerpo que integro.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De hecho, además, existen innumerables trabajos doctrinarios que hacen mención, por ejemplo, a la posibilidad de la modificación de los Pliegos , siempre y cuando se respete el principio de igualdad y tal circunstancia (la modificación) no puede verificarse sino en una etapa previa al acto de apertura donde se conocerá en definitiva la cantidad de ofertas presentadas.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II.4) Respecto a la observación formulada por el TCR en su Acuerdo del 30 de noviembre de 2016 referida a la  violación del artículo 48 del TOCAF a partir de la inclusión de una cláusula en el Pliego de Condiciones que establece que la capacidad para la instalación de dispositivos para transporte de camilla “será evaluada a exclusivo criterio de la FAU”, el suscrito  no encuentra argumentos específicos para su levantamiento expresados en la Resolución de reiteración del gasto.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En efecto, el Poder Ejecutivo se limita a señalar en el Considerando 1° de su Resolución, que “no ha existido ni en forma real ni en forma potencial, un apartamiento de las normas sobre contratación pública en lo que refiere a los criterios adoptados en el Pliego de Condiciones”.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Al no haberse agregado otro tipo de fundamentación  respecto a dicha observación entiendo que la referencia general de su considerando 1° incluye también la solicitud de levantamiento de la observación por violación al artículo 48 del TOCAF.</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Así debió haberlo entendido la mayoría del Cuerpo en tanto en la Resolución de fecha 1° de febrero se considera únicamente que “son de recibo los fundamentos expresados por el Poder Ejecutivo en su Resolución de 29 de diciembre de 2016..” sin otra expresión de fundamentos para adoptar su dictamen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No obstante ello debe señalarse la discordancia entre la resolución del Tribunal por la que acordó la observación del gasto (de fecha 30 de noviembre de 2016) y la de su levantamiento (1° de febrero de 2017)  .Por aquélla se habían dictaminado dos observaciones, mientras que la parte dispositiva del  “Acuerda” de la resolución de 1° de febrero  expresa textualmente: 1) “Levantar </w:t>
      </w:r>
      <w:r w:rsidRPr="00366CE0">
        <w:rPr>
          <w:rFonts w:cs="Arial"/>
          <w:u w:val="single"/>
          <w:lang w:val="es" w:eastAsia="es-AR"/>
        </w:rPr>
        <w:t>la</w:t>
      </w:r>
      <w:r w:rsidRPr="00366CE0">
        <w:rPr>
          <w:rFonts w:cs="Arial"/>
          <w:lang w:val="es" w:eastAsia="es-AR"/>
        </w:rPr>
        <w:t xml:space="preserve"> observación formulada por este Tribunal en Resolución N°4261 de 30 de noviembre de 2016</w:t>
      </w:r>
      <w:proofErr w:type="gramStart"/>
      <w:r w:rsidRPr="00366CE0">
        <w:rPr>
          <w:rFonts w:cs="Arial"/>
          <w:lang w:val="es" w:eastAsia="es-AR"/>
        </w:rPr>
        <w:t>”  .</w:t>
      </w:r>
      <w:proofErr w:type="gramEnd"/>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En conclusión, se formularon dos observaciones y se levantó sólo una (según la redacción del acuerda). Si ese fuera el caso, debió haberse mantenido la observación del gasto.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Sin perjuicio, y entrando al fondo del asunto, resulta suficiente a mi criterio el recordatorio de lo estipulado por el artículo 48 del TOCAF: El Pliego de Condiciones Particulares deberá contener como mínimo:..3) El o los principales factores que se tendrán en cuenta para evaluar las ofertas, así como la ponderación de cada uno a efectos de determinar la calificación asignada a cada oferta, en su caso”.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La claridad de la norma no deja espacio para interpretaciones disímiles. La estipulación de que una exigencia del Pliego “será evaluada a exclusivo criterio de la FAU” constituye una clara violación al artículo 48 del TOCAF, y tal como se expresara por este Tribunal, no ofrece garantías a los eventuales oferentes, criterio que por otra parte ha sido sostenido de manera constante y pacífica por parte de este Cuerpo hasta el presente.</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No compartimos  tampoco el levantamiento de esta observación, hecho  que constituye – de ser así - un antecedente nefasto a los efectos de la tarea de control de legalidad que le compete a este Cuerpo, desde que se acepta la extralimitación del poder discrecional de la Administración, aún contra una norma específica que lo impide en aras de garantizar los derechos de los administrados, contradiciendo una jurisprudencia constante del TCR.</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III.- OBSERVACION PROPUESTA Y NO VOTADA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Finalmente deseo hacer mención a una observación que propuesta por mí en ocasión de la discusión en que el procedimiento licitatorio fuera tratado en el Cuerpo, no fue votada por la mayoría y que entiendo constituye un eslabón más de lo que considero un procedimiento dirigido a beneficiar una situación particular al tenor del artículo 49 del TOCAF.</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El Pliego de Condiciones Particulares de la Licitación en estudio exigía que dentro de los once días hábiles posteriores al acto de apertura que todos los oferentes </w:t>
      </w:r>
      <w:proofErr w:type="gramStart"/>
      <w:r w:rsidRPr="00366CE0">
        <w:rPr>
          <w:rFonts w:cs="Arial"/>
          <w:lang w:val="es" w:eastAsia="es-AR"/>
        </w:rPr>
        <w:t>debían</w:t>
      </w:r>
      <w:proofErr w:type="gramEnd"/>
      <w:r w:rsidRPr="00366CE0">
        <w:rPr>
          <w:rFonts w:cs="Arial"/>
          <w:lang w:val="es" w:eastAsia="es-AR"/>
        </w:rPr>
        <w:t xml:space="preserve"> poner a disposición de la Fuerza Aérea las aeronaves ofrecidas a los efectos de un vuelo de “comprobación”.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Dicha exigencia, constituye desde mi óptica, una ilegalidad tan trascendente como la ponderación ilegal del certificado expedido por la DINACIA.</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En efecto, su cumplimiento imponía a los oferentes una obligación que prácticamente era pasible de ser cumplida por una sola de las aeronaves, la que se encontraba en la región (más precisamente en nuestro país) y a la que, a diferencia de otros oferentes de cualquier parte del mundo, no le representaba costo alguno.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Tengamos en claro la situación: los aviones que se debían trasladar hasta nuestro país no eran adjudicatarios, ni pre adjudicatarios, eran simplemente oferentes.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Ello implica que el propietario de un avión de las características del solicitado, que  lo tuviera matriculado en los EEUU por ejemplo, y quería ofertarlo, para cumplir con el procedimiento, tendría que desplazarse en un vuelo hasta nuestro país con los costos asociados al mismo, por supuesto, a su cargo.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De acuerdo a lo consultado en oficio remitido por el TCR para mejor proveer, la Fuerza Aérea estima que un vuelo de esa naturaleza (desde EEUU hasta el Uruguay) debe tener un costo aproximado a los U$S 20.000, y ello sin contar la vuelta (otros U$S 20.000).</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En consecuencia, los oferentes del exterior, a diferencia de </w:t>
      </w:r>
      <w:proofErr w:type="spellStart"/>
      <w:r w:rsidRPr="00366CE0">
        <w:rPr>
          <w:rFonts w:cs="Arial"/>
          <w:lang w:val="es" w:eastAsia="es-AR"/>
        </w:rPr>
        <w:t>Floridián</w:t>
      </w:r>
      <w:proofErr w:type="spellEnd"/>
      <w:r w:rsidRPr="00366CE0">
        <w:rPr>
          <w:rFonts w:cs="Arial"/>
          <w:lang w:val="es" w:eastAsia="es-AR"/>
        </w:rPr>
        <w:t xml:space="preserve"> S.A., debían invertir en el mejor de los casos (sólo ida, si resultaba adjudicatario) U$S 20.000 y en el peor U$S 40.000 (ida y vuelta, si su oferta era rechazada) sólo a los efectos de que los aviones fueran probados en nuestro país, para que, después de que se realizara el vuelo de comprobación, SOLO UNO fuera adjudicatario.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El resto, obviamente deberían retornar a sus países de origen, habiendo invertido, sólo para ofertar, una importante cantidad en gastos de vuelo y tripulación.</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Ante esta perspectiva, sumado a que NADIE MAS  poseía el certificado expedido por la </w:t>
      </w:r>
      <w:proofErr w:type="gramStart"/>
      <w:r w:rsidRPr="00366CE0">
        <w:rPr>
          <w:rFonts w:cs="Arial"/>
          <w:lang w:val="es" w:eastAsia="es-AR"/>
        </w:rPr>
        <w:t>DINACIA ,</w:t>
      </w:r>
      <w:proofErr w:type="gramEnd"/>
      <w:r w:rsidRPr="00366CE0">
        <w:rPr>
          <w:rFonts w:cs="Arial"/>
          <w:lang w:val="es" w:eastAsia="es-AR"/>
        </w:rPr>
        <w:t xml:space="preserve">   resulta absolutamente  comprensible que sólo hubiera habido una oferta.</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En el expediente luce consulta efectuada por una empresa que manifiesta que ésa forma de comprobación no es la usual para este tipo de compras, y que lo que ofrecía era que, de resultar interesado el Organismo en comprobar las condiciones técnicas del avión de su propiedad, como es costumbre en estos casos, se ofrecían a cubrir los gastos de traslado de los técnicos que la FA designara  para corroborar las condiciones técnicas del aparato.</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La contestación del Comando fue escueta: se debía cumplir estrictamente con lo solicitado en el Pliego; sin mayores explicaciones.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Estoy convencido que la exigencia que se describe debió haber sido observada por el Tribunal de Cuentas desde que, al igual que la referida al certificado de aeronavegabilidad, el cumplimiento del vuelo de comprobación, en las circunstancias descriptas, sólo era posible para la aeronave propiedad de </w:t>
      </w:r>
      <w:proofErr w:type="spellStart"/>
      <w:r w:rsidRPr="00366CE0">
        <w:rPr>
          <w:rFonts w:cs="Arial"/>
          <w:lang w:val="es" w:eastAsia="es-AR"/>
        </w:rPr>
        <w:t>Floridián</w:t>
      </w:r>
      <w:proofErr w:type="spellEnd"/>
      <w:r w:rsidRPr="00366CE0">
        <w:rPr>
          <w:rFonts w:cs="Arial"/>
          <w:lang w:val="es" w:eastAsia="es-AR"/>
        </w:rPr>
        <w:t xml:space="preserve"> S.A. </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 xml:space="preserve">II.6) Por último, aclaro que no emito opinión respecto a los fundamentos expuestos en Sala por alguno de los Ministros que votaron en mayoría, tales como el que sostiene que el levantamiento se produciría por aplicación del principio de razonabilidad incluido en el artículo 149 del TOCAF. </w:t>
      </w:r>
    </w:p>
    <w:p w:rsid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Tal postura se debe a que dichos argumentos no fueron reflejados luego en la Resolución que recayera ante la reiteración del gasto por lo que estimo no son compartidos por dicha mayoría y en consecuencia no resulta necesaria su contradicción en esta instancia</w:t>
      </w:r>
      <w:r>
        <w:rPr>
          <w:rFonts w:cs="Arial"/>
          <w:lang w:val="es" w:eastAsia="es-AR"/>
        </w:rPr>
        <w:t>”</w:t>
      </w:r>
      <w:r w:rsidRPr="00366CE0">
        <w:rPr>
          <w:rFonts w:cs="Arial"/>
          <w:lang w:val="es" w:eastAsia="es-AR"/>
        </w:rPr>
        <w:t>.</w:t>
      </w:r>
    </w:p>
    <w:p w:rsidR="00366CE0" w:rsidRDefault="00366CE0" w:rsidP="00BF5137">
      <w:pPr>
        <w:spacing w:line="360" w:lineRule="auto"/>
        <w:jc w:val="both"/>
        <w:rPr>
          <w:rFonts w:cs="Arial"/>
          <w:lang w:val="es-UY"/>
        </w:rPr>
      </w:pPr>
    </w:p>
    <w:p w:rsidR="00366CE0" w:rsidRPr="00B95808" w:rsidRDefault="00366CE0" w:rsidP="00366CE0">
      <w:pPr>
        <w:autoSpaceDE w:val="0"/>
        <w:autoSpaceDN w:val="0"/>
        <w:adjustRightInd w:val="0"/>
        <w:spacing w:line="360" w:lineRule="auto"/>
        <w:jc w:val="both"/>
        <w:rPr>
          <w:rFonts w:cs="Arial"/>
          <w:b/>
          <w:bCs/>
          <w:u w:val="single"/>
          <w:lang w:val="es" w:eastAsia="es-AR"/>
        </w:rPr>
      </w:pPr>
      <w:r w:rsidRPr="00366CE0">
        <w:rPr>
          <w:rFonts w:cs="Arial"/>
          <w:b/>
          <w:lang w:val="es-UY"/>
        </w:rPr>
        <w:t xml:space="preserve">CONSTANCIA DE FUNDAMENTO DE VOTO DISCORDE DEL MINISTRO                ING. RUPERTO LONG: </w:t>
      </w:r>
      <w:r w:rsidR="00B95808">
        <w:rPr>
          <w:rFonts w:cs="Arial"/>
          <w:bCs/>
          <w:lang w:val="es-UY" w:eastAsia="es-AR"/>
        </w:rPr>
        <w:t>“</w:t>
      </w:r>
      <w:r w:rsidRPr="00366CE0">
        <w:rPr>
          <w:rFonts w:cs="Arial"/>
          <w:lang w:val="es" w:eastAsia="es-AR"/>
        </w:rPr>
        <w:t xml:space="preserve">Se exponen a continuación las razones que llevaron al suscrito a votar de manera discorde con la Resolución adoptada en la Sesión del 1 de febrero de 2017, sobre el asunto de referencia:  </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Por coincidir con el Proyecto de Resolución elevado por la División Jurídica del Tribunal de Cuentas de la República.</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Por considerar que la Resolución adoptada es contraria a la jurisprudencia del Tribunal de Cuentas, y sitúa al organismo en una difícil situación, de imprevisibles consecuencias.</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 xml:space="preserve">Por entender que la génesis </w:t>
      </w:r>
      <w:r w:rsidRPr="00366CE0">
        <w:rPr>
          <w:rFonts w:cs="Arial"/>
          <w:i/>
          <w:iCs/>
          <w:lang w:val="es" w:eastAsia="es-AR"/>
        </w:rPr>
        <w:t>sui géneris</w:t>
      </w:r>
      <w:r w:rsidRPr="00366CE0">
        <w:rPr>
          <w:rFonts w:cs="Arial"/>
          <w:lang w:val="es" w:eastAsia="es-AR"/>
        </w:rPr>
        <w:t xml:space="preserve"> de esta adquisición, exigía por parte del adquirente un particular celo en garantizar la transparencia del proceso de compra.</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Por considerar que la Resolución del Tribunal de Cuentas, cualquiera fuera esta, debió expedirse sobre el dictamen de la Fiscalía de Gobierno, compartido por el Poder Ejecutivo en su reiteración, y que resulta agraviante para el Tribunal de Cuentas y sus integrantes.</w:t>
      </w:r>
    </w:p>
    <w:p w:rsidR="00366CE0" w:rsidRPr="00366CE0" w:rsidRDefault="00366CE0" w:rsidP="00366CE0">
      <w:pPr>
        <w:autoSpaceDE w:val="0"/>
        <w:autoSpaceDN w:val="0"/>
        <w:adjustRightInd w:val="0"/>
        <w:spacing w:line="360" w:lineRule="auto"/>
        <w:jc w:val="both"/>
        <w:rPr>
          <w:rFonts w:cs="Arial"/>
          <w:lang w:val="es" w:eastAsia="es-AR"/>
        </w:rPr>
      </w:pPr>
      <w:r w:rsidRPr="00366CE0">
        <w:rPr>
          <w:rFonts w:cs="Arial"/>
          <w:lang w:val="es" w:eastAsia="es-AR"/>
        </w:rPr>
        <w:t>Explicitaremos a continuación estas cuatro causales.</w:t>
      </w:r>
    </w:p>
    <w:p w:rsidR="00366CE0" w:rsidRPr="00366CE0" w:rsidRDefault="00366CE0" w:rsidP="00366CE0">
      <w:pPr>
        <w:numPr>
          <w:ilvl w:val="0"/>
          <w:numId w:val="1"/>
        </w:numPr>
        <w:autoSpaceDE w:val="0"/>
        <w:autoSpaceDN w:val="0"/>
        <w:adjustRightInd w:val="0"/>
        <w:spacing w:line="360" w:lineRule="auto"/>
        <w:ind w:hanging="360"/>
        <w:jc w:val="both"/>
        <w:rPr>
          <w:rFonts w:cs="Arial"/>
          <w:b/>
          <w:bCs/>
          <w:u w:val="single"/>
          <w:lang w:val="es" w:eastAsia="es-AR"/>
        </w:rPr>
      </w:pPr>
      <w:r w:rsidRPr="00366CE0">
        <w:rPr>
          <w:rFonts w:cs="Arial"/>
          <w:b/>
          <w:bCs/>
          <w:u w:val="single"/>
          <w:lang w:val="es" w:eastAsia="es-AR"/>
        </w:rPr>
        <w:t>Por coincidir con el Proyecto de Resolución elevado por la División Jurídica del Tribunal de Cuentas de la República.</w:t>
      </w:r>
    </w:p>
    <w:p w:rsidR="00366CE0" w:rsidRPr="00366CE0" w:rsidRDefault="00366CE0" w:rsidP="00366CE0">
      <w:pPr>
        <w:autoSpaceDE w:val="0"/>
        <w:autoSpaceDN w:val="0"/>
        <w:adjustRightInd w:val="0"/>
        <w:spacing w:line="360" w:lineRule="auto"/>
        <w:ind w:firstLine="720"/>
        <w:jc w:val="both"/>
        <w:rPr>
          <w:rFonts w:cs="Arial"/>
          <w:lang w:val="es" w:eastAsia="es-AR"/>
        </w:rPr>
      </w:pPr>
      <w:r w:rsidRPr="00366CE0">
        <w:rPr>
          <w:rFonts w:cs="Arial"/>
          <w:lang w:val="es" w:eastAsia="es-AR"/>
        </w:rPr>
        <w:t>El Proyecto de Resolución referido efectúa consideraciones que ilustran con meridiana claridad cómo el Pliego de Condiciones “contraviene principios fundamentales del procedimiento competitivo”. A vía de ejemplo:</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“que por tanto existió una imposibilidad material de competir en el procedimiento en igualdad de condiciones para aquellos eventuales oferentes que no contaran con el certificado de aeronavegabilidad expedido por DINACIA, lo que contraviene principios como el de igualdad de los oferentes y el de concurrencia (art. 149 del TOCAF);”</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“que asimismo, la Administración debió ponderar en el art. 11 del Pliego Particular el tratamiento que le otorgaría al ítem 36 del Anexo C del mismo (“Capacidad para la instalación de Dispositivo/s para transporte de camilla/s”), respecto al cual exige una serie de “dispositivos de soporte vital”. En efecto, esta capacidad “</w:t>
      </w:r>
      <w:r w:rsidRPr="00366CE0">
        <w:rPr>
          <w:rFonts w:cs="Arial"/>
          <w:i/>
          <w:iCs/>
          <w:lang w:val="es" w:eastAsia="es-AR"/>
        </w:rPr>
        <w:t>será evaluada a exclusivo criterio de la FAU</w:t>
      </w:r>
      <w:r w:rsidRPr="00366CE0">
        <w:rPr>
          <w:rFonts w:cs="Arial"/>
          <w:lang w:val="es" w:eastAsia="es-AR"/>
        </w:rPr>
        <w:t>”, lo cual no ofrece garantías a eventuales oferentes, descansando en la discrecionalidad de la Administración su ponderación, violentando así el artículo 48 del TOCAF;”.</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Estas consideraciones, entre otras, llevaron a la División Jurídica del Tribunal a afirmar que el Pliego de Condiciones de la Licitación “contraviene principios fundamentales del proceso competitivo, como lo son el principio de igualdad y el de concurrencia a la convocatoria” (Considerando 1 del Proyecto de Resolución).</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Lo que condujo a dicha División a proponer: “Mantener la observación del gasto dispuesta en Sesión de fecha 30 de noviembre de 2016”.</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Coincidimos plenamente con lo actuado por la División Jurídica de nuestro organismo.</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Por nuestra parte, enfatizamos que, a nuestro juicio, las consideraciones de la División Jurídica antes reproducidas a vía de ejemplo –y otras de carácter similar que podríamos adicionar por nuestra cuenta-, revisten particular gravedad porque –como se menciona en el Considerando 2 del Proyecto de Resolución-: “por la especialidad del mismo la Administración conocía qué aeronave contaba con dicho certificado previamente al llamado”.</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Es decir: el convocante sabía que había una sola aeronave –precisamente la ofrecida por carta de un particular- que satisfacía un requerimiento que, a través del Pliego en cuestión, le otorgaba mayor puntaje.</w:t>
      </w:r>
    </w:p>
    <w:p w:rsidR="00366CE0" w:rsidRPr="00366CE0" w:rsidRDefault="00366CE0" w:rsidP="00366CE0">
      <w:pPr>
        <w:numPr>
          <w:ilvl w:val="0"/>
          <w:numId w:val="1"/>
        </w:numPr>
        <w:autoSpaceDE w:val="0"/>
        <w:autoSpaceDN w:val="0"/>
        <w:adjustRightInd w:val="0"/>
        <w:spacing w:line="360" w:lineRule="auto"/>
        <w:ind w:hanging="360"/>
        <w:jc w:val="both"/>
        <w:rPr>
          <w:rFonts w:cs="Arial"/>
          <w:b/>
          <w:bCs/>
          <w:u w:val="single"/>
          <w:lang w:val="es" w:eastAsia="es-AR"/>
        </w:rPr>
      </w:pPr>
      <w:r w:rsidRPr="00366CE0">
        <w:rPr>
          <w:rFonts w:cs="Arial"/>
          <w:b/>
          <w:bCs/>
          <w:u w:val="single"/>
          <w:lang w:val="es" w:eastAsia="es-AR"/>
        </w:rPr>
        <w:t>Por considerar que la Resolución adoptada es contraria a la jurisprudencia del Tribunal de Cuentas, y sitúa al organismo en una difícil situación, de imprevisibles consecuencias.</w:t>
      </w:r>
    </w:p>
    <w:p w:rsidR="00366CE0" w:rsidRPr="00366CE0" w:rsidRDefault="00366CE0" w:rsidP="00366CE0">
      <w:pPr>
        <w:autoSpaceDE w:val="0"/>
        <w:autoSpaceDN w:val="0"/>
        <w:adjustRightInd w:val="0"/>
        <w:spacing w:line="360" w:lineRule="auto"/>
        <w:ind w:firstLine="720"/>
        <w:jc w:val="both"/>
        <w:rPr>
          <w:rFonts w:cs="Arial"/>
          <w:lang w:val="es" w:eastAsia="es-AR"/>
        </w:rPr>
      </w:pPr>
      <w:r w:rsidRPr="00366CE0">
        <w:rPr>
          <w:rFonts w:cs="Arial"/>
          <w:lang w:val="es" w:eastAsia="es-AR"/>
        </w:rPr>
        <w:t xml:space="preserve">Durante los más de seis años en que he tenido el honor de desempeñarme como Ministro, he podido comprobar que el Tribunal ha aplicado como criterio general el observar todo proceso de adquisición en que el Pliego de Condiciones establezca restricciones a la más amplia concurrencia a la convocatoria. La División Jurídica del organismo nos ha informado, asimismo, que se trata de un criterio general que se ha aplicado desde larga data. </w:t>
      </w:r>
    </w:p>
    <w:p w:rsidR="00366CE0" w:rsidRPr="00366CE0" w:rsidRDefault="00366CE0" w:rsidP="00366CE0">
      <w:pPr>
        <w:autoSpaceDE w:val="0"/>
        <w:autoSpaceDN w:val="0"/>
        <w:adjustRightInd w:val="0"/>
        <w:spacing w:line="360" w:lineRule="auto"/>
        <w:ind w:firstLine="720"/>
        <w:jc w:val="both"/>
        <w:rPr>
          <w:rFonts w:cs="Arial"/>
          <w:lang w:val="es" w:eastAsia="es-AR"/>
        </w:rPr>
      </w:pPr>
      <w:r w:rsidRPr="00366CE0">
        <w:rPr>
          <w:rFonts w:cs="Arial"/>
          <w:lang w:val="es" w:eastAsia="es-AR"/>
        </w:rPr>
        <w:t>Por supuesto, lo anterior no obliga al Cuerpo.</w:t>
      </w:r>
    </w:p>
    <w:p w:rsidR="00366CE0" w:rsidRPr="00366CE0" w:rsidRDefault="00366CE0" w:rsidP="00366CE0">
      <w:pPr>
        <w:autoSpaceDE w:val="0"/>
        <w:autoSpaceDN w:val="0"/>
        <w:adjustRightInd w:val="0"/>
        <w:spacing w:line="360" w:lineRule="auto"/>
        <w:ind w:firstLine="720"/>
        <w:jc w:val="both"/>
        <w:rPr>
          <w:rFonts w:cs="Arial"/>
          <w:lang w:val="es" w:eastAsia="es-AR"/>
        </w:rPr>
      </w:pPr>
      <w:r w:rsidRPr="00366CE0">
        <w:rPr>
          <w:rFonts w:cs="Arial"/>
          <w:lang w:val="es" w:eastAsia="es-AR"/>
        </w:rPr>
        <w:t>Y, en efecto, esto fue lo que aconteció: ante un Pliego que contiene notorias y sustantivas restricciones a la concurrencia en igualdad de condiciones, el Tribunal de Cuentas –luego de observarlo oportunamente-, en la sesión del 1 de febrero decidió levantar la observación.</w:t>
      </w:r>
    </w:p>
    <w:p w:rsidR="00366CE0" w:rsidRPr="00366CE0" w:rsidRDefault="00366CE0" w:rsidP="00366CE0">
      <w:pPr>
        <w:autoSpaceDE w:val="0"/>
        <w:autoSpaceDN w:val="0"/>
        <w:adjustRightInd w:val="0"/>
        <w:spacing w:line="360" w:lineRule="auto"/>
        <w:ind w:firstLine="720"/>
        <w:jc w:val="both"/>
        <w:rPr>
          <w:rFonts w:cs="Arial"/>
          <w:lang w:val="es" w:eastAsia="es-AR"/>
        </w:rPr>
      </w:pPr>
      <w:r w:rsidRPr="00366CE0">
        <w:rPr>
          <w:rFonts w:cs="Arial"/>
          <w:lang w:val="es" w:eastAsia="es-AR"/>
        </w:rPr>
        <w:t>Esta decisión sienta un precedente que puede arrojar</w:t>
      </w:r>
      <w:r w:rsidRPr="00366CE0">
        <w:rPr>
          <w:rFonts w:cs="Arial"/>
          <w:color w:val="FF0000"/>
          <w:lang w:val="es" w:eastAsia="es-AR"/>
        </w:rPr>
        <w:t xml:space="preserve"> </w:t>
      </w:r>
      <w:r w:rsidRPr="00366CE0">
        <w:rPr>
          <w:rFonts w:cs="Arial"/>
          <w:lang w:val="es" w:eastAsia="es-AR"/>
        </w:rPr>
        <w:t>consecuencias difíciles de evaluar en el presente. ¿Va a aplicar el Tribunal, de ahora en más, el mismo criterio, no observando los Pliegos aun en casos en que resulten evidentes las restricciones a la concurrencia en igualdad de condiciones, como en el presente caso? ¿O va a mantener el criterio sustentado hasta el presente, con la sola excepción del caso en cuestión? Y, en tal caso, ¿por qué admitió el Tribunal esta única excepción?</w:t>
      </w:r>
    </w:p>
    <w:p w:rsidR="00366CE0" w:rsidRPr="00366CE0" w:rsidRDefault="00366CE0" w:rsidP="00366CE0">
      <w:pPr>
        <w:autoSpaceDE w:val="0"/>
        <w:autoSpaceDN w:val="0"/>
        <w:adjustRightInd w:val="0"/>
        <w:spacing w:line="360" w:lineRule="auto"/>
        <w:ind w:firstLine="720"/>
        <w:jc w:val="both"/>
        <w:rPr>
          <w:rFonts w:cs="Arial"/>
          <w:lang w:val="es" w:eastAsia="es-AR"/>
        </w:rPr>
      </w:pPr>
      <w:r w:rsidRPr="00366CE0">
        <w:rPr>
          <w:rFonts w:cs="Arial"/>
          <w:lang w:val="es" w:eastAsia="es-AR"/>
        </w:rPr>
        <w:t>Como es fácil de apreciar, la decisión adoptada el 1 de febrero de 2017 conduce al Tribunal a transitar un camino complejo, de consecuencias imprevisibles.</w:t>
      </w:r>
    </w:p>
    <w:p w:rsidR="00366CE0" w:rsidRPr="00366CE0" w:rsidRDefault="00366CE0" w:rsidP="00366CE0">
      <w:pPr>
        <w:numPr>
          <w:ilvl w:val="0"/>
          <w:numId w:val="1"/>
        </w:numPr>
        <w:autoSpaceDE w:val="0"/>
        <w:autoSpaceDN w:val="0"/>
        <w:adjustRightInd w:val="0"/>
        <w:spacing w:line="360" w:lineRule="auto"/>
        <w:ind w:hanging="360"/>
        <w:jc w:val="both"/>
        <w:rPr>
          <w:rFonts w:cs="Arial"/>
          <w:b/>
          <w:bCs/>
          <w:u w:val="single"/>
          <w:lang w:val="es" w:eastAsia="es-AR"/>
        </w:rPr>
      </w:pPr>
      <w:r w:rsidRPr="00366CE0">
        <w:rPr>
          <w:rFonts w:cs="Arial"/>
          <w:b/>
          <w:bCs/>
          <w:u w:val="single"/>
          <w:lang w:val="es" w:eastAsia="es-AR"/>
        </w:rPr>
        <w:t xml:space="preserve">Por entender que la génesis </w:t>
      </w:r>
      <w:r w:rsidRPr="00366CE0">
        <w:rPr>
          <w:rFonts w:cs="Arial"/>
          <w:b/>
          <w:bCs/>
          <w:i/>
          <w:iCs/>
          <w:u w:val="single"/>
          <w:lang w:val="es" w:eastAsia="es-AR"/>
        </w:rPr>
        <w:t>sui géneris</w:t>
      </w:r>
      <w:r w:rsidRPr="00366CE0">
        <w:rPr>
          <w:rFonts w:cs="Arial"/>
          <w:b/>
          <w:bCs/>
          <w:u w:val="single"/>
          <w:lang w:val="es" w:eastAsia="es-AR"/>
        </w:rPr>
        <w:t xml:space="preserve"> de esta adquisición, exigía por parte del adquirente un particular celo en garantizar la transparencia del proceso de compra.</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xml:space="preserve">En ese sentido, es muy importante recordar la génesis de este proceso de adquisición. </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xml:space="preserve">Lo habitual es que un organismo (en este caso el Ministerio de Defensa Nacional) recorra los siguientes pasos: </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adoptar la decisión de que, en función de su planificación estratégica, es necesario adquirir una aeronave;</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definir las características técnicas y prestaciones requeridas de la aeronave;</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elegir la mejor forma de llevar adelante el proceso de adquisición;</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efectuar la convocatoria pública para la adquisición del referido objeto.</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En este caso, en cambio, el proceso se inicia con una carta dirigida por una empresa al Poder Ejecutivo, con fecha 2 de marzo de 2015, ofreciéndole una determinada aeronave. No nos preocupa dicho ofrecimiento: sin duda un particular tiene el derecho de hacerlo. Lo que sí debemos analizar es cuál fue, y cuál debería haber sido, la respuesta del Estado a dicho ofrecimiento.</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 xml:space="preserve">A tales efectos, recordemos lo sucedido: en menos de dos meses (entre el 2 de marzo y finales de abril de 2015), se definió la necesidad de adquirir una aeronave, el tipo de aeronave, la forma de adquirirla (compra directa) y que, en definitiva, esta aeronave –la ofertada en la carta- era la que se debía comprar. E incluso se redactó el correspondiente proyecto de Contrato de Adquisición.  </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 xml:space="preserve">¿Estamos sosteniendo que se debió descartar de plano la aeronave ofrecida? En absoluto. Pero sí que, dado el origen tan </w:t>
      </w:r>
      <w:r w:rsidRPr="00366CE0">
        <w:rPr>
          <w:rFonts w:cs="Arial"/>
          <w:i/>
          <w:iCs/>
          <w:lang w:val="es" w:eastAsia="es-AR"/>
        </w:rPr>
        <w:t>sui géneris</w:t>
      </w:r>
      <w:r w:rsidRPr="00366CE0">
        <w:rPr>
          <w:rFonts w:cs="Arial"/>
          <w:lang w:val="es" w:eastAsia="es-AR"/>
        </w:rPr>
        <w:t xml:space="preserve"> de esta adquisición, se debieron extremar las acciones para asegurar la transparencia del proceso, generando el más amplio procedimiento competitivo, sin restricciones, para tener la seguridad de que –si en efecto se necesitaba adquirir un avión-, se estuviera realizando la mejor compra posible, sin dudas ni sombras.   </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En cambio, el Poder Ejecutivo optó por la adquisición directa de la aeronave antes mencionada. Para ello se pudo haber basado en considerar “la notoria escasez de los bienes a contratar”. No obstante, cuando el Tribunal de Cuentas analizó el tema, comprobó que esta no era la situación planteada: numerosas aeronaves, de características similares, estaban a la venta –en ese mismo momento- en diversos países, en particular en aquellos con una importante industria aeronáutica, como los Estados Unidos de América.</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Por tanto, como correspondía, procedió a observar el acto en dos ocasiones, con fechas 13 de mayo y 8 de julio de 2015.</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Como consecuencia de ello, el Poder Ejecutivo dejó sin efecto la compra directa y procedió a efectuar un llamado a Licitación Pública.</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Sin embargo, cuando las actuaciones fueron enviadas al Tribunal, se comprobó que las condiciones del llamado, lejos de favorecer la más amplia participación, lo que era lo mejor para la Administración –tanto desde el punto de vista ético, como desde el punto de vista práctico-, eran sumamente restrictivas de la concurrencia y establecían una notoria desigualdad entre los eventuales oferentes.</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Ello surge con claridad del informe de la División Jurídica del Tribunal de Cuentas, efectuado luego de recorrer un cuidadoso y muy responsable proceso de consultas al Poder Ejecutivo, que motivó la Resolución del 30 de noviembre del año pasado, en la cual el Tribunal observó el referido proceso de licitación.</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De todos modos, y ante la insistencia en la compra por parte del Poder Ejecutivo, el Proyecto de Resolución de nuestros servicios jurídicos sostuvo que se debía mantener la observación formulada en la sesión del 30 de noviembre, como hemos analizado en el primer fundamento de nuestro voto discorde.</w:t>
      </w:r>
    </w:p>
    <w:p w:rsidR="00366CE0" w:rsidRPr="00366CE0" w:rsidRDefault="00366CE0" w:rsidP="00366CE0">
      <w:pPr>
        <w:autoSpaceDE w:val="0"/>
        <w:autoSpaceDN w:val="0"/>
        <w:adjustRightInd w:val="0"/>
        <w:spacing w:line="360" w:lineRule="auto"/>
        <w:ind w:firstLine="708"/>
        <w:jc w:val="both"/>
        <w:rPr>
          <w:rFonts w:cs="Arial"/>
          <w:lang w:val="es" w:eastAsia="es-AR"/>
        </w:rPr>
      </w:pPr>
      <w:r w:rsidRPr="00366CE0">
        <w:rPr>
          <w:rFonts w:cs="Arial"/>
          <w:lang w:val="es" w:eastAsia="es-AR"/>
        </w:rPr>
        <w:t>En definitiva: el origen tan singular del proceso de esta adquisición, exigía por parte del adquirente un particular celo, a efectos de garantizar la transparencia del proceso de compra, lo que –a nuestro juicio- no se verificó.</w:t>
      </w:r>
    </w:p>
    <w:p w:rsidR="00366CE0" w:rsidRPr="00366CE0" w:rsidRDefault="00366CE0" w:rsidP="00366CE0">
      <w:pPr>
        <w:autoSpaceDE w:val="0"/>
        <w:autoSpaceDN w:val="0"/>
        <w:adjustRightInd w:val="0"/>
        <w:spacing w:line="360" w:lineRule="auto"/>
        <w:ind w:firstLine="708"/>
        <w:jc w:val="both"/>
        <w:rPr>
          <w:rFonts w:cs="Arial"/>
          <w:lang w:val="es" w:eastAsia="es-AR"/>
        </w:rPr>
      </w:pPr>
    </w:p>
    <w:p w:rsidR="00366CE0" w:rsidRPr="00366CE0" w:rsidRDefault="00366CE0" w:rsidP="00366CE0">
      <w:pPr>
        <w:autoSpaceDE w:val="0"/>
        <w:autoSpaceDN w:val="0"/>
        <w:adjustRightInd w:val="0"/>
        <w:spacing w:line="360" w:lineRule="auto"/>
        <w:jc w:val="both"/>
        <w:rPr>
          <w:rFonts w:cs="Arial"/>
          <w:lang w:val="es" w:eastAsia="es-AR"/>
        </w:rPr>
      </w:pPr>
    </w:p>
    <w:p w:rsidR="00366CE0" w:rsidRPr="00366CE0" w:rsidRDefault="00366CE0" w:rsidP="00366CE0">
      <w:pPr>
        <w:numPr>
          <w:ilvl w:val="0"/>
          <w:numId w:val="1"/>
        </w:numPr>
        <w:autoSpaceDE w:val="0"/>
        <w:autoSpaceDN w:val="0"/>
        <w:adjustRightInd w:val="0"/>
        <w:spacing w:line="360" w:lineRule="auto"/>
        <w:ind w:hanging="360"/>
        <w:jc w:val="both"/>
        <w:rPr>
          <w:rFonts w:cs="Arial"/>
          <w:b/>
          <w:bCs/>
          <w:u w:val="single"/>
          <w:lang w:val="es" w:eastAsia="es-AR"/>
        </w:rPr>
      </w:pPr>
      <w:r w:rsidRPr="00366CE0">
        <w:rPr>
          <w:rFonts w:cs="Arial"/>
          <w:b/>
          <w:bCs/>
          <w:u w:val="single"/>
          <w:lang w:val="es" w:eastAsia="es-AR"/>
        </w:rPr>
        <w:t>Por considerar que la Resolución del Tribunal de Cuentas, cualquiera fuera esta, debió expedirse sobre el dictamen de la Fiscalía de Gobierno, compartido por el Poder Ejecutivo en su reiteración, y que resulta agraviante para el Tribunal de Cuentas y sus integrantes.</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Al respecto, es necesario dejar en claro que nos resulta muy preocupante el dictamen de la Fiscalía de Gobierno, designada por el Poder Ejecutivo, a quien asesora.</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Pero lo que más nos preocupa –y consideramos un hecho sumamente grave- es que el Poder Ejecutivo afirme que “comparte” dicho informe (este es específicamente el término que utiliza), sin tomar distancia de muchas afirmaciones del mismo, lesivas para nuestra institución. Además, por si ello fuera poco, aloja dicho informe en su página oficial, lo que llevó a que el mismo tuviera una amplia difusión. Todo ello resulta –a nuestro juicio- en una forma de hacer suyo el referido dictamen.</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Pues bien: dicho informe constituye un agravio institucional al Tribunal de Cuentas. Porque se puede coincidir o discrepar con las decisiones del Tribunal, pero lo que no se puede es agraviar a la institución y faltar el respeto a sus integrantes. El respeto entre los distintos poderes del Estado es esencial para el buen funcionamiento de una Democracia.</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En este caso nos encontramos ante una Fiscalía de Gobierno que afirma –y un Poder Ejecutivo que “comparte”-:</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que “El Tribunal de Cuentas no pudo escapar al régimen de transparencia”;</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que el Tribunal de Cuentas ha manejado cuestiones “francamente irracionales”;</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que “es difícil comprender la actitud antijurídica de este pronunciamiento” del Tribunal de Cuentas;</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que la “inseguridad jurídica en la forma de funcionar el Tribunal de Cuentas es simplemente grave”;</w:t>
      </w:r>
    </w:p>
    <w:p w:rsidR="00366CE0" w:rsidRPr="00366CE0" w:rsidRDefault="00366CE0" w:rsidP="00366CE0">
      <w:pPr>
        <w:numPr>
          <w:ilvl w:val="0"/>
          <w:numId w:val="1"/>
        </w:numPr>
        <w:autoSpaceDE w:val="0"/>
        <w:autoSpaceDN w:val="0"/>
        <w:adjustRightInd w:val="0"/>
        <w:spacing w:line="360" w:lineRule="auto"/>
        <w:ind w:hanging="360"/>
        <w:jc w:val="both"/>
        <w:rPr>
          <w:rFonts w:cs="Arial"/>
          <w:lang w:val="es" w:eastAsia="es-AR"/>
        </w:rPr>
      </w:pPr>
      <w:r w:rsidRPr="00366CE0">
        <w:rPr>
          <w:rFonts w:cs="Arial"/>
          <w:lang w:val="es" w:eastAsia="es-AR"/>
        </w:rPr>
        <w:t xml:space="preserve">que “tal vez existían otros motivos, no precisamente jurídicos, que orientaron a quienes prefirieron torcer los hechos”.  </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Podríamos seguir. Pero me detengo en esta última afirmación: o sea que –según el dictamen de su asesor, que comparte el Poder Ejecutivo-, hay en el Tribunal de Cuentas quienes “prefirieron” (es decir, lo hicieron en forma deliberada) “torcer los hechos”. Y ello se debió a “otros motivos, no precisamente jurídicos”. Es decir, motivos espurios. Esta afirmación es de una gravedad inusitada. No registra precedentes, al menos que sean de nuestro conocimiento. Y afecta de manera directa a los integrantes de la División Jurídica y a los Ministros que votaron de forma diferente a la que el Poder Ejecutivo considera que debieron haber votado. Pero alcanza, asimismo, a todos los integrantes de la institución.</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 xml:space="preserve">A mi juicio, el Tribunal de Cuentas se debió pronunciar de forma tajante, con claridad y sin ambigüedades, sobre estas consideraciones que agravian a la institución y a sus integrantes. </w:t>
      </w:r>
    </w:p>
    <w:p w:rsidR="00366CE0" w:rsidRPr="00366CE0"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Y debió haberse pronunciado en el mismo texto de su Resolución, cualquiera que esta fuera. Así lo propusimos durante la sesión del 1 de febrero, pero la misma mayoría que aprobó la Resolución definitiva, no aceptó incluir estas consideraciones en su texto.</w:t>
      </w:r>
    </w:p>
    <w:p w:rsidR="00B95808" w:rsidRDefault="00366CE0" w:rsidP="00366CE0">
      <w:pPr>
        <w:autoSpaceDE w:val="0"/>
        <w:autoSpaceDN w:val="0"/>
        <w:adjustRightInd w:val="0"/>
        <w:spacing w:line="360" w:lineRule="auto"/>
        <w:ind w:firstLine="714"/>
        <w:jc w:val="both"/>
        <w:rPr>
          <w:rFonts w:cs="Arial"/>
          <w:lang w:val="es" w:eastAsia="es-AR"/>
        </w:rPr>
      </w:pPr>
      <w:r w:rsidRPr="00366CE0">
        <w:rPr>
          <w:rFonts w:cs="Arial"/>
          <w:lang w:val="es" w:eastAsia="es-AR"/>
        </w:rPr>
        <w:t>Razón de más para votar discorde la presente Resolución</w:t>
      </w:r>
      <w:r w:rsidR="00B95808">
        <w:rPr>
          <w:rFonts w:cs="Arial"/>
          <w:lang w:val="es" w:eastAsia="es-AR"/>
        </w:rPr>
        <w:t>”</w:t>
      </w:r>
      <w:r w:rsidRPr="00366CE0">
        <w:rPr>
          <w:rFonts w:cs="Arial"/>
          <w:lang w:val="es" w:eastAsia="es-AR"/>
        </w:rPr>
        <w:t>.</w:t>
      </w:r>
    </w:p>
    <w:p w:rsidR="00B95808" w:rsidRDefault="00B95808" w:rsidP="00BF5137">
      <w:pPr>
        <w:spacing w:line="360" w:lineRule="auto"/>
        <w:jc w:val="both"/>
        <w:rPr>
          <w:rFonts w:cs="Arial"/>
          <w:b/>
          <w:lang w:val="es-UY"/>
        </w:rPr>
      </w:pPr>
    </w:p>
    <w:p w:rsidR="00B95808" w:rsidRPr="00B95808" w:rsidRDefault="00B95808" w:rsidP="00B95808">
      <w:pPr>
        <w:autoSpaceDE w:val="0"/>
        <w:autoSpaceDN w:val="0"/>
        <w:adjustRightInd w:val="0"/>
        <w:spacing w:line="360" w:lineRule="auto"/>
        <w:jc w:val="both"/>
        <w:rPr>
          <w:rFonts w:cs="Arial"/>
          <w:lang w:val="es" w:eastAsia="es-AR"/>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w:t>
      </w:r>
      <w:r>
        <w:rPr>
          <w:rFonts w:cs="Arial"/>
          <w:b/>
          <w:lang w:val="es-UY"/>
        </w:rPr>
        <w:t xml:space="preserve"> </w:t>
      </w:r>
      <w:r w:rsidRPr="00E9382D">
        <w:rPr>
          <w:rFonts w:cs="Arial"/>
          <w:b/>
          <w:lang w:val="es-UY"/>
        </w:rPr>
        <w:t>L</w:t>
      </w:r>
      <w:r>
        <w:rPr>
          <w:rFonts w:cs="Arial"/>
          <w:b/>
          <w:lang w:val="es-UY"/>
        </w:rPr>
        <w:t>A</w:t>
      </w:r>
      <w:r w:rsidRPr="00E9382D">
        <w:rPr>
          <w:rFonts w:cs="Arial"/>
          <w:b/>
          <w:lang w:val="es-UY"/>
        </w:rPr>
        <w:t xml:space="preserve"> </w:t>
      </w:r>
      <w:r w:rsidRPr="005C0AC0">
        <w:rPr>
          <w:rFonts w:cs="Arial"/>
          <w:b/>
          <w:lang w:val="es-UY"/>
        </w:rPr>
        <w:t>MINISTRA</w:t>
      </w:r>
      <w:r>
        <w:rPr>
          <w:rFonts w:cs="Arial"/>
          <w:lang w:val="es-UY"/>
        </w:rPr>
        <w:t xml:space="preserve">             </w:t>
      </w:r>
      <w:r>
        <w:rPr>
          <w:rFonts w:cs="Arial"/>
          <w:b/>
          <w:lang w:val="es-UY"/>
        </w:rPr>
        <w:t>CRA. BEATRIZ MARTINEZ</w:t>
      </w:r>
      <w:r w:rsidRPr="005C0AC0">
        <w:rPr>
          <w:rFonts w:cs="Arial"/>
          <w:b/>
          <w:lang w:val="es-UY"/>
        </w:rPr>
        <w:t>:</w:t>
      </w:r>
      <w:r w:rsidRPr="00FB4277">
        <w:rPr>
          <w:rFonts w:cs="Arial"/>
          <w:lang w:val="es-UY"/>
        </w:rPr>
        <w:t xml:space="preserve"> </w:t>
      </w:r>
      <w:r>
        <w:rPr>
          <w:rFonts w:cs="Arial"/>
          <w:lang w:val="es-UY"/>
        </w:rPr>
        <w:t>“</w:t>
      </w:r>
      <w:r w:rsidRPr="00B95808">
        <w:rPr>
          <w:rFonts w:cs="Arial"/>
          <w:lang w:val="es" w:eastAsia="es-AR"/>
        </w:rPr>
        <w:t>El Tribunal de Cuentas no emite  opinión en relación a la conveniencia u oportunidad de la adquisición de un avión por parte del Ministerio de Defensa Nacional.</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Decidida la compra por parte del  ordenador correspondiente, en este, como en todos los casos, el Tribunal  se pronuncia sobre la legalidad del gasto, analizando si el  mismo se rige por las normas  que determinan los procedimientos a aplicar por quienes disponen de los dineros públicos.</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Ahora bien, en sesión de fecha  30 de noviembre pasado, el Tribunal de Cuentas observó la compra de un avión por parte del Ministerio de Defensa Nacional, por mayoría de 4 votos.</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Se reiteró el gasto por Resolución del Poder Ejecutivo No. 1108/016, de 29 de diciembre de 2016.</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 Y en sesión de fecha 1° de febrero corriente, el Tribunal levantó  la observación por votación de 4 a </w:t>
      </w:r>
      <w:proofErr w:type="gramStart"/>
      <w:r w:rsidRPr="00B95808">
        <w:rPr>
          <w:rFonts w:cs="Arial"/>
          <w:lang w:val="es" w:eastAsia="es-AR"/>
        </w:rPr>
        <w:t>3 .</w:t>
      </w:r>
      <w:proofErr w:type="gramEnd"/>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 Esta votación se produjo en abierta discrepancia con el informe de División Jurídica del Tribunal que proponía, en forma fundada, mantener la observación.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Compartimos el informe de División Jurídica, por entender que los fundamentos de la Resolución por la que se reitera el gasto, no enervan los fundamentos de la Resolución del Tribunal del 30 de noviembre.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Por eso hemos emitido voto discorde en relación al levantamiento de la observación.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Para  fundamentar este voto discorde, no podemos dejar de mencionar:</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1. </w:t>
      </w:r>
      <w:r w:rsidRPr="00B95808">
        <w:rPr>
          <w:rFonts w:cs="Arial"/>
          <w:b/>
          <w:bCs/>
          <w:lang w:val="es" w:eastAsia="es-AR"/>
        </w:rPr>
        <w:t>Previo al levantamiento de la observación</w:t>
      </w:r>
      <w:r w:rsidRPr="00B95808">
        <w:rPr>
          <w:rFonts w:cs="Arial"/>
          <w:lang w:val="es" w:eastAsia="es-AR"/>
        </w:rPr>
        <w:t>, el</w:t>
      </w:r>
      <w:r w:rsidRPr="00B95808">
        <w:rPr>
          <w:rFonts w:cs="Arial"/>
          <w:b/>
          <w:bCs/>
          <w:lang w:val="es" w:eastAsia="es-AR"/>
        </w:rPr>
        <w:t xml:space="preserve"> Tribunal trató este asunto tal como lo hace con cualquier otro que se someta a su consideración: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1.1 Son muchos los dictámenes emitidos antes y después de este, en los que se observaron procedimientos por considerar  que el  Pliego de Condiciones contiene disposiciones que se apartan de la normativa aplicable.</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Dictámenes que no merecieron objeciones a ningún ministro.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 1.2 Al iniciar el procedimiento, el Ministerio de Defensa Nacional consultó al Tribunal en relación al Pliego.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Al respecto el Tribunal no dijo que el Pliego le merecía objeciones, no dijo que no se las merecía, no dijo nada, porque al igual que a cualquier organismo, se  respondió al Ministerio de Defensa Nacional que el Tribunal no analiza los pliegos antes de iniciarse el procedimiento, circunstancia que ocurre desde el año 1999.  </w:t>
      </w:r>
    </w:p>
    <w:p w:rsidR="00B95808" w:rsidRPr="00B95808" w:rsidRDefault="00B95808" w:rsidP="00B95808">
      <w:pPr>
        <w:autoSpaceDE w:val="0"/>
        <w:autoSpaceDN w:val="0"/>
        <w:adjustRightInd w:val="0"/>
        <w:spacing w:line="360" w:lineRule="auto"/>
        <w:jc w:val="both"/>
        <w:rPr>
          <w:rFonts w:cs="Arial"/>
          <w:b/>
          <w:bCs/>
          <w:lang w:val="es" w:eastAsia="es-AR"/>
        </w:rPr>
      </w:pPr>
      <w:r w:rsidRPr="00B95808">
        <w:rPr>
          <w:rFonts w:cs="Arial"/>
          <w:b/>
          <w:bCs/>
          <w:lang w:val="es" w:eastAsia="es-AR"/>
        </w:rPr>
        <w:t>2. El antecedente del intento de adquirir sin licitación, o sea por compra directa, la misma aeronave que se  adquirirá  por medio de la presente licitación.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 El  procedimiento de compra directa,  según consta en el expediente correspondiente, tramitado en el año 2015, se origina en una nota por la que </w:t>
      </w:r>
      <w:proofErr w:type="spellStart"/>
      <w:r w:rsidRPr="00B95808">
        <w:rPr>
          <w:rFonts w:cs="Arial"/>
          <w:lang w:val="es" w:eastAsia="es-AR"/>
        </w:rPr>
        <w:t>Floridian</w:t>
      </w:r>
      <w:proofErr w:type="spellEnd"/>
      <w:r w:rsidRPr="00B95808">
        <w:rPr>
          <w:rFonts w:cs="Arial"/>
          <w:lang w:val="es" w:eastAsia="es-AR"/>
        </w:rPr>
        <w:t xml:space="preserve"> S.A., adjudicatario de la licitación que nos ocupa, ofrece en venta el mismo avión que se adquiere en esta oportunidad.</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Este trámite de compra directa fue observado por el Tribunal de Cuentas, considerando que   no existían razones que justificaran obviar el procedimiento competitivo.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Fue informado por la  Fuerza Aérea en ese expediente, que el avión  que se quería comprar en esa oportunidad, que resulta ser el mismo que se compra ahora por licitación, contaba con certificado de aeronavegabilidad expedido por la DINACIA.</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Informó asimismo que no había unidades similares en la región, de manera que no puede dudarse de que el único avión que contaba con ese certificado en plaza, era el que se quería comprar.</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Seguramente, mucho menos habría otros aviones que tuvieran ese  certificado  en zonas más lejanas, por lo que no es descabellado suponer que el que era  objeto de interés,  sería  el único en el mundo que contara con esa habilitación.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Pero en cualquier caso, quién mejor que DINACIA que lo otorga, para saber qué unidades cuentan con el certificado</w:t>
      </w:r>
      <w:proofErr w:type="gramStart"/>
      <w:r w:rsidRPr="00B95808">
        <w:rPr>
          <w:rFonts w:cs="Arial"/>
          <w:lang w:val="es" w:eastAsia="es-AR"/>
        </w:rPr>
        <w:t>?</w:t>
      </w:r>
      <w:proofErr w:type="gramEnd"/>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Respecto de la posibilidad de obtenerlo, el Tribunal consultó a la DINACIA, cuya respuesta textual, remitida vía mail fue la siguiente: Informo a Usted que el tiempo mínimo de certificación de una Aeronave Extranjera por parte de la DINACIA no debería ser superior a los 3 (Tres) meses si existen antecedentes de una aeronave similar en el País.</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 plazo entre la publicación del Pliego y la apertura de ofertas era de sesenta días.</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Es evidente, entonces, que ninguna nave que no tuviera el certificado anteriormente,  lo podría conseguir previo a la fecha de apertura de la licitación.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 </w:t>
      </w:r>
      <w:r w:rsidRPr="00B95808">
        <w:rPr>
          <w:rFonts w:cs="Arial"/>
          <w:b/>
          <w:bCs/>
          <w:lang w:val="es" w:eastAsia="es-AR"/>
        </w:rPr>
        <w:t>3. El informe de la Fiscalía de Gobierno de 1er. Turno en el que se fundamenta la Resolución del Poder Ejecutivo por la que se reitera el gasto</w:t>
      </w:r>
      <w:r w:rsidRPr="00B95808">
        <w:rPr>
          <w:rFonts w:cs="Arial"/>
          <w:lang w:val="es" w:eastAsia="es-AR"/>
        </w:rPr>
        <w:t>.</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 Fiscal de Gobierno es un funcionario del Poder Ejecutivo, designado por éste y sometido a jerarquía, por lo que al emitir un juicio sobre lo actuado por el  Tribunal de Cuentas, lo   hace en calidad de juez y parte.</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Seguramente la incomodidad de esta situación y el desconocimiento del tema del que se ocupa -alguna cita del Dr. Eguren no hace a nadie experto en los temas del Tribunal de Cuentas- induce al informante, a falta de argumentos jurídicos, a recurrir a la descalificación, al agravio y la amenaza, todo absolutamente improcedente, en el marco de un informe de carácter estrictamente jurídico al que debió atenerse.</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Es grave e infundado el agravio a funcionarios y ministros que intervinimos en el asunto, más en relación a los primeros que, habiendo actuado en forma profesional e irreprochable, se ven expuestos a ese libelo que no tienen la oportunidad que sí tenemos los ministros, de hacer  en forma medida, correcta y por cierto en otro nivel, las consideraciones que el mismo nos merece,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Pero la mayor preocupación que genera un documento de esta naturaleza no se origina en el documento mismo, ni en quien lo confecciona, sino en el hecho de que en </w:t>
      </w:r>
      <w:proofErr w:type="gramStart"/>
      <w:r w:rsidRPr="00B95808">
        <w:rPr>
          <w:rFonts w:cs="Arial"/>
          <w:lang w:val="es" w:eastAsia="es-AR"/>
        </w:rPr>
        <w:t>el mismo</w:t>
      </w:r>
      <w:proofErr w:type="gramEnd"/>
      <w:r w:rsidRPr="00B95808">
        <w:rPr>
          <w:rFonts w:cs="Arial"/>
          <w:lang w:val="es" w:eastAsia="es-AR"/>
        </w:rPr>
        <w:t xml:space="preserve"> basa su Resolución de reiteración el Poder Ejecutivo que, por lo demás, lo hace suyo al publicarlo en su página web.</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Sin perjuicio del análisis de otro alcance al que se procederá oportunamente, consideramos imprescindible señalar desde ya, el grave error conceptual en que se basa el mismo.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 Un procedimiento de licitación se inicia con la confección del Pliego de Condiciones que lo regirá.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Asimismo, el contenido del mismo es el primer elemento a considerar para determinar la legalidad del procedimiento.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Al redactar ese Pliego, no  sabe – no debe saber- el convocante de la licitación, cuántos oferentes concurrirán al llamado, por lo que el Pliego ha de habilitar la concurrencia,  en igualdad de condiciones, de todos aquellos que tengan interés en participar en el procedimiento.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Consta en el expediente que hubo quien se interesó en ofrecer otro avión y consultó si, asumiendo por su parte los gastos correspondientes, podía enviarse el personal que debía revisar el avión, al lugar en que éste se encontraba.</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La respuesta fue negativa, el avión debía venir.</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Es cierto que, teóricamente, cualquiera puede ofrecer otro avión, pero para qué lo haría si tiene que gastar en  traerlo a Uruguay para ser revisado, con las sumas considerables que eso  implica, sabiendo que  hay una condición que no puede cumplir y que atribuye un puntaje determinante para ser adjudicatario</w:t>
      </w:r>
      <w:proofErr w:type="gramStart"/>
      <w:r w:rsidRPr="00B95808">
        <w:rPr>
          <w:rFonts w:cs="Arial"/>
          <w:lang w:val="es" w:eastAsia="es-AR"/>
        </w:rPr>
        <w:t>?</w:t>
      </w:r>
      <w:proofErr w:type="gramEnd"/>
      <w:r w:rsidRPr="00B95808">
        <w:rPr>
          <w:rFonts w:cs="Arial"/>
          <w:lang w:val="es" w:eastAsia="es-AR"/>
        </w:rPr>
        <w:t xml:space="preserve">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De manera que si el Pliego, como sucede en este caso, califica ventajosamente  condiciones que  solo podrá cumplir un oferente,  la ilegalidad está consumada, más allá del número de oferentes que se presenten y en nada la atenúa el hecho de que haya uno solo.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Precisamente,  en este caso hay uno solo por la forma en que se califica una condición que  solo él cumple.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Es decir que el Pliego no ofrece igualdad de condiciones y  la existencia de una única oferta no legitima el procedimiento, por el contrario, la ilegitimidad es la causa de que haya una sola oferta. </w:t>
      </w:r>
    </w:p>
    <w:p w:rsidR="00B95808" w:rsidRPr="00B95808" w:rsidRDefault="00B95808" w:rsidP="00B95808">
      <w:pPr>
        <w:autoSpaceDE w:val="0"/>
        <w:autoSpaceDN w:val="0"/>
        <w:adjustRightInd w:val="0"/>
        <w:spacing w:line="360" w:lineRule="auto"/>
        <w:jc w:val="both"/>
        <w:rPr>
          <w:rFonts w:cs="Arial"/>
          <w:b/>
          <w:bCs/>
          <w:lang w:val="es" w:eastAsia="es-AR"/>
        </w:rPr>
      </w:pPr>
      <w:r w:rsidRPr="00B95808">
        <w:rPr>
          <w:rFonts w:cs="Arial"/>
          <w:b/>
          <w:bCs/>
          <w:lang w:val="es" w:eastAsia="es-AR"/>
        </w:rPr>
        <w:t>4. Los argumentos del voto decisorio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Es de público conocimiento que la Resolución por la que el Tribunal observó el procedimiento se adoptó con una integración del Cuerpo y aquella por la que se levanta la observación, con una integración diferente.</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Renunció a su cargo el Ministro  Oscar </w:t>
      </w:r>
      <w:proofErr w:type="spellStart"/>
      <w:r w:rsidRPr="00B95808">
        <w:rPr>
          <w:rFonts w:cs="Arial"/>
          <w:lang w:val="es" w:eastAsia="es-AR"/>
        </w:rPr>
        <w:t>Grecco</w:t>
      </w:r>
      <w:proofErr w:type="spellEnd"/>
      <w:r w:rsidRPr="00B95808">
        <w:rPr>
          <w:rFonts w:cs="Arial"/>
          <w:lang w:val="es" w:eastAsia="es-AR"/>
        </w:rPr>
        <w:t>, que aprobó la observación  y fue sustituido por su suplente Miguel Aumento, que optó por levantarla.</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Este último manejó en sala diversos argumentos,  a fin de fundar su voto favorable al levantamiento de la observación.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Se dijeron en sala, seguramente con intención de contrarrestar la posición de División Jurídica,  cuyo informe proponía mantener la observación y  fueron contestados por los integrantes de la División presentes en la sesión.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Pero puesto  que tomaron estado público a través de los medios, desde primeras horas de la mañana del jueves 2, me parece oportuno comentarlos, pese a que soy plenamente consciente de que no integran la Resolución.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  Ministro Aumento  hizo referencia al principio de razonabilidad establecido en el art. 149 del  TOCAF, sosteniendo que en base a este principio, era conveniente que la Administración se reservara, en función de potestades discrecionales, establecer a su criterio la valoración  de un factor, sin ponderarlo en el Pliego.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Discrepo  rotundamente con esta posición.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Primero porque si era conveniente que la Administración actuara de una u otra forma, no se pronunciaba el Tribunal sobre conveniencia sino sobre legalidad en la etapa de contralor correspondiente a la intervención preventiva del gasto.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Pero fundamentalmente, porque el  principio de razonabilidad en materia de contratación administrativa, no es un comodín al que pueda recurrirse graciosamente, ni justifica cualquier aplicación de la discrecionalidad de la Administración.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 ejercicio de la facultad discrecional de la Administración no comprende la facultad que en este Pliego se reserva el Ministerio, de puntuar aspectos que integran el objeto del llamado, a su criterio exclusivo.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Tampoco  puede usarse, como sostuvo el Ministro en sala, como criterio interpretativo, cuando es tan clara la letra del artículo 48 del TOCAF.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Por otra parte, por qué debería utilizar en este caso el Tribunal un criterio distinto al que aplica en todos los casos en que, presentando el Pliego una disposición similar, observa</w:t>
      </w:r>
      <w:proofErr w:type="gramStart"/>
      <w:r w:rsidRPr="00B95808">
        <w:rPr>
          <w:rFonts w:cs="Arial"/>
          <w:lang w:val="es" w:eastAsia="es-AR"/>
        </w:rPr>
        <w:t>?</w:t>
      </w:r>
      <w:proofErr w:type="gramEnd"/>
      <w:r w:rsidRPr="00B95808">
        <w:rPr>
          <w:rFonts w:cs="Arial"/>
          <w:lang w:val="es" w:eastAsia="es-AR"/>
        </w:rPr>
        <w:t xml:space="preserve">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 xml:space="preserve">El  restante argumento del Ministro Aumento refiere a la exigencia y ponderación del certificado de aeronavegabilidad expedido por la DINACIA. </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 Ministro manejó el hecho de que estamos ante un único oferente, en cuyo caso no estarían en juego los principios de igualdad y concurrencia y esa norma, aunque no se haya dicho expresamente, no tendría prácticamente aplicación.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Ello implica suponer, ni más ni menos, que las disposiciones que la propia Administración impone en el Pliego a los eventuales concurrentes, tienen validez, tanto antes como luego de la apertura, según concurran uno o varios oferentes al llamado.</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Algo absolutamente insostenible.</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Una vez más, por qué  debería, en este caso, adoptar el Tribunal un criterio distinto de aquel según el cual   observa todos aquellos asuntos que están en las mismas condiciones</w:t>
      </w:r>
      <w:proofErr w:type="gramStart"/>
      <w:r w:rsidRPr="00B95808">
        <w:rPr>
          <w:rFonts w:cs="Arial"/>
          <w:lang w:val="es" w:eastAsia="es-AR"/>
        </w:rPr>
        <w:t>?</w:t>
      </w:r>
      <w:proofErr w:type="gramEnd"/>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b/>
          <w:bCs/>
          <w:lang w:val="es" w:eastAsia="es-AR"/>
        </w:rPr>
        <w:t>5. La Resolución</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La Resolución aprobada en mayoría por el Cuerpo, no recoge estas manifestaciones del Ministro Aumento, por lo que cabe suponer que no fueron compartidas.</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Pero tampoco existe ningún fundamento del dictamen que aporte  una motivación propia de quienes lo aprobaron, en apoyo del dictamen que se emitió.</w:t>
      </w:r>
    </w:p>
    <w:p w:rsidR="00B95808" w:rsidRPr="00B95808" w:rsidRDefault="00B95808" w:rsidP="00B95808">
      <w:pPr>
        <w:autoSpaceDE w:val="0"/>
        <w:autoSpaceDN w:val="0"/>
        <w:adjustRightInd w:val="0"/>
        <w:spacing w:line="360" w:lineRule="auto"/>
        <w:jc w:val="both"/>
        <w:rPr>
          <w:rFonts w:cs="Arial"/>
          <w:lang w:val="es" w:eastAsia="es-AR"/>
        </w:rPr>
      </w:pPr>
      <w:r w:rsidRPr="00B95808">
        <w:rPr>
          <w:rFonts w:cs="Arial"/>
          <w:lang w:val="es" w:eastAsia="es-AR"/>
        </w:rPr>
        <w:t>El único Considerando, el único fundamento del dictamen  consiste apenas en la aceptación de lo resuelto por el Poder Ejecutivo.</w:t>
      </w:r>
    </w:p>
    <w:p w:rsidR="00B95808" w:rsidRDefault="00B95808" w:rsidP="00B95808">
      <w:pPr>
        <w:autoSpaceDE w:val="0"/>
        <w:autoSpaceDN w:val="0"/>
        <w:adjustRightInd w:val="0"/>
        <w:spacing w:line="360" w:lineRule="auto"/>
        <w:jc w:val="both"/>
        <w:rPr>
          <w:rFonts w:cs="Arial"/>
          <w:b/>
          <w:bCs/>
          <w:lang w:val="es" w:eastAsia="es-AR"/>
        </w:rPr>
      </w:pPr>
      <w:r w:rsidRPr="00B95808">
        <w:rPr>
          <w:rFonts w:cs="Arial"/>
          <w:lang w:val="es" w:eastAsia="es-AR"/>
        </w:rPr>
        <w:t xml:space="preserve">Considero que, atento a lo expuesto, queda plenamente justificado el  voto discorde que hemos emitido en esta oportunidad.     </w:t>
      </w:r>
      <w:r w:rsidRPr="00B95808">
        <w:rPr>
          <w:rFonts w:cs="Arial"/>
          <w:b/>
          <w:bCs/>
          <w:lang w:val="es" w:eastAsia="es-AR"/>
        </w:rPr>
        <w:t xml:space="preserve"> </w:t>
      </w:r>
    </w:p>
    <w:p w:rsidR="00B95808" w:rsidRDefault="00B95808" w:rsidP="00B95808">
      <w:pPr>
        <w:autoSpaceDE w:val="0"/>
        <w:autoSpaceDN w:val="0"/>
        <w:adjustRightInd w:val="0"/>
        <w:spacing w:line="360" w:lineRule="auto"/>
        <w:jc w:val="both"/>
        <w:rPr>
          <w:rFonts w:cs="Arial"/>
          <w:b/>
          <w:bCs/>
          <w:lang w:val="es" w:eastAsia="es-AR"/>
        </w:rPr>
      </w:pPr>
    </w:p>
    <w:p w:rsidR="00B95808" w:rsidRDefault="00B95808" w:rsidP="00B95808">
      <w:pPr>
        <w:autoSpaceDE w:val="0"/>
        <w:autoSpaceDN w:val="0"/>
        <w:adjustRightInd w:val="0"/>
        <w:spacing w:line="360" w:lineRule="auto"/>
        <w:jc w:val="both"/>
        <w:rPr>
          <w:rFonts w:cs="Arial"/>
          <w:b/>
          <w:bCs/>
          <w:lang w:val="es" w:eastAsia="es-AR"/>
        </w:rPr>
      </w:pPr>
    </w:p>
    <w:p w:rsidR="00B95808" w:rsidRDefault="00B95808" w:rsidP="00B95808">
      <w:pPr>
        <w:autoSpaceDE w:val="0"/>
        <w:autoSpaceDN w:val="0"/>
        <w:adjustRightInd w:val="0"/>
        <w:spacing w:line="360" w:lineRule="auto"/>
        <w:jc w:val="both"/>
        <w:rPr>
          <w:rFonts w:cs="Arial"/>
          <w:b/>
          <w:bCs/>
          <w:lang w:val="es" w:eastAsia="es-AR"/>
        </w:rPr>
      </w:pPr>
    </w:p>
    <w:p w:rsidR="00F86359" w:rsidRPr="00A33480" w:rsidRDefault="00B95808" w:rsidP="00A33480">
      <w:pPr>
        <w:autoSpaceDE w:val="0"/>
        <w:autoSpaceDN w:val="0"/>
        <w:adjustRightInd w:val="0"/>
        <w:spacing w:line="360" w:lineRule="auto"/>
        <w:jc w:val="both"/>
        <w:rPr>
          <w:rFonts w:cs="Arial"/>
          <w:bCs/>
          <w:lang w:val="es" w:eastAsia="es-AR"/>
        </w:rPr>
      </w:pPr>
      <w:proofErr w:type="gramStart"/>
      <w:r w:rsidRPr="00B95808">
        <w:rPr>
          <w:rFonts w:cs="Arial"/>
          <w:bCs/>
          <w:lang w:val="es" w:eastAsia="es-AR"/>
        </w:rPr>
        <w:t>dc</w:t>
      </w:r>
      <w:proofErr w:type="gramEnd"/>
    </w:p>
    <w:sectPr w:rsidR="00F86359" w:rsidRPr="00A33480" w:rsidSect="00B95808">
      <w:footerReference w:type="default" r:id="rId9"/>
      <w:pgSz w:w="12240" w:h="15840" w:code="1"/>
      <w:pgMar w:top="3119" w:right="1701" w:bottom="1701" w:left="1701" w:header="720" w:footer="720"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E0" w:rsidRDefault="00366CE0" w:rsidP="00366CE0">
      <w:r>
        <w:separator/>
      </w:r>
    </w:p>
  </w:endnote>
  <w:endnote w:type="continuationSeparator" w:id="0">
    <w:p w:rsidR="00366CE0" w:rsidRDefault="00366CE0" w:rsidP="0036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49209"/>
      <w:docPartObj>
        <w:docPartGallery w:val="Page Numbers (Bottom of Page)"/>
        <w:docPartUnique/>
      </w:docPartObj>
    </w:sdtPr>
    <w:sdtEndPr/>
    <w:sdtContent>
      <w:p w:rsidR="00366CE0" w:rsidRDefault="00366CE0">
        <w:pPr>
          <w:pStyle w:val="Piedepgina"/>
          <w:jc w:val="center"/>
        </w:pPr>
        <w:r>
          <w:fldChar w:fldCharType="begin"/>
        </w:r>
        <w:r>
          <w:instrText>PAGE   \* MERGEFORMAT</w:instrText>
        </w:r>
        <w:r>
          <w:fldChar w:fldCharType="separate"/>
        </w:r>
        <w:r w:rsidR="00A33480">
          <w:rPr>
            <w:noProof/>
          </w:rPr>
          <w:t>1</w:t>
        </w:r>
        <w:r>
          <w:fldChar w:fldCharType="end"/>
        </w:r>
      </w:p>
    </w:sdtContent>
  </w:sdt>
  <w:p w:rsidR="00366CE0" w:rsidRDefault="00366C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E0" w:rsidRDefault="00366CE0" w:rsidP="00366CE0">
      <w:r>
        <w:separator/>
      </w:r>
    </w:p>
  </w:footnote>
  <w:footnote w:type="continuationSeparator" w:id="0">
    <w:p w:rsidR="00366CE0" w:rsidRDefault="00366CE0" w:rsidP="00366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422AE2"/>
    <w:lvl w:ilvl="0">
      <w:numFmt w:val="bullet"/>
      <w:lvlText w:val="*"/>
      <w:lvlJc w:val="left"/>
    </w:lvl>
  </w:abstractNum>
  <w:abstractNum w:abstractNumId="1">
    <w:nsid w:val="25903D9C"/>
    <w:multiLevelType w:val="hybridMultilevel"/>
    <w:tmpl w:val="C9FEB7CA"/>
    <w:lvl w:ilvl="0" w:tplc="770EF07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E0"/>
    <w:rsid w:val="00330727"/>
    <w:rsid w:val="00366CE0"/>
    <w:rsid w:val="009D365A"/>
    <w:rsid w:val="00A33480"/>
    <w:rsid w:val="00B95808"/>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E0"/>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CE0"/>
    <w:pPr>
      <w:tabs>
        <w:tab w:val="center" w:pos="4419"/>
        <w:tab w:val="right" w:pos="8838"/>
      </w:tabs>
    </w:pPr>
  </w:style>
  <w:style w:type="character" w:customStyle="1" w:styleId="EncabezadoCar">
    <w:name w:val="Encabezado Car"/>
    <w:basedOn w:val="Fuentedeprrafopredeter"/>
    <w:link w:val="Encabezado"/>
    <w:uiPriority w:val="99"/>
    <w:rsid w:val="00366CE0"/>
    <w:rPr>
      <w:rFonts w:ascii="Arial" w:hAnsi="Arial"/>
      <w:sz w:val="24"/>
      <w:szCs w:val="24"/>
      <w:lang w:val="es-ES" w:eastAsia="es-ES"/>
    </w:rPr>
  </w:style>
  <w:style w:type="paragraph" w:styleId="Piedepgina">
    <w:name w:val="footer"/>
    <w:basedOn w:val="Normal"/>
    <w:link w:val="PiedepginaCar"/>
    <w:uiPriority w:val="99"/>
    <w:unhideWhenUsed/>
    <w:rsid w:val="00366CE0"/>
    <w:pPr>
      <w:tabs>
        <w:tab w:val="center" w:pos="4419"/>
        <w:tab w:val="right" w:pos="8838"/>
      </w:tabs>
    </w:pPr>
  </w:style>
  <w:style w:type="character" w:customStyle="1" w:styleId="PiedepginaCar">
    <w:name w:val="Pie de página Car"/>
    <w:basedOn w:val="Fuentedeprrafopredeter"/>
    <w:link w:val="Piedepgina"/>
    <w:uiPriority w:val="99"/>
    <w:rsid w:val="00366CE0"/>
    <w:rPr>
      <w:rFonts w:ascii="Arial"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E0"/>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6CE0"/>
    <w:pPr>
      <w:tabs>
        <w:tab w:val="center" w:pos="4419"/>
        <w:tab w:val="right" w:pos="8838"/>
      </w:tabs>
    </w:pPr>
  </w:style>
  <w:style w:type="character" w:customStyle="1" w:styleId="EncabezadoCar">
    <w:name w:val="Encabezado Car"/>
    <w:basedOn w:val="Fuentedeprrafopredeter"/>
    <w:link w:val="Encabezado"/>
    <w:uiPriority w:val="99"/>
    <w:rsid w:val="00366CE0"/>
    <w:rPr>
      <w:rFonts w:ascii="Arial" w:hAnsi="Arial"/>
      <w:sz w:val="24"/>
      <w:szCs w:val="24"/>
      <w:lang w:val="es-ES" w:eastAsia="es-ES"/>
    </w:rPr>
  </w:style>
  <w:style w:type="paragraph" w:styleId="Piedepgina">
    <w:name w:val="footer"/>
    <w:basedOn w:val="Normal"/>
    <w:link w:val="PiedepginaCar"/>
    <w:uiPriority w:val="99"/>
    <w:unhideWhenUsed/>
    <w:rsid w:val="00366CE0"/>
    <w:pPr>
      <w:tabs>
        <w:tab w:val="center" w:pos="4419"/>
        <w:tab w:val="right" w:pos="8838"/>
      </w:tabs>
    </w:pPr>
  </w:style>
  <w:style w:type="character" w:customStyle="1" w:styleId="PiedepginaCar">
    <w:name w:val="Pie de página Car"/>
    <w:basedOn w:val="Fuentedeprrafopredeter"/>
    <w:link w:val="Piedepgina"/>
    <w:uiPriority w:val="99"/>
    <w:rsid w:val="00366CE0"/>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9DB5-D5CE-4196-85D0-C67076B1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7749</Words>
  <Characters>40999</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2</cp:revision>
  <cp:lastPrinted>2017-02-07T20:18:00Z</cp:lastPrinted>
  <dcterms:created xsi:type="dcterms:W3CDTF">2017-02-07T19:59:00Z</dcterms:created>
  <dcterms:modified xsi:type="dcterms:W3CDTF">2017-02-08T16:18:00Z</dcterms:modified>
</cp:coreProperties>
</file>