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BDB" w:rsidRPr="00786EEB" w:rsidRDefault="005A3BDB" w:rsidP="001F6058">
      <w:pPr>
        <w:widowControl w:val="0"/>
        <w:tabs>
          <w:tab w:val="center" w:pos="4253"/>
        </w:tabs>
        <w:jc w:val="right"/>
        <w:rPr>
          <w:rFonts w:cs="Arial"/>
          <w:b/>
          <w:sz w:val="28"/>
          <w:szCs w:val="28"/>
          <w:lang w:val="es-ES_tradnl"/>
        </w:rPr>
      </w:pPr>
      <w:bookmarkStart w:id="0" w:name="_GoBack"/>
      <w:bookmarkEnd w:id="0"/>
      <w:r w:rsidRPr="00786EEB">
        <w:rPr>
          <w:rFonts w:cs="Arial"/>
          <w:b/>
          <w:sz w:val="28"/>
          <w:szCs w:val="28"/>
          <w:lang w:val="es-ES_tradnl"/>
        </w:rPr>
        <w:t>RES.</w:t>
      </w:r>
      <w:r w:rsidR="001F6058">
        <w:rPr>
          <w:rFonts w:cs="Arial"/>
          <w:b/>
          <w:sz w:val="28"/>
          <w:szCs w:val="28"/>
          <w:lang w:val="es-ES_tradnl"/>
        </w:rPr>
        <w:t xml:space="preserve"> </w:t>
      </w:r>
      <w:r w:rsidR="003B7574">
        <w:rPr>
          <w:rFonts w:cs="Arial"/>
          <w:b/>
          <w:sz w:val="28"/>
          <w:szCs w:val="28"/>
          <w:lang w:val="es-ES_tradnl"/>
        </w:rPr>
        <w:t>3352</w:t>
      </w:r>
      <w:r w:rsidRPr="00786EEB">
        <w:rPr>
          <w:rFonts w:cs="Arial"/>
          <w:b/>
          <w:sz w:val="28"/>
          <w:szCs w:val="28"/>
          <w:lang w:val="es-ES_tradnl"/>
        </w:rPr>
        <w:t xml:space="preserve"> /16</w:t>
      </w:r>
    </w:p>
    <w:p w:rsidR="005A3BDB" w:rsidRPr="005A3BDB" w:rsidRDefault="005A3BDB" w:rsidP="001F6058">
      <w:pPr>
        <w:widowControl w:val="0"/>
        <w:tabs>
          <w:tab w:val="center" w:pos="4253"/>
        </w:tabs>
        <w:jc w:val="right"/>
        <w:rPr>
          <w:rFonts w:cs="Arial"/>
          <w:b/>
          <w:lang w:val="es-UY"/>
        </w:rPr>
      </w:pPr>
    </w:p>
    <w:p w:rsidR="005A3BDB" w:rsidRPr="00762B34" w:rsidRDefault="005A3BDB" w:rsidP="001F6058">
      <w:pPr>
        <w:widowControl w:val="0"/>
        <w:tabs>
          <w:tab w:val="center" w:pos="4253"/>
        </w:tabs>
        <w:jc w:val="center"/>
        <w:rPr>
          <w:rFonts w:cs="Arial"/>
          <w:b/>
          <w:lang w:val="es-ES_tradnl"/>
        </w:rPr>
      </w:pPr>
      <w:r w:rsidRPr="00762B34">
        <w:rPr>
          <w:rFonts w:cs="Arial"/>
          <w:b/>
          <w:lang w:val="es-ES_tradnl"/>
        </w:rPr>
        <w:t>RESOLUCION ADOPTADA POR EL</w:t>
      </w:r>
    </w:p>
    <w:p w:rsidR="005A3BDB" w:rsidRPr="00762B34" w:rsidRDefault="005A3BDB" w:rsidP="001F6058">
      <w:pPr>
        <w:widowControl w:val="0"/>
        <w:tabs>
          <w:tab w:val="left" w:pos="-720"/>
        </w:tabs>
        <w:jc w:val="center"/>
        <w:rPr>
          <w:rFonts w:cs="Arial"/>
          <w:b/>
          <w:lang w:val="es-ES_tradnl"/>
        </w:rPr>
      </w:pPr>
    </w:p>
    <w:p w:rsidR="005A3BDB" w:rsidRPr="00762B34" w:rsidRDefault="005A3BDB" w:rsidP="001F6058">
      <w:pPr>
        <w:widowControl w:val="0"/>
        <w:tabs>
          <w:tab w:val="center" w:pos="4253"/>
        </w:tabs>
        <w:jc w:val="center"/>
        <w:rPr>
          <w:rFonts w:cs="Arial"/>
          <w:b/>
          <w:lang w:val="es-ES_tradnl"/>
        </w:rPr>
      </w:pPr>
      <w:r w:rsidRPr="00762B34">
        <w:rPr>
          <w:rFonts w:cs="Arial"/>
          <w:b/>
          <w:lang w:val="es-ES_tradnl"/>
        </w:rPr>
        <w:t>TRIBUNAL DE CUENTAS</w:t>
      </w:r>
    </w:p>
    <w:p w:rsidR="005A3BDB" w:rsidRPr="005A3BDB" w:rsidRDefault="005A3BDB" w:rsidP="001F6058">
      <w:pPr>
        <w:widowControl w:val="0"/>
        <w:tabs>
          <w:tab w:val="left" w:pos="-720"/>
        </w:tabs>
        <w:jc w:val="center"/>
        <w:rPr>
          <w:rFonts w:cs="Arial"/>
          <w:b/>
          <w:lang w:val="es-UY"/>
        </w:rPr>
      </w:pPr>
    </w:p>
    <w:p w:rsidR="005A3BDB" w:rsidRPr="00762B34" w:rsidRDefault="005A3BDB" w:rsidP="001F6058">
      <w:pPr>
        <w:widowControl w:val="0"/>
        <w:tabs>
          <w:tab w:val="center" w:pos="4253"/>
        </w:tabs>
        <w:jc w:val="center"/>
        <w:rPr>
          <w:rFonts w:cs="Arial"/>
          <w:b/>
          <w:lang w:val="es-ES_tradnl"/>
        </w:rPr>
      </w:pPr>
      <w:r w:rsidRPr="00762B34">
        <w:rPr>
          <w:rFonts w:cs="Arial"/>
          <w:b/>
          <w:lang w:val="es-ES_tradnl"/>
        </w:rPr>
        <w:t xml:space="preserve">EN SESION DE FECHA </w:t>
      </w:r>
      <w:r>
        <w:rPr>
          <w:rFonts w:ascii="Helvetica" w:hAnsi="Helvetica"/>
          <w:b/>
          <w:lang w:val="es-ES_tradnl"/>
        </w:rPr>
        <w:t>21 DE SETIEMBRE DE 2016</w:t>
      </w:r>
    </w:p>
    <w:p w:rsidR="005A3BDB" w:rsidRPr="00762B34" w:rsidRDefault="005A3BDB" w:rsidP="001F6058">
      <w:pPr>
        <w:widowControl w:val="0"/>
        <w:tabs>
          <w:tab w:val="center" w:pos="4253"/>
        </w:tabs>
        <w:jc w:val="center"/>
        <w:rPr>
          <w:rFonts w:cs="Arial"/>
          <w:b/>
          <w:lang w:val="es-ES_tradnl"/>
        </w:rPr>
      </w:pPr>
    </w:p>
    <w:p w:rsidR="005A3BDB" w:rsidRPr="001842D8" w:rsidRDefault="005A3BDB" w:rsidP="001F6058">
      <w:pPr>
        <w:widowControl w:val="0"/>
        <w:tabs>
          <w:tab w:val="center" w:pos="4253"/>
        </w:tabs>
        <w:jc w:val="center"/>
        <w:rPr>
          <w:rFonts w:cs="Arial"/>
          <w:b/>
          <w:lang w:val="es-UY"/>
        </w:rPr>
      </w:pPr>
      <w:r w:rsidRPr="001842D8">
        <w:rPr>
          <w:rFonts w:cs="Arial"/>
          <w:b/>
          <w:lang w:val="es-UY"/>
        </w:rPr>
        <w:t xml:space="preserve">(E. E. Nº </w:t>
      </w:r>
      <w:r w:rsidR="003B7574">
        <w:rPr>
          <w:b/>
          <w:spacing w:val="-3"/>
          <w:lang w:val="es-UY"/>
        </w:rPr>
        <w:t>2016-17-1-</w:t>
      </w:r>
      <w:proofErr w:type="gramStart"/>
      <w:r w:rsidR="003B7574">
        <w:rPr>
          <w:b/>
          <w:spacing w:val="-3"/>
          <w:lang w:val="es-UY"/>
        </w:rPr>
        <w:t>0004479</w:t>
      </w:r>
      <w:r w:rsidRPr="001842D8">
        <w:rPr>
          <w:rFonts w:cs="Arial"/>
          <w:b/>
          <w:lang w:val="es-UY"/>
        </w:rPr>
        <w:t xml:space="preserve"> ,</w:t>
      </w:r>
      <w:proofErr w:type="gramEnd"/>
      <w:r w:rsidRPr="001842D8">
        <w:rPr>
          <w:rFonts w:cs="Arial"/>
          <w:b/>
          <w:lang w:val="es-UY"/>
        </w:rPr>
        <w:t xml:space="preserve"> </w:t>
      </w:r>
      <w:proofErr w:type="spellStart"/>
      <w:r w:rsidRPr="001842D8">
        <w:rPr>
          <w:rFonts w:cs="Arial"/>
          <w:b/>
          <w:lang w:val="es-UY"/>
        </w:rPr>
        <w:t>Ent</w:t>
      </w:r>
      <w:proofErr w:type="spellEnd"/>
      <w:r w:rsidRPr="001842D8">
        <w:rPr>
          <w:rFonts w:cs="Arial"/>
          <w:b/>
          <w:lang w:val="es-UY"/>
        </w:rPr>
        <w:t xml:space="preserve">. N° </w:t>
      </w:r>
      <w:r w:rsidR="003B7574">
        <w:rPr>
          <w:b/>
          <w:spacing w:val="-3"/>
          <w:lang w:val="es-UY"/>
        </w:rPr>
        <w:t>3420/16</w:t>
      </w:r>
      <w:r w:rsidRPr="001842D8">
        <w:rPr>
          <w:rFonts w:cs="Arial"/>
          <w:b/>
          <w:lang w:val="es-UY"/>
        </w:rPr>
        <w:t>)</w:t>
      </w:r>
    </w:p>
    <w:p w:rsidR="005A3BDB" w:rsidRDefault="005A3BDB" w:rsidP="001F6058">
      <w:pPr>
        <w:widowControl w:val="0"/>
        <w:tabs>
          <w:tab w:val="center" w:pos="4253"/>
        </w:tabs>
        <w:spacing w:line="360" w:lineRule="auto"/>
        <w:jc w:val="both"/>
        <w:rPr>
          <w:rFonts w:cs="Arial"/>
          <w:b/>
          <w:lang w:val="es-UY"/>
        </w:rPr>
      </w:pPr>
    </w:p>
    <w:p w:rsidR="00001B58" w:rsidRPr="001842D8" w:rsidRDefault="00001B58" w:rsidP="001F6058">
      <w:pPr>
        <w:widowControl w:val="0"/>
        <w:tabs>
          <w:tab w:val="center" w:pos="4253"/>
        </w:tabs>
        <w:spacing w:line="360" w:lineRule="auto"/>
        <w:jc w:val="both"/>
        <w:rPr>
          <w:rFonts w:cs="Arial"/>
          <w:b/>
          <w:lang w:val="es-UY"/>
        </w:rPr>
      </w:pPr>
    </w:p>
    <w:p w:rsidR="008D7615" w:rsidRDefault="00004E2E" w:rsidP="001F6058">
      <w:pPr>
        <w:widowControl w:val="0"/>
        <w:tabs>
          <w:tab w:val="center" w:pos="4253"/>
        </w:tabs>
        <w:spacing w:line="360" w:lineRule="auto"/>
        <w:ind w:firstLine="851"/>
        <w:jc w:val="both"/>
      </w:pPr>
      <w:r>
        <w:rPr>
          <w:b/>
        </w:rPr>
        <w:t>VISTO:</w:t>
      </w:r>
      <w:r>
        <w:t xml:space="preserve"> la Rendición de Cuentas y Balance de Ejecución Presupuestal de la Junta Departamental de Río Negro correspondiente al </w:t>
      </w:r>
      <w:r w:rsidR="00F866D3">
        <w:t>E</w:t>
      </w:r>
      <w:r>
        <w:t xml:space="preserve">jercicio </w:t>
      </w:r>
      <w:r w:rsidR="00B42418">
        <w:t>2015</w:t>
      </w:r>
      <w:r>
        <w:t>;</w:t>
      </w:r>
    </w:p>
    <w:p w:rsidR="008D7615" w:rsidRDefault="00004E2E" w:rsidP="001F6058">
      <w:pPr>
        <w:widowControl w:val="0"/>
        <w:tabs>
          <w:tab w:val="center" w:pos="4253"/>
        </w:tabs>
        <w:spacing w:line="360" w:lineRule="auto"/>
        <w:ind w:firstLine="851"/>
        <w:jc w:val="both"/>
      </w:pPr>
      <w:r>
        <w:rPr>
          <w:b/>
        </w:rPr>
        <w:t xml:space="preserve">RESULTANDO: </w:t>
      </w:r>
      <w:r>
        <w:t>que el examen se efectuó de acuerdo con los Principios Fundamentales de Auditoría (ISSAI 100</w:t>
      </w:r>
      <w:r w:rsidR="008522A7">
        <w:t xml:space="preserve"> </w:t>
      </w:r>
      <w:r>
        <w:t xml:space="preserve">y </w:t>
      </w:r>
      <w:r w:rsidR="008522A7">
        <w:t>200</w:t>
      </w:r>
      <w:r>
        <w:t xml:space="preserve">) y las Directrices de Auditoría Financiera (ISSAI 1000 a </w:t>
      </w:r>
      <w:r w:rsidR="008522A7">
        <w:t>1810</w:t>
      </w:r>
      <w:r>
        <w:t>) de la Organización Internacional de Entidades Fiscalizadoras Superiores (INTOSAI), habiéndose llevado a cabo los procedimientos considerados necesarios en las circunstancias;</w:t>
      </w:r>
    </w:p>
    <w:p w:rsidR="008D7615" w:rsidRDefault="00004E2E" w:rsidP="001F6058">
      <w:pPr>
        <w:widowControl w:val="0"/>
        <w:tabs>
          <w:tab w:val="center" w:pos="4253"/>
        </w:tabs>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8D7615" w:rsidRDefault="00004E2E" w:rsidP="001F6058">
      <w:pPr>
        <w:widowControl w:val="0"/>
        <w:tabs>
          <w:tab w:val="center" w:pos="4253"/>
        </w:tabs>
        <w:spacing w:line="360" w:lineRule="auto"/>
        <w:ind w:firstLine="851"/>
        <w:jc w:val="both"/>
      </w:pPr>
      <w:r>
        <w:rPr>
          <w:b/>
        </w:rPr>
        <w:t xml:space="preserve">ATENTO: </w:t>
      </w:r>
      <w:r>
        <w:t>a lo dispuesto por el Art</w:t>
      </w:r>
      <w:r w:rsidR="0070153B">
        <w:t>ículo</w:t>
      </w:r>
      <w:r>
        <w:t xml:space="preserve"> 211 Lit</w:t>
      </w:r>
      <w:r w:rsidR="0070153B">
        <w:t>eral</w:t>
      </w:r>
      <w:r>
        <w:t xml:space="preserve"> C) de la Constitución de la República;</w:t>
      </w:r>
      <w:bookmarkStart w:id="1" w:name="_Toc75256577"/>
    </w:p>
    <w:p w:rsidR="008D7615" w:rsidRDefault="00004E2E" w:rsidP="001F6058">
      <w:pPr>
        <w:widowControl w:val="0"/>
        <w:tabs>
          <w:tab w:val="center" w:pos="4253"/>
        </w:tabs>
        <w:spacing w:line="360" w:lineRule="auto"/>
        <w:jc w:val="center"/>
        <w:rPr>
          <w:b/>
          <w:bCs/>
        </w:rPr>
      </w:pPr>
      <w:r>
        <w:rPr>
          <w:b/>
          <w:bCs/>
        </w:rPr>
        <w:t>EL TRIBUNAL ACUERDA</w:t>
      </w:r>
      <w:bookmarkEnd w:id="1"/>
    </w:p>
    <w:p w:rsidR="008D7615" w:rsidRDefault="008D7615" w:rsidP="001F6058">
      <w:pPr>
        <w:widowControl w:val="0"/>
        <w:tabs>
          <w:tab w:val="center" w:pos="4253"/>
        </w:tabs>
        <w:spacing w:line="360" w:lineRule="auto"/>
        <w:jc w:val="both"/>
      </w:pPr>
      <w:r>
        <w:rPr>
          <w:b/>
          <w:bCs/>
        </w:rPr>
        <w:t>1)</w:t>
      </w:r>
      <w:r w:rsidR="00F866D3">
        <w:rPr>
          <w:b/>
          <w:bCs/>
        </w:rPr>
        <w:t xml:space="preserve"> </w:t>
      </w:r>
      <w:r w:rsidR="002E49CF">
        <w:t xml:space="preserve">Expedirse </w:t>
      </w:r>
      <w:r w:rsidR="00004E2E">
        <w:t>en los términos del Info</w:t>
      </w:r>
      <w:r w:rsidR="00721032">
        <w:t>rme de Auditoría que se adjunta</w:t>
      </w:r>
      <w:r w:rsidR="001F6058">
        <w:t>;</w:t>
      </w:r>
    </w:p>
    <w:p w:rsidR="008D7615" w:rsidRDefault="008D7615" w:rsidP="001F6058">
      <w:pPr>
        <w:widowControl w:val="0"/>
        <w:tabs>
          <w:tab w:val="center" w:pos="4253"/>
        </w:tabs>
        <w:spacing w:line="360" w:lineRule="auto"/>
        <w:ind w:left="284" w:hanging="284"/>
        <w:jc w:val="both"/>
      </w:pPr>
      <w:r w:rsidRPr="00F866D3">
        <w:rPr>
          <w:b/>
        </w:rPr>
        <w:t>2)</w:t>
      </w:r>
      <w:r w:rsidR="00F866D3">
        <w:t xml:space="preserve"> </w:t>
      </w:r>
      <w:r w:rsidR="00004E2E">
        <w:t>Comunicar la presente Resolución a la Junta Departamental</w:t>
      </w:r>
      <w:r w:rsidR="003525EB">
        <w:t xml:space="preserve"> y</w:t>
      </w:r>
      <w:r w:rsidR="00004E2E">
        <w:t xml:space="preserve"> a la Intendencia de Río Negro</w:t>
      </w:r>
      <w:r w:rsidR="001F6058">
        <w:t>;</w:t>
      </w:r>
    </w:p>
    <w:p w:rsidR="008D7615" w:rsidRDefault="008D7615" w:rsidP="001F6058">
      <w:pPr>
        <w:widowControl w:val="0"/>
        <w:tabs>
          <w:tab w:val="center" w:pos="4253"/>
        </w:tabs>
        <w:spacing w:line="360" w:lineRule="auto"/>
        <w:ind w:left="284" w:hanging="284"/>
        <w:jc w:val="both"/>
      </w:pPr>
      <w:r w:rsidRPr="00F866D3">
        <w:rPr>
          <w:b/>
        </w:rPr>
        <w:t>3)</w:t>
      </w:r>
      <w:r w:rsidR="00F866D3">
        <w:t xml:space="preserve"> </w:t>
      </w:r>
      <w:r w:rsidR="00004E2E">
        <w:t>D</w:t>
      </w:r>
      <w:r w:rsidR="00A24560">
        <w:t>ar cuenta a la Asamblea General</w:t>
      </w:r>
      <w:r w:rsidR="001F6058">
        <w:t>;</w:t>
      </w:r>
    </w:p>
    <w:p w:rsidR="00B42418" w:rsidRDefault="008D7615" w:rsidP="001F6058">
      <w:pPr>
        <w:widowControl w:val="0"/>
        <w:tabs>
          <w:tab w:val="center" w:pos="4253"/>
        </w:tabs>
        <w:spacing w:line="360" w:lineRule="auto"/>
        <w:ind w:left="284" w:hanging="284"/>
        <w:jc w:val="both"/>
      </w:pPr>
      <w:r w:rsidRPr="00F866D3">
        <w:rPr>
          <w:b/>
        </w:rPr>
        <w:t>4)</w:t>
      </w:r>
      <w:r w:rsidR="00F866D3">
        <w:t xml:space="preserve"> </w:t>
      </w:r>
      <w:r w:rsidR="00A24560">
        <w:t>Devuélvase.</w:t>
      </w:r>
    </w:p>
    <w:p w:rsidR="00001B58" w:rsidRDefault="00001B58" w:rsidP="001F6058">
      <w:pPr>
        <w:keepNext/>
        <w:widowControl w:val="0"/>
        <w:spacing w:line="360" w:lineRule="auto"/>
        <w:jc w:val="both"/>
        <w:rPr>
          <w:sz w:val="20"/>
          <w:szCs w:val="20"/>
        </w:rPr>
      </w:pPr>
    </w:p>
    <w:p w:rsidR="00001B58" w:rsidRDefault="00001B58" w:rsidP="001F6058">
      <w:pPr>
        <w:keepNext/>
        <w:widowControl w:val="0"/>
        <w:spacing w:line="360" w:lineRule="auto"/>
        <w:jc w:val="both"/>
        <w:rPr>
          <w:sz w:val="20"/>
          <w:szCs w:val="20"/>
        </w:rPr>
      </w:pPr>
    </w:p>
    <w:p w:rsidR="00001B58" w:rsidRDefault="00001B58" w:rsidP="001F6058">
      <w:pPr>
        <w:pStyle w:val="Ttulo1"/>
        <w:keepNext w:val="0"/>
        <w:widowControl w:val="0"/>
        <w:spacing w:line="360" w:lineRule="auto"/>
        <w:jc w:val="center"/>
        <w:rPr>
          <w:kern w:val="18"/>
        </w:rPr>
      </w:pPr>
      <w:bookmarkStart w:id="2" w:name="_Toc267641741"/>
      <w:bookmarkStart w:id="3" w:name="_Toc356996995"/>
      <w:bookmarkStart w:id="4" w:name="_Toc71366619"/>
      <w:bookmarkStart w:id="5" w:name="_Toc76280777"/>
    </w:p>
    <w:p w:rsidR="001842D8" w:rsidRPr="005A36C3" w:rsidRDefault="001842D8" w:rsidP="001F6058">
      <w:pPr>
        <w:pStyle w:val="Ttulo1"/>
        <w:keepNext w:val="0"/>
        <w:widowControl w:val="0"/>
        <w:spacing w:line="360" w:lineRule="auto"/>
        <w:jc w:val="center"/>
        <w:rPr>
          <w:highlight w:val="green"/>
        </w:rPr>
      </w:pPr>
      <w:r w:rsidRPr="005A36C3">
        <w:rPr>
          <w:kern w:val="18"/>
        </w:rPr>
        <w:t>DICTAMEN</w:t>
      </w:r>
      <w:bookmarkEnd w:id="2"/>
      <w:bookmarkEnd w:id="3"/>
    </w:p>
    <w:p w:rsidR="001842D8" w:rsidRPr="00E70003" w:rsidRDefault="001842D8" w:rsidP="001F6058">
      <w:pPr>
        <w:widowControl w:val="0"/>
        <w:rPr>
          <w:highlight w:val="green"/>
        </w:rPr>
      </w:pPr>
    </w:p>
    <w:bookmarkEnd w:id="4"/>
    <w:bookmarkEnd w:id="5"/>
    <w:p w:rsidR="001842D8" w:rsidRPr="005A36C3" w:rsidRDefault="001842D8" w:rsidP="001F6058">
      <w:pPr>
        <w:pStyle w:val="Subttulo"/>
        <w:widowControl w:val="0"/>
        <w:ind w:firstLine="432"/>
        <w:rPr>
          <w:rFonts w:ascii="Arial" w:hAnsi="Arial" w:cs="Arial"/>
          <w:b w:val="0"/>
        </w:rPr>
      </w:pPr>
      <w:r w:rsidRPr="005A36C3">
        <w:rPr>
          <w:rFonts w:ascii="Arial" w:hAnsi="Arial" w:cs="Arial"/>
          <w:b w:val="0"/>
        </w:rPr>
        <w:t xml:space="preserve"> El Tribunal de Cuentas ha examinado la Rendición de Cuentas y el</w:t>
      </w:r>
      <w:r w:rsidRPr="00E70003">
        <w:rPr>
          <w:rFonts w:ascii="Arial" w:hAnsi="Arial" w:cs="Arial"/>
          <w:b w:val="0"/>
          <w:highlight w:val="green"/>
        </w:rPr>
        <w:t xml:space="preserve"> </w:t>
      </w:r>
      <w:r w:rsidRPr="005A36C3">
        <w:rPr>
          <w:rFonts w:ascii="Arial" w:hAnsi="Arial" w:cs="Arial"/>
          <w:b w:val="0"/>
        </w:rPr>
        <w:t>Balance de Ejecución Presupuestal de la Junta Departamental de Río Negro, que comprenden los siguientes estados: de ejecución presupuestal con relación a los créditos, de evolución de las obligaciones presupuestales impagas, de fondos indisponibles y otros estados complementarios, correspondientes al Ejercicio finalizado el 31/12/2015.</w:t>
      </w:r>
    </w:p>
    <w:p w:rsidR="001842D8" w:rsidRDefault="001842D8" w:rsidP="001F6058">
      <w:pPr>
        <w:pStyle w:val="Subttulo"/>
        <w:widowControl w:val="0"/>
        <w:ind w:firstLine="432"/>
        <w:rPr>
          <w:rFonts w:ascii="Arial" w:hAnsi="Arial" w:cs="Arial"/>
          <w:b w:val="0"/>
        </w:rPr>
      </w:pPr>
      <w:r w:rsidRPr="005A36C3">
        <w:rPr>
          <w:rFonts w:ascii="Arial" w:hAnsi="Arial" w:cs="Arial"/>
          <w:b w:val="0"/>
        </w:rPr>
        <w:t>También se presentan, en caso de corresponder, los incumplimientos legales constatados por el Tribunal de Cuentas en el curso de la auditoría efectuada.</w:t>
      </w:r>
    </w:p>
    <w:p w:rsidR="001842D8" w:rsidRDefault="001842D8" w:rsidP="001F6058">
      <w:pPr>
        <w:pStyle w:val="Subttulo"/>
        <w:widowControl w:val="0"/>
        <w:ind w:firstLine="432"/>
        <w:rPr>
          <w:rFonts w:ascii="Arial" w:hAnsi="Arial" w:cs="Arial"/>
          <w:b w:val="0"/>
        </w:rPr>
      </w:pPr>
    </w:p>
    <w:p w:rsidR="001842D8" w:rsidRPr="00D05253" w:rsidRDefault="001842D8" w:rsidP="001F6058">
      <w:pPr>
        <w:pStyle w:val="Subttulo"/>
        <w:widowControl w:val="0"/>
        <w:rPr>
          <w:rFonts w:ascii="Arial" w:hAnsi="Arial" w:cs="Arial"/>
        </w:rPr>
      </w:pPr>
      <w:r w:rsidRPr="00D05253">
        <w:rPr>
          <w:rFonts w:ascii="Arial" w:hAnsi="Arial" w:cs="Arial"/>
        </w:rPr>
        <w:t>Responsabilidad de la Dirección de la Junta Departamental por los estados de ejecución presupuestal</w:t>
      </w:r>
    </w:p>
    <w:p w:rsidR="001842D8" w:rsidRDefault="001842D8" w:rsidP="001F6058">
      <w:pPr>
        <w:pStyle w:val="Subttulo"/>
        <w:widowControl w:val="0"/>
        <w:ind w:firstLine="708"/>
        <w:rPr>
          <w:rFonts w:ascii="Arial" w:hAnsi="Arial" w:cs="Arial"/>
          <w:b w:val="0"/>
        </w:rPr>
      </w:pPr>
      <w:r w:rsidRPr="00D05253">
        <w:rPr>
          <w:rFonts w:ascii="Arial" w:hAnsi="Arial" w:cs="Arial"/>
          <w:b w:val="0"/>
        </w:rPr>
        <w:t>La Dirección de la Junta Departamental 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1842D8" w:rsidRDefault="001842D8" w:rsidP="001F6058">
      <w:pPr>
        <w:pStyle w:val="Subttulo"/>
        <w:widowControl w:val="0"/>
        <w:ind w:firstLine="708"/>
        <w:rPr>
          <w:rFonts w:ascii="Arial" w:hAnsi="Arial" w:cs="Arial"/>
          <w:b w:val="0"/>
        </w:rPr>
      </w:pPr>
    </w:p>
    <w:p w:rsidR="001842D8" w:rsidRPr="00475464" w:rsidRDefault="001842D8" w:rsidP="001F6058">
      <w:pPr>
        <w:pStyle w:val="Subttulo"/>
        <w:widowControl w:val="0"/>
        <w:rPr>
          <w:rFonts w:ascii="Arial" w:hAnsi="Arial" w:cs="Arial"/>
        </w:rPr>
      </w:pPr>
      <w:r w:rsidRPr="00475464">
        <w:rPr>
          <w:rFonts w:ascii="Arial" w:hAnsi="Arial" w:cs="Arial"/>
        </w:rPr>
        <w:t>Responsabilidad del auditor</w:t>
      </w:r>
    </w:p>
    <w:p w:rsidR="001842D8" w:rsidRPr="004C6641" w:rsidRDefault="001842D8" w:rsidP="001F6058">
      <w:pPr>
        <w:pStyle w:val="Textonormal"/>
        <w:suppressAutoHyphens w:val="0"/>
        <w:spacing w:line="360" w:lineRule="auto"/>
        <w:jc w:val="both"/>
        <w:rPr>
          <w:rFonts w:ascii="Arial" w:hAnsi="Arial" w:cs="Arial"/>
          <w:bCs/>
          <w:spacing w:val="0"/>
          <w:kern w:val="18"/>
          <w:lang w:val="es-ES" w:eastAsia="es-ES"/>
        </w:rPr>
      </w:pPr>
      <w:r w:rsidRPr="00475464">
        <w:rPr>
          <w:rFonts w:ascii="Arial" w:hAnsi="Arial" w:cs="Arial"/>
          <w:bCs/>
          <w:spacing w:val="0"/>
          <w:kern w:val="18"/>
          <w:lang w:val="es-ES" w:eastAsia="es-ES"/>
        </w:rPr>
        <w:tab/>
        <w:t>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estén libres de</w:t>
      </w:r>
      <w:r w:rsidRPr="00E70003">
        <w:rPr>
          <w:rFonts w:ascii="Arial" w:hAnsi="Arial" w:cs="Arial"/>
          <w:spacing w:val="0"/>
          <w:szCs w:val="20"/>
          <w:highlight w:val="green"/>
          <w:lang w:val="es-ES"/>
        </w:rPr>
        <w:t xml:space="preserve"> </w:t>
      </w:r>
      <w:r w:rsidRPr="004C6641">
        <w:rPr>
          <w:rFonts w:ascii="Arial" w:hAnsi="Arial" w:cs="Arial"/>
          <w:bCs/>
          <w:spacing w:val="0"/>
          <w:kern w:val="18"/>
          <w:lang w:val="es-ES" w:eastAsia="es-ES"/>
        </w:rPr>
        <w:t>errores significativos.</w:t>
      </w:r>
    </w:p>
    <w:p w:rsidR="001842D8" w:rsidRPr="004C6641" w:rsidRDefault="001842D8" w:rsidP="001F6058">
      <w:pPr>
        <w:pStyle w:val="Subttulo"/>
        <w:widowControl w:val="0"/>
        <w:ind w:firstLine="708"/>
        <w:rPr>
          <w:rFonts w:ascii="Arial" w:hAnsi="Arial" w:cs="Arial"/>
          <w:b w:val="0"/>
        </w:rPr>
      </w:pPr>
      <w:r w:rsidRPr="004C6641">
        <w:rPr>
          <w:rFonts w:ascii="Arial" w:hAnsi="Arial" w:cs="Arial"/>
          <w:b w:val="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1842D8" w:rsidRDefault="001842D8" w:rsidP="001F6058">
      <w:pPr>
        <w:pStyle w:val="Subttulo"/>
        <w:widowControl w:val="0"/>
        <w:ind w:firstLine="708"/>
        <w:rPr>
          <w:rFonts w:ascii="Arial" w:hAnsi="Arial" w:cs="Arial"/>
          <w:b w:val="0"/>
        </w:rPr>
      </w:pPr>
      <w:r w:rsidRPr="004C6641">
        <w:rPr>
          <w:rFonts w:ascii="Arial" w:hAnsi="Arial" w:cs="Arial"/>
          <w:b w:val="0"/>
        </w:rPr>
        <w:t>Se considera que la evidencia de auditoría obtenida brinda una base</w:t>
      </w:r>
      <w:r w:rsidRPr="00E70003">
        <w:rPr>
          <w:rFonts w:ascii="Arial" w:hAnsi="Arial" w:cs="Arial"/>
          <w:b w:val="0"/>
          <w:highlight w:val="green"/>
        </w:rPr>
        <w:t xml:space="preserve"> </w:t>
      </w:r>
      <w:r w:rsidRPr="004C6641">
        <w:rPr>
          <w:rFonts w:ascii="Arial" w:hAnsi="Arial" w:cs="Arial"/>
          <w:b w:val="0"/>
        </w:rPr>
        <w:t>suficiente y apropiada para sustentar la opinión.</w:t>
      </w:r>
    </w:p>
    <w:p w:rsidR="001842D8" w:rsidRDefault="001842D8" w:rsidP="001F6058">
      <w:pPr>
        <w:pStyle w:val="Subttulo"/>
        <w:widowControl w:val="0"/>
        <w:rPr>
          <w:rFonts w:ascii="Arial" w:hAnsi="Arial" w:cs="Arial"/>
          <w:b w:val="0"/>
        </w:rPr>
      </w:pPr>
    </w:p>
    <w:p w:rsidR="001842D8" w:rsidRPr="004C6641" w:rsidRDefault="001842D8" w:rsidP="001F6058">
      <w:pPr>
        <w:pStyle w:val="Textoindependiente"/>
        <w:widowControl w:val="0"/>
        <w:spacing w:after="0" w:line="360" w:lineRule="auto"/>
        <w:rPr>
          <w:rFonts w:cs="Arial"/>
          <w:b/>
          <w:bCs/>
          <w:szCs w:val="24"/>
          <w:lang w:val="es-ES"/>
        </w:rPr>
      </w:pPr>
      <w:r w:rsidRPr="004C6641">
        <w:rPr>
          <w:rFonts w:cs="Arial"/>
          <w:b/>
          <w:bCs/>
          <w:szCs w:val="24"/>
          <w:lang w:val="es-ES"/>
        </w:rPr>
        <w:t>Opinión</w:t>
      </w:r>
    </w:p>
    <w:p w:rsidR="001842D8" w:rsidRPr="004C6641" w:rsidRDefault="001842D8" w:rsidP="001F6058">
      <w:pPr>
        <w:pStyle w:val="Textoindependiente"/>
        <w:widowControl w:val="0"/>
        <w:spacing w:after="0" w:line="360" w:lineRule="auto"/>
        <w:ind w:firstLine="851"/>
        <w:rPr>
          <w:rFonts w:cs="Arial"/>
          <w:bCs/>
          <w:szCs w:val="24"/>
          <w:lang w:val="es-ES"/>
        </w:rPr>
      </w:pPr>
      <w:r w:rsidRPr="004C6641">
        <w:rPr>
          <w:rFonts w:cs="Arial"/>
          <w:bCs/>
          <w:szCs w:val="24"/>
          <w:lang w:val="es-ES"/>
        </w:rPr>
        <w:t>En opinión del Tribunal de Cuentas, los estados mencionados presentan razonablemente, en todos sus aspectos importantes, la ejecución presupuestal del Ejercicio 2015, la evolución de las obligaciones presupuestales impagas y de los fondos indisponibles de acuerdo con las normas establecidas en el TOCAF y a la Resolución de este Tribunal de fecha 28/01/04.</w:t>
      </w:r>
    </w:p>
    <w:p w:rsidR="001842D8" w:rsidRPr="004C6641" w:rsidRDefault="001842D8" w:rsidP="001F6058">
      <w:pPr>
        <w:widowControl w:val="0"/>
        <w:spacing w:line="360" w:lineRule="auto"/>
        <w:ind w:firstLine="851"/>
        <w:jc w:val="both"/>
        <w:rPr>
          <w:rFonts w:cs="Arial"/>
          <w:bCs/>
          <w:kern w:val="18"/>
        </w:rPr>
      </w:pPr>
      <w:r w:rsidRPr="004C6641">
        <w:rPr>
          <w:rFonts w:cs="Arial"/>
          <w:bCs/>
          <w:kern w:val="18"/>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1842D8" w:rsidRPr="004C6641" w:rsidRDefault="001842D8" w:rsidP="001F6058">
      <w:pPr>
        <w:widowControl w:val="0"/>
        <w:spacing w:line="360" w:lineRule="auto"/>
        <w:jc w:val="both"/>
        <w:rPr>
          <w:rFonts w:cs="Arial"/>
          <w:bCs/>
          <w:kern w:val="18"/>
        </w:rPr>
      </w:pPr>
      <w:r w:rsidRPr="004C6641">
        <w:rPr>
          <w:rFonts w:cs="Arial"/>
          <w:b/>
          <w:bCs/>
          <w:kern w:val="18"/>
        </w:rPr>
        <w:t>Artículo 295 de la Constitución de la República y Resolución del Tribunal de Cuentas de 22/12/10:</w:t>
      </w:r>
      <w:r w:rsidRPr="004C6641">
        <w:rPr>
          <w:rFonts w:cs="Arial"/>
          <w:bCs/>
          <w:kern w:val="18"/>
        </w:rPr>
        <w:t xml:space="preserve"> En el Ejercicio 2015 se abonaron partidas compensatorias de gastos a los Señores Ediles. Estas partidas fueron objeto de observación por este Tribunal en el Presupuesto Quinquenal 2011-2015. Esta observación no fue aceptada por la Junta Departamental, disponiendo el envío de los antecedentes a la Asamblea General (Artículo 225 de la Constitución de la República), la que no se expidió en plazo, por lo que las citadas partidas quedaron vigentes y se encuentran en ejecución.</w:t>
      </w:r>
    </w:p>
    <w:p w:rsidR="001842D8" w:rsidRPr="004C6641" w:rsidRDefault="001842D8" w:rsidP="001F6058">
      <w:pPr>
        <w:pStyle w:val="Lista"/>
        <w:widowControl w:val="0"/>
        <w:tabs>
          <w:tab w:val="left" w:pos="360"/>
        </w:tabs>
        <w:ind w:left="0" w:firstLine="0"/>
        <w:rPr>
          <w:bCs/>
          <w:lang w:val="es-ES"/>
        </w:rPr>
      </w:pPr>
      <w:r w:rsidRPr="004C6641">
        <w:rPr>
          <w:b/>
          <w:bCs/>
          <w:lang w:val="es-ES"/>
        </w:rPr>
        <w:t>Artículos 14 y 23 del TOCAF:</w:t>
      </w:r>
      <w:r w:rsidRPr="004C6641">
        <w:rPr>
          <w:bCs/>
          <w:lang w:val="es-ES"/>
        </w:rPr>
        <w:t xml:space="preserve"> Se realizaron gastos que no fueron ordenados previamente por el Ordenador competente.</w:t>
      </w:r>
    </w:p>
    <w:p w:rsidR="001842D8" w:rsidRPr="004C6641" w:rsidRDefault="001842D8" w:rsidP="001F6058">
      <w:pPr>
        <w:pStyle w:val="Lista"/>
        <w:widowControl w:val="0"/>
        <w:tabs>
          <w:tab w:val="left" w:pos="360"/>
        </w:tabs>
        <w:ind w:left="0" w:firstLine="0"/>
        <w:rPr>
          <w:bCs/>
          <w:lang w:val="es-ES"/>
        </w:rPr>
      </w:pPr>
      <w:r w:rsidRPr="006859DD">
        <w:rPr>
          <w:b/>
          <w:bCs/>
          <w:lang w:val="es-ES"/>
        </w:rPr>
        <w:t>Artículo 3 de la Ley 17.829 en la redacción dada por el Artículo 107 de la Ley</w:t>
      </w:r>
      <w:r w:rsidRPr="004C6641">
        <w:rPr>
          <w:bCs/>
          <w:lang w:val="es-ES"/>
        </w:rPr>
        <w:t xml:space="preserve"> </w:t>
      </w:r>
      <w:r w:rsidRPr="006859DD">
        <w:rPr>
          <w:b/>
          <w:bCs/>
          <w:lang w:val="es-ES"/>
        </w:rPr>
        <w:t>18.083 y Decreto 429/004:</w:t>
      </w:r>
      <w:r w:rsidRPr="004C6641">
        <w:rPr>
          <w:bCs/>
          <w:lang w:val="es-ES"/>
        </w:rPr>
        <w:t xml:space="preserve"> Se realizaron liquidaciones de sueldos en las que no se cumplió con lo establecido en esta norma, al no abonarse como mínimo el 35 % </w:t>
      </w:r>
      <w:r w:rsidR="00001B58">
        <w:rPr>
          <w:bCs/>
          <w:lang w:val="es-ES"/>
        </w:rPr>
        <w:t>del sueldo líquido en efectivo.</w:t>
      </w:r>
    </w:p>
    <w:p w:rsidR="001842D8" w:rsidRPr="004C6641" w:rsidRDefault="001842D8" w:rsidP="001F6058">
      <w:pPr>
        <w:widowControl w:val="0"/>
        <w:spacing w:line="360" w:lineRule="auto"/>
        <w:jc w:val="both"/>
        <w:rPr>
          <w:rFonts w:cs="Arial"/>
          <w:bCs/>
          <w:kern w:val="18"/>
        </w:rPr>
      </w:pPr>
      <w:r w:rsidRPr="004C6641">
        <w:rPr>
          <w:rFonts w:cs="Arial"/>
          <w:b/>
          <w:bCs/>
          <w:kern w:val="18"/>
        </w:rPr>
        <w:t>Artículo 7 de la Ley 13.142, Artículo 1 del Decreto-Ley 14.632, Decreto 342/992:</w:t>
      </w:r>
      <w:r w:rsidRPr="004C6641">
        <w:rPr>
          <w:rFonts w:cs="Arial"/>
          <w:bCs/>
          <w:kern w:val="18"/>
        </w:rPr>
        <w:t xml:space="preserve"> En oportunidad de efectuar los pagos de los compromisos contraídos, no se exige a la totalidad de los proveedores la presentación de los certificados de estar al día con el BPS y la DGI.</w:t>
      </w:r>
    </w:p>
    <w:p w:rsidR="001842D8" w:rsidRPr="004C6641" w:rsidRDefault="001842D8" w:rsidP="001F6058">
      <w:pPr>
        <w:widowControl w:val="0"/>
        <w:spacing w:line="360" w:lineRule="auto"/>
        <w:jc w:val="both"/>
        <w:rPr>
          <w:rFonts w:cs="Arial"/>
          <w:bCs/>
          <w:kern w:val="18"/>
        </w:rPr>
      </w:pPr>
      <w:r w:rsidRPr="004C6641">
        <w:rPr>
          <w:rFonts w:cs="Arial"/>
          <w:b/>
          <w:bCs/>
          <w:kern w:val="18"/>
        </w:rPr>
        <w:t>Artículo 124 de la Ley 17.738:</w:t>
      </w:r>
      <w:r w:rsidRPr="004C6641">
        <w:rPr>
          <w:rFonts w:cs="Arial"/>
          <w:bCs/>
          <w:kern w:val="18"/>
        </w:rPr>
        <w:t xml:space="preserve"> Se efectuaron pagos por servicios profesionales sin solicitar los correspondientes certificados acreditando, que los profesionales contratados se encontraran al día en sus obligaciones con la Caja de Jubilaciones y Pensiones de Profesionales Universitarios (CJPPU).</w:t>
      </w:r>
    </w:p>
    <w:p w:rsidR="001842D8" w:rsidRPr="004C6641" w:rsidRDefault="001842D8" w:rsidP="001F6058">
      <w:pPr>
        <w:pStyle w:val="Textoindependiente3"/>
        <w:widowControl w:val="0"/>
        <w:rPr>
          <w:rFonts w:cs="Arial"/>
          <w:bCs/>
          <w:kern w:val="18"/>
        </w:rPr>
      </w:pPr>
      <w:r w:rsidRPr="004C6641">
        <w:rPr>
          <w:rFonts w:cs="Arial"/>
          <w:bCs/>
          <w:kern w:val="18"/>
        </w:rPr>
        <w:t xml:space="preserve">Montevideo, </w:t>
      </w:r>
      <w:r>
        <w:rPr>
          <w:rFonts w:cs="Arial"/>
          <w:bCs/>
          <w:kern w:val="18"/>
        </w:rPr>
        <w:t>6</w:t>
      </w:r>
      <w:r w:rsidRPr="004C6641">
        <w:rPr>
          <w:rFonts w:cs="Arial"/>
          <w:bCs/>
          <w:kern w:val="18"/>
        </w:rPr>
        <w:t xml:space="preserve"> de </w:t>
      </w:r>
      <w:r>
        <w:rPr>
          <w:rFonts w:cs="Arial"/>
          <w:bCs/>
          <w:kern w:val="18"/>
        </w:rPr>
        <w:t>setiembre</w:t>
      </w:r>
      <w:r w:rsidRPr="004C6641">
        <w:rPr>
          <w:rFonts w:cs="Arial"/>
          <w:bCs/>
          <w:kern w:val="18"/>
        </w:rPr>
        <w:t xml:space="preserve"> de 2016</w:t>
      </w:r>
    </w:p>
    <w:p w:rsidR="001842D8" w:rsidRDefault="001842D8" w:rsidP="001F6058">
      <w:pPr>
        <w:pStyle w:val="Textoindependiente3"/>
        <w:widowControl w:val="0"/>
        <w:jc w:val="left"/>
      </w:pPr>
    </w:p>
    <w:p w:rsidR="0038154C" w:rsidRDefault="0038154C" w:rsidP="001F6058">
      <w:pPr>
        <w:pStyle w:val="Textoindependiente3"/>
        <w:widowControl w:val="0"/>
        <w:jc w:val="left"/>
      </w:pPr>
    </w:p>
    <w:p w:rsidR="0038154C" w:rsidRDefault="0038154C" w:rsidP="001F6058">
      <w:pPr>
        <w:pStyle w:val="Textoindependiente3"/>
        <w:widowControl w:val="0"/>
        <w:jc w:val="left"/>
      </w:pPr>
    </w:p>
    <w:p w:rsidR="0038154C" w:rsidRDefault="0038154C" w:rsidP="001F6058">
      <w:pPr>
        <w:pStyle w:val="Textoindependiente3"/>
        <w:widowControl w:val="0"/>
        <w:jc w:val="left"/>
      </w:pPr>
    </w:p>
    <w:p w:rsidR="0038154C" w:rsidRDefault="0038154C" w:rsidP="001F6058">
      <w:pPr>
        <w:pStyle w:val="Textoindependiente3"/>
        <w:widowControl w:val="0"/>
        <w:jc w:val="left"/>
      </w:pPr>
    </w:p>
    <w:p w:rsidR="0038154C" w:rsidRDefault="0038154C" w:rsidP="001F6058">
      <w:pPr>
        <w:pStyle w:val="Textoindependiente3"/>
        <w:widowControl w:val="0"/>
        <w:jc w:val="left"/>
      </w:pPr>
    </w:p>
    <w:p w:rsidR="001842D8" w:rsidRPr="004B6691" w:rsidRDefault="001842D8" w:rsidP="001F6058">
      <w:pPr>
        <w:pStyle w:val="Ttulo1"/>
        <w:keepNext w:val="0"/>
        <w:widowControl w:val="0"/>
        <w:spacing w:line="360" w:lineRule="auto"/>
        <w:jc w:val="center"/>
        <w:rPr>
          <w:kern w:val="18"/>
        </w:rPr>
      </w:pPr>
      <w:bookmarkStart w:id="6" w:name="_Toc356996997"/>
      <w:bookmarkStart w:id="7" w:name="_Toc71366623"/>
      <w:bookmarkStart w:id="8" w:name="_Toc76280779"/>
      <w:r w:rsidRPr="004B6691">
        <w:rPr>
          <w:kern w:val="18"/>
        </w:rPr>
        <w:t>INFORME A LA ADMINISTRACIÓN</w:t>
      </w:r>
      <w:bookmarkEnd w:id="6"/>
      <w:bookmarkEnd w:id="7"/>
      <w:bookmarkEnd w:id="8"/>
    </w:p>
    <w:p w:rsidR="001842D8" w:rsidRPr="004B6691" w:rsidRDefault="001842D8" w:rsidP="001F6058">
      <w:pPr>
        <w:widowControl w:val="0"/>
        <w:rPr>
          <w:rFonts w:cs="Arial"/>
          <w:bCs/>
          <w:kern w:val="18"/>
        </w:rPr>
      </w:pPr>
    </w:p>
    <w:p w:rsidR="001842D8" w:rsidRPr="004B6691" w:rsidRDefault="001842D8" w:rsidP="001F6058">
      <w:pPr>
        <w:pStyle w:val="Textoindependiente"/>
        <w:widowControl w:val="0"/>
        <w:spacing w:after="0" w:line="360" w:lineRule="auto"/>
        <w:ind w:firstLine="851"/>
        <w:rPr>
          <w:rFonts w:cs="Arial"/>
          <w:bCs/>
          <w:szCs w:val="24"/>
          <w:lang w:val="es-ES"/>
        </w:rPr>
      </w:pPr>
      <w:r w:rsidRPr="004B6691">
        <w:rPr>
          <w:rFonts w:cs="Arial"/>
          <w:bCs/>
          <w:szCs w:val="24"/>
          <w:lang w:val="es-ES"/>
        </w:rPr>
        <w:t>El Tribunal de Cuentas ha examinado la Rendición de Cuentas y Balance de Ejecución Presupuestal correspondiente al Ejercicio 2015 y ha emitido su correspondiente Dictamen.</w:t>
      </w:r>
    </w:p>
    <w:p w:rsidR="001842D8" w:rsidRPr="004B6691" w:rsidRDefault="001842D8" w:rsidP="001F6058">
      <w:pPr>
        <w:pStyle w:val="Textoindependiente"/>
        <w:widowControl w:val="0"/>
        <w:spacing w:after="0" w:line="360" w:lineRule="auto"/>
        <w:ind w:firstLine="851"/>
        <w:rPr>
          <w:rFonts w:cs="Arial"/>
          <w:bCs/>
          <w:szCs w:val="24"/>
          <w:lang w:val="es-ES"/>
        </w:rPr>
      </w:pPr>
      <w:r w:rsidRPr="004B6691">
        <w:rPr>
          <w:rFonts w:cs="Arial"/>
          <w:bCs/>
          <w:szCs w:val="24"/>
          <w:lang w:val="es-ES"/>
        </w:rPr>
        <w:t xml:space="preserve">Como consecuencia del examen practicado, se incluyen en este informe comentarios que se ha entendido conveniente exponer, relacionados con la situación de determinados capítulos y </w:t>
      </w:r>
      <w:proofErr w:type="spellStart"/>
      <w:r w:rsidRPr="004B6691">
        <w:rPr>
          <w:rFonts w:cs="Arial"/>
          <w:bCs/>
          <w:szCs w:val="24"/>
          <w:lang w:val="es-ES"/>
        </w:rPr>
        <w:t>ubros</w:t>
      </w:r>
      <w:proofErr w:type="spellEnd"/>
      <w:r w:rsidRPr="004B6691">
        <w:rPr>
          <w:rFonts w:cs="Arial"/>
          <w:bCs/>
          <w:szCs w:val="24"/>
          <w:lang w:val="es-ES"/>
        </w:rPr>
        <w:t xml:space="preserve"> de los Estados examinados, obligaciones a cumplir, así como recomendaciones que deberá atender el Organismo. Se incluye además, una evaluación del cumplimiento de las recomendaciones presentadas en el Informe de Auditoría correspondiente al ejercicio anterior.</w:t>
      </w:r>
    </w:p>
    <w:p w:rsidR="001842D8" w:rsidRPr="004B6691" w:rsidRDefault="001842D8" w:rsidP="001F6058">
      <w:pPr>
        <w:pStyle w:val="Textoindependiente"/>
        <w:widowControl w:val="0"/>
        <w:spacing w:after="0" w:line="360" w:lineRule="auto"/>
        <w:ind w:firstLine="851"/>
        <w:rPr>
          <w:rFonts w:cs="Arial"/>
          <w:bCs/>
          <w:szCs w:val="24"/>
          <w:lang w:val="es-ES"/>
        </w:rPr>
      </w:pPr>
    </w:p>
    <w:p w:rsidR="001842D8" w:rsidRPr="004B6691" w:rsidRDefault="001842D8" w:rsidP="001F6058">
      <w:pPr>
        <w:pStyle w:val="Ttulo2"/>
        <w:widowControl w:val="0"/>
        <w:ind w:left="142" w:hanging="142"/>
      </w:pPr>
      <w:bookmarkStart w:id="9" w:name="_Toc356996998"/>
      <w:r w:rsidRPr="004B6691">
        <w:t>1 Situación en materia de fondos</w:t>
      </w:r>
      <w:bookmarkEnd w:id="9"/>
    </w:p>
    <w:p w:rsidR="001842D8" w:rsidRPr="004B6691" w:rsidRDefault="001842D8" w:rsidP="001F6058">
      <w:pPr>
        <w:pStyle w:val="Textoindependiente"/>
        <w:widowControl w:val="0"/>
        <w:spacing w:line="360" w:lineRule="auto"/>
        <w:ind w:firstLine="851"/>
        <w:rPr>
          <w:rFonts w:cs="Arial"/>
          <w:bCs/>
          <w:szCs w:val="24"/>
          <w:lang w:val="es-ES"/>
        </w:rPr>
      </w:pPr>
      <w:r w:rsidRPr="004B6691">
        <w:rPr>
          <w:rFonts w:cs="Arial"/>
          <w:bCs/>
          <w:szCs w:val="24"/>
          <w:lang w:val="es-ES"/>
        </w:rPr>
        <w:t>En base a los estados incluidos en la Rendición de Cuentas se elaboró un resumen de la situación en materia de fondos de la Junta Departamental con relación a la Intendencia al 31/12/2015, en pesos uruguayos:</w:t>
      </w:r>
    </w:p>
    <w:tbl>
      <w:tblPr>
        <w:tblW w:w="7384" w:type="dxa"/>
        <w:tblInd w:w="2" w:type="dxa"/>
        <w:tblLayout w:type="fixed"/>
        <w:tblCellMar>
          <w:left w:w="0" w:type="dxa"/>
          <w:right w:w="0" w:type="dxa"/>
        </w:tblCellMar>
        <w:tblLook w:val="0000" w:firstRow="0" w:lastRow="0" w:firstColumn="0" w:lastColumn="0" w:noHBand="0" w:noVBand="0"/>
      </w:tblPr>
      <w:tblGrid>
        <w:gridCol w:w="4425"/>
        <w:gridCol w:w="1520"/>
        <w:gridCol w:w="1439"/>
      </w:tblGrid>
      <w:tr w:rsidR="001842D8" w:rsidRPr="004B6691" w:rsidTr="001F6058">
        <w:trPr>
          <w:trHeight w:val="300"/>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r w:rsidRPr="004B6691">
              <w:rPr>
                <w:rFonts w:cs="Arial"/>
                <w:bCs/>
                <w:kern w:val="18"/>
              </w:rPr>
              <w:t>Disponibilidades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p>
        </w:tc>
        <w:tc>
          <w:tcPr>
            <w:tcW w:w="1439"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jc w:val="right"/>
              <w:rPr>
                <w:rFonts w:cs="Arial"/>
                <w:bCs/>
                <w:kern w:val="18"/>
              </w:rPr>
            </w:pPr>
            <w:r w:rsidRPr="004B6691">
              <w:rPr>
                <w:rFonts w:cs="Arial"/>
                <w:bCs/>
                <w:kern w:val="18"/>
              </w:rPr>
              <w:t xml:space="preserve"> 3.537.596 </w:t>
            </w:r>
          </w:p>
        </w:tc>
      </w:tr>
      <w:tr w:rsidR="001842D8" w:rsidTr="001F6058">
        <w:trPr>
          <w:trHeight w:val="300"/>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r w:rsidRPr="004B6691">
              <w:rPr>
                <w:rFonts w:cs="Arial"/>
                <w:bCs/>
                <w:kern w:val="18"/>
              </w:rPr>
              <w:t>Menos: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p>
        </w:tc>
        <w:tc>
          <w:tcPr>
            <w:tcW w:w="1439"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p>
        </w:tc>
      </w:tr>
      <w:tr w:rsidR="001842D8" w:rsidTr="001F6058">
        <w:trPr>
          <w:trHeight w:val="300"/>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r w:rsidRPr="004B6691">
              <w:rPr>
                <w:rFonts w:cs="Arial"/>
                <w:bCs/>
                <w:kern w:val="18"/>
              </w:rPr>
              <w:t>Obligaciones presupuestales impagas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r w:rsidRPr="004B6691">
              <w:rPr>
                <w:rFonts w:cs="Arial"/>
                <w:bCs/>
                <w:kern w:val="18"/>
              </w:rPr>
              <w:t xml:space="preserve">     (388.483)   </w:t>
            </w:r>
          </w:p>
        </w:tc>
        <w:tc>
          <w:tcPr>
            <w:tcW w:w="1439"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p>
        </w:tc>
      </w:tr>
      <w:tr w:rsidR="001842D8" w:rsidTr="001F6058">
        <w:trPr>
          <w:trHeight w:val="345"/>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r w:rsidRPr="004B6691">
              <w:rPr>
                <w:rFonts w:cs="Arial"/>
                <w:bCs/>
                <w:kern w:val="18"/>
              </w:rPr>
              <w:t>Indisponibles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r w:rsidRPr="004B6691">
              <w:rPr>
                <w:rFonts w:cs="Arial"/>
                <w:bCs/>
                <w:kern w:val="18"/>
              </w:rPr>
              <w:t xml:space="preserve">     (312.429)    </w:t>
            </w:r>
          </w:p>
        </w:tc>
        <w:tc>
          <w:tcPr>
            <w:tcW w:w="1439"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jc w:val="right"/>
              <w:rPr>
                <w:rFonts w:cs="Arial"/>
                <w:bCs/>
                <w:kern w:val="18"/>
              </w:rPr>
            </w:pPr>
            <w:r w:rsidRPr="004B6691">
              <w:rPr>
                <w:rFonts w:cs="Arial"/>
                <w:bCs/>
                <w:kern w:val="18"/>
              </w:rPr>
              <w:t xml:space="preserve">  (700.912)                 </w:t>
            </w:r>
          </w:p>
        </w:tc>
      </w:tr>
      <w:tr w:rsidR="001842D8" w:rsidTr="001F6058">
        <w:trPr>
          <w:trHeight w:val="315"/>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r w:rsidRPr="004B6691">
              <w:rPr>
                <w:rFonts w:cs="Arial"/>
                <w:bCs/>
                <w:kern w:val="18"/>
              </w:rPr>
              <w:t>Saldo a favor de la Intendencia</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rPr>
                <w:rFonts w:cs="Arial"/>
                <w:bCs/>
                <w:kern w:val="18"/>
              </w:rPr>
            </w:pPr>
          </w:p>
        </w:tc>
        <w:tc>
          <w:tcPr>
            <w:tcW w:w="1439" w:type="dxa"/>
            <w:tcBorders>
              <w:top w:val="nil"/>
              <w:left w:val="nil"/>
              <w:bottom w:val="double" w:sz="6" w:space="0" w:color="auto"/>
              <w:right w:val="nil"/>
            </w:tcBorders>
            <w:shd w:val="clear" w:color="auto" w:fill="auto"/>
            <w:noWrap/>
            <w:tcMar>
              <w:top w:w="15" w:type="dxa"/>
              <w:left w:w="15" w:type="dxa"/>
              <w:bottom w:w="0" w:type="dxa"/>
              <w:right w:w="15" w:type="dxa"/>
            </w:tcMar>
            <w:vAlign w:val="bottom"/>
          </w:tcPr>
          <w:p w:rsidR="001842D8" w:rsidRPr="004B6691" w:rsidRDefault="001842D8" w:rsidP="001F6058">
            <w:pPr>
              <w:widowControl w:val="0"/>
              <w:jc w:val="right"/>
              <w:rPr>
                <w:rFonts w:cs="Arial"/>
                <w:bCs/>
                <w:kern w:val="18"/>
              </w:rPr>
            </w:pPr>
            <w:r w:rsidRPr="004B6691">
              <w:rPr>
                <w:rFonts w:cs="Arial"/>
                <w:bCs/>
                <w:kern w:val="18"/>
              </w:rPr>
              <w:t xml:space="preserve"> 2.836.684 </w:t>
            </w:r>
          </w:p>
        </w:tc>
      </w:tr>
      <w:tr w:rsidR="001842D8" w:rsidTr="001F6058">
        <w:trPr>
          <w:trHeight w:val="270"/>
        </w:trPr>
        <w:tc>
          <w:tcPr>
            <w:tcW w:w="4425" w:type="dxa"/>
            <w:tcBorders>
              <w:top w:val="nil"/>
              <w:left w:val="nil"/>
              <w:bottom w:val="nil"/>
              <w:right w:val="nil"/>
            </w:tcBorders>
            <w:noWrap/>
            <w:tcMar>
              <w:top w:w="15" w:type="dxa"/>
              <w:left w:w="15" w:type="dxa"/>
              <w:bottom w:w="0" w:type="dxa"/>
              <w:right w:w="15" w:type="dxa"/>
            </w:tcMar>
            <w:vAlign w:val="bottom"/>
          </w:tcPr>
          <w:p w:rsidR="001842D8" w:rsidRDefault="001842D8" w:rsidP="001F6058">
            <w:pPr>
              <w:widowControl w:val="0"/>
              <w:rPr>
                <w:rFonts w:eastAsia="Arial Unicode MS"/>
              </w:rPr>
            </w:pPr>
          </w:p>
        </w:tc>
        <w:tc>
          <w:tcPr>
            <w:tcW w:w="1520" w:type="dxa"/>
            <w:tcBorders>
              <w:top w:val="nil"/>
              <w:left w:val="nil"/>
              <w:bottom w:val="nil"/>
              <w:right w:val="nil"/>
            </w:tcBorders>
            <w:noWrap/>
            <w:tcMar>
              <w:top w:w="15" w:type="dxa"/>
              <w:left w:w="15" w:type="dxa"/>
              <w:bottom w:w="0" w:type="dxa"/>
              <w:right w:w="15" w:type="dxa"/>
            </w:tcMar>
            <w:vAlign w:val="bottom"/>
          </w:tcPr>
          <w:p w:rsidR="001842D8" w:rsidRDefault="001842D8" w:rsidP="001F6058">
            <w:pPr>
              <w:widowControl w:val="0"/>
              <w:rPr>
                <w:rFonts w:eastAsia="Arial Unicode MS"/>
              </w:rPr>
            </w:pPr>
          </w:p>
        </w:tc>
        <w:tc>
          <w:tcPr>
            <w:tcW w:w="1439" w:type="dxa"/>
            <w:tcBorders>
              <w:top w:val="nil"/>
              <w:left w:val="nil"/>
              <w:bottom w:val="nil"/>
              <w:right w:val="nil"/>
            </w:tcBorders>
            <w:noWrap/>
            <w:tcMar>
              <w:top w:w="15" w:type="dxa"/>
              <w:left w:w="15" w:type="dxa"/>
              <w:bottom w:w="0" w:type="dxa"/>
              <w:right w:w="15" w:type="dxa"/>
            </w:tcMar>
            <w:vAlign w:val="bottom"/>
          </w:tcPr>
          <w:p w:rsidR="001842D8" w:rsidRDefault="001842D8" w:rsidP="001F6058">
            <w:pPr>
              <w:widowControl w:val="0"/>
              <w:rPr>
                <w:rFonts w:eastAsia="Arial Unicode MS"/>
              </w:rPr>
            </w:pPr>
          </w:p>
          <w:p w:rsidR="001842D8" w:rsidRDefault="001842D8" w:rsidP="001F6058">
            <w:pPr>
              <w:widowControl w:val="0"/>
              <w:rPr>
                <w:rFonts w:eastAsia="Arial Unicode MS"/>
              </w:rPr>
            </w:pPr>
          </w:p>
        </w:tc>
      </w:tr>
    </w:tbl>
    <w:p w:rsidR="001842D8" w:rsidRPr="00444042" w:rsidRDefault="001842D8" w:rsidP="001F6058">
      <w:pPr>
        <w:pStyle w:val="Ttulo2"/>
        <w:widowControl w:val="0"/>
        <w:ind w:left="142" w:hanging="142"/>
      </w:pPr>
      <w:bookmarkStart w:id="10" w:name="_Toc267641751"/>
      <w:bookmarkStart w:id="11" w:name="_Toc356996999"/>
      <w:r w:rsidRPr="00444042">
        <w:t>2 Incumplimiento de normas legales</w:t>
      </w:r>
      <w:bookmarkEnd w:id="10"/>
      <w:bookmarkEnd w:id="11"/>
    </w:p>
    <w:p w:rsidR="001842D8" w:rsidRPr="00444042" w:rsidRDefault="001842D8" w:rsidP="001F6058">
      <w:pPr>
        <w:pStyle w:val="Textoindependiente"/>
        <w:widowControl w:val="0"/>
        <w:spacing w:after="0" w:line="360" w:lineRule="auto"/>
        <w:ind w:firstLine="851"/>
        <w:rPr>
          <w:rFonts w:cs="Arial"/>
          <w:bCs/>
          <w:szCs w:val="24"/>
          <w:lang w:val="es-ES"/>
        </w:rPr>
      </w:pPr>
      <w:r w:rsidRPr="00444042">
        <w:rPr>
          <w:rFonts w:cs="Arial"/>
          <w:bCs/>
          <w:szCs w:val="24"/>
          <w:lang w:val="es-ES"/>
        </w:rPr>
        <w:t>Con relación al incumplimiento de las normas aplicables, corresponde realizar las siguientes precisiones:</w:t>
      </w:r>
    </w:p>
    <w:p w:rsidR="001842D8" w:rsidRPr="00444042" w:rsidRDefault="001842D8" w:rsidP="001F6058">
      <w:pPr>
        <w:pStyle w:val="Textoindependiente"/>
        <w:widowControl w:val="0"/>
        <w:rPr>
          <w:rFonts w:cs="Arial"/>
          <w:b/>
          <w:bCs/>
          <w:szCs w:val="24"/>
          <w:lang w:val="es-ES"/>
        </w:rPr>
      </w:pPr>
      <w:bookmarkStart w:id="12" w:name="_Toc267581047"/>
      <w:bookmarkStart w:id="13" w:name="_Toc267641752"/>
      <w:r w:rsidRPr="00444042">
        <w:rPr>
          <w:rFonts w:cs="Arial"/>
          <w:b/>
          <w:bCs/>
          <w:szCs w:val="24"/>
          <w:lang w:val="es-ES"/>
        </w:rPr>
        <w:t>Partidas compensatorias por gastos de los Señores Ediles</w:t>
      </w:r>
      <w:bookmarkEnd w:id="12"/>
      <w:bookmarkEnd w:id="13"/>
    </w:p>
    <w:p w:rsidR="001842D8" w:rsidRPr="00444042" w:rsidRDefault="001842D8" w:rsidP="001F6058">
      <w:pPr>
        <w:widowControl w:val="0"/>
        <w:spacing w:line="360" w:lineRule="auto"/>
        <w:ind w:firstLine="851"/>
        <w:jc w:val="both"/>
        <w:rPr>
          <w:rFonts w:cs="Arial"/>
          <w:bCs/>
          <w:kern w:val="18"/>
        </w:rPr>
      </w:pPr>
      <w:r w:rsidRPr="00444042">
        <w:rPr>
          <w:rFonts w:cs="Arial"/>
          <w:bCs/>
          <w:kern w:val="18"/>
        </w:rPr>
        <w:t>En el Ejercicio 2015 se abonaron partidas compensatorias de gastos a los Señores Ediles. Estas partidas fueron objeto de observación por este Tribunal en el Presupuesto Quinquenal 2011-2015. La existencia de estas partidas contraviene lo dispuesto por el Artículo 295 de la Constitución de la República que dispone que “los cargos de los miembros de las Juntas Departamentales y Locales serán honorarios”. Esta observación no se aceptó,</w:t>
      </w:r>
      <w:r w:rsidRPr="008E469E">
        <w:rPr>
          <w:highlight w:val="green"/>
        </w:rPr>
        <w:t xml:space="preserve"> </w:t>
      </w:r>
      <w:r w:rsidRPr="00444042">
        <w:rPr>
          <w:rFonts w:cs="Arial"/>
          <w:bCs/>
          <w:kern w:val="18"/>
        </w:rPr>
        <w:t>remitiendo los antecedentes a la Asamblea General, la que no se expidió en el plazo establecido en el Artículo 225 de la Constitución de la República. En el ejercicio se ejecutaron las mencionadas partidas.</w:t>
      </w:r>
    </w:p>
    <w:p w:rsidR="001842D8" w:rsidRPr="00444042" w:rsidRDefault="001842D8" w:rsidP="001F6058">
      <w:pPr>
        <w:widowControl w:val="0"/>
        <w:spacing w:line="360" w:lineRule="auto"/>
        <w:ind w:firstLine="851"/>
        <w:jc w:val="both"/>
        <w:rPr>
          <w:rFonts w:cs="Arial"/>
          <w:bCs/>
          <w:kern w:val="18"/>
        </w:rPr>
      </w:pPr>
    </w:p>
    <w:p w:rsidR="001842D8" w:rsidRPr="00444042" w:rsidRDefault="001842D8" w:rsidP="001F6058">
      <w:pPr>
        <w:pStyle w:val="Ttulo2"/>
        <w:widowControl w:val="0"/>
      </w:pPr>
      <w:bookmarkStart w:id="14" w:name="_Toc270417633"/>
      <w:bookmarkStart w:id="15" w:name="_Toc356997003"/>
      <w:r w:rsidRPr="00444042">
        <w:t>3 Recomendaciones</w:t>
      </w:r>
      <w:bookmarkEnd w:id="14"/>
      <w:bookmarkEnd w:id="15"/>
    </w:p>
    <w:p w:rsidR="001842D8" w:rsidRPr="00444042" w:rsidRDefault="001842D8" w:rsidP="001F6058">
      <w:pPr>
        <w:pStyle w:val="Ttulo2"/>
        <w:widowControl w:val="0"/>
      </w:pPr>
      <w:r w:rsidRPr="00444042">
        <w:t>3.1 Recomendaciones del Ejercicio anterior cumplidas</w:t>
      </w:r>
    </w:p>
    <w:p w:rsidR="001842D8" w:rsidRPr="00444042" w:rsidRDefault="001842D8" w:rsidP="001F6058">
      <w:pPr>
        <w:pStyle w:val="Textoindependiente"/>
        <w:widowControl w:val="0"/>
        <w:spacing w:after="0" w:line="360" w:lineRule="auto"/>
        <w:rPr>
          <w:rFonts w:cs="Arial"/>
          <w:b/>
          <w:bCs/>
          <w:szCs w:val="24"/>
          <w:lang w:val="es-ES"/>
        </w:rPr>
      </w:pPr>
      <w:r w:rsidRPr="00444042">
        <w:rPr>
          <w:rFonts w:cs="Arial"/>
          <w:b/>
          <w:bCs/>
          <w:szCs w:val="24"/>
          <w:lang w:val="es-ES"/>
        </w:rPr>
        <w:t>3.1.1 Ordenanza Nº 81 del Tribunal de Cuentas</w:t>
      </w:r>
    </w:p>
    <w:p w:rsidR="001842D8" w:rsidRPr="00444042" w:rsidRDefault="001842D8" w:rsidP="001F6058">
      <w:pPr>
        <w:pStyle w:val="Textoindependiente"/>
        <w:widowControl w:val="0"/>
        <w:spacing w:after="0" w:line="360" w:lineRule="auto"/>
        <w:rPr>
          <w:rFonts w:cs="Arial"/>
          <w:bCs/>
          <w:szCs w:val="24"/>
          <w:lang w:val="es-ES"/>
        </w:rPr>
      </w:pPr>
      <w:r w:rsidRPr="00444042">
        <w:rPr>
          <w:rFonts w:cs="Arial"/>
          <w:bCs/>
          <w:szCs w:val="24"/>
          <w:lang w:val="es-ES"/>
        </w:rPr>
        <w:t xml:space="preserve">              Se han presentado los estados contables de acuerdo a lo establecido en la Ordenanza Nº 81</w:t>
      </w:r>
      <w:r>
        <w:rPr>
          <w:rFonts w:cs="Arial"/>
          <w:bCs/>
          <w:szCs w:val="24"/>
          <w:lang w:val="es-ES"/>
        </w:rPr>
        <w:t xml:space="preserve"> </w:t>
      </w:r>
      <w:r w:rsidRPr="00444042">
        <w:rPr>
          <w:rFonts w:cs="Arial"/>
          <w:bCs/>
          <w:szCs w:val="24"/>
          <w:lang w:val="es-ES"/>
        </w:rPr>
        <w:t xml:space="preserve">de este Tribunal, dando así cumplimiento a la misma. </w:t>
      </w:r>
    </w:p>
    <w:p w:rsidR="001842D8" w:rsidRPr="00444042" w:rsidRDefault="001842D8" w:rsidP="001F6058">
      <w:pPr>
        <w:pStyle w:val="Textoindependiente"/>
        <w:widowControl w:val="0"/>
        <w:spacing w:after="0" w:line="360" w:lineRule="auto"/>
        <w:rPr>
          <w:rFonts w:cs="Arial"/>
          <w:b/>
          <w:bCs/>
          <w:szCs w:val="24"/>
          <w:lang w:val="es-ES"/>
        </w:rPr>
      </w:pPr>
      <w:r w:rsidRPr="00444042">
        <w:rPr>
          <w:rFonts w:cs="Arial"/>
          <w:b/>
          <w:bCs/>
          <w:szCs w:val="24"/>
          <w:lang w:val="es-ES"/>
        </w:rPr>
        <w:t>3.1.2 Saldos de Indisponibles</w:t>
      </w:r>
    </w:p>
    <w:p w:rsidR="001842D8" w:rsidRDefault="001842D8" w:rsidP="001F6058">
      <w:pPr>
        <w:widowControl w:val="0"/>
        <w:spacing w:line="360" w:lineRule="auto"/>
        <w:ind w:firstLine="851"/>
        <w:jc w:val="both"/>
        <w:rPr>
          <w:rFonts w:cs="Arial"/>
          <w:bCs/>
          <w:kern w:val="18"/>
        </w:rPr>
      </w:pPr>
      <w:r w:rsidRPr="00444042">
        <w:rPr>
          <w:rFonts w:cs="Arial"/>
          <w:bCs/>
          <w:kern w:val="18"/>
        </w:rPr>
        <w:t>En virtud de que los saldos por concepto de montepío e IRPF incluidos en el Cuadro de Evolución de Indisponibles, no coincidían con los que resultaban del boleto de pago al BPS correspondiente al mes de diciembre de</w:t>
      </w:r>
      <w:r w:rsidRPr="007A4EF8">
        <w:rPr>
          <w:kern w:val="18"/>
          <w:highlight w:val="green"/>
        </w:rPr>
        <w:t xml:space="preserve"> </w:t>
      </w:r>
      <w:r w:rsidRPr="00444042">
        <w:rPr>
          <w:rFonts w:cs="Arial"/>
          <w:bCs/>
          <w:kern w:val="18"/>
        </w:rPr>
        <w:t>2014</w:t>
      </w:r>
      <w:r>
        <w:rPr>
          <w:rFonts w:cs="Arial"/>
          <w:bCs/>
          <w:kern w:val="18"/>
        </w:rPr>
        <w:t>,</w:t>
      </w:r>
      <w:r w:rsidRPr="00444042">
        <w:rPr>
          <w:rFonts w:cs="Arial"/>
          <w:bCs/>
          <w:kern w:val="18"/>
        </w:rPr>
        <w:t xml:space="preserve"> se analizaron dichas diferencias y se realizó el ajuste contable correspondiente.</w:t>
      </w:r>
    </w:p>
    <w:p w:rsidR="001842D8" w:rsidRPr="00E35A57" w:rsidRDefault="001842D8" w:rsidP="001F6058">
      <w:pPr>
        <w:pStyle w:val="Lista"/>
        <w:widowControl w:val="0"/>
        <w:tabs>
          <w:tab w:val="left" w:pos="360"/>
        </w:tabs>
        <w:ind w:left="0" w:firstLine="0"/>
        <w:rPr>
          <w:b/>
          <w:bCs/>
          <w:lang w:val="es-ES"/>
        </w:rPr>
      </w:pPr>
      <w:r w:rsidRPr="00236E84">
        <w:rPr>
          <w:b/>
          <w:bCs/>
        </w:rPr>
        <w:t xml:space="preserve">3.1.3 </w:t>
      </w:r>
      <w:r w:rsidRPr="00E35A57">
        <w:rPr>
          <w:b/>
          <w:bCs/>
          <w:lang w:val="es-ES"/>
        </w:rPr>
        <w:t>Certificado de estar al día con la CJPPU</w:t>
      </w:r>
    </w:p>
    <w:p w:rsidR="001842D8" w:rsidRDefault="001842D8" w:rsidP="001F6058">
      <w:pPr>
        <w:widowControl w:val="0"/>
        <w:spacing w:line="360" w:lineRule="auto"/>
        <w:jc w:val="both"/>
        <w:rPr>
          <w:rFonts w:cs="Arial"/>
          <w:bCs/>
          <w:kern w:val="18"/>
        </w:rPr>
      </w:pPr>
      <w:r w:rsidRPr="00E35A57">
        <w:rPr>
          <w:rFonts w:cs="Arial"/>
          <w:bCs/>
          <w:kern w:val="18"/>
        </w:rPr>
        <w:t xml:space="preserve">              La Junta Departamental  debe dar cumplimiento a lo dispuesto por el Artículo 124 de la Ley 17.738, el cual establece que no se podrá abonar ningún haber a los profesionales que no presenten el certificado que acredita que se encuentran al día en sus obligaciones con la Caja de Jubilaciones y Pensiones de Profesionales Universitarios. A mediados del Ejercicio 2015 este incumplimiento ha sido subsanado.</w:t>
      </w:r>
    </w:p>
    <w:p w:rsidR="001842D8" w:rsidRPr="00444042" w:rsidRDefault="001842D8" w:rsidP="001F6058">
      <w:pPr>
        <w:pStyle w:val="Ttulo2"/>
        <w:widowControl w:val="0"/>
      </w:pPr>
      <w:r w:rsidRPr="00236E84">
        <w:rPr>
          <w:bCs w:val="0"/>
        </w:rPr>
        <w:t>3.1.4</w:t>
      </w:r>
      <w:r>
        <w:rPr>
          <w:b w:val="0"/>
          <w:bCs w:val="0"/>
        </w:rPr>
        <w:t xml:space="preserve"> </w:t>
      </w:r>
      <w:bookmarkStart w:id="16" w:name="_Toc356997008"/>
      <w:r w:rsidRPr="00444042">
        <w:t>Certificados de estar al día con el BPS y la DGI</w:t>
      </w:r>
      <w:bookmarkEnd w:id="16"/>
    </w:p>
    <w:p w:rsidR="001842D8" w:rsidRPr="00444042" w:rsidRDefault="001842D8" w:rsidP="001F6058">
      <w:pPr>
        <w:pStyle w:val="Textoindependiente"/>
        <w:widowControl w:val="0"/>
        <w:spacing w:after="0" w:line="360" w:lineRule="auto"/>
        <w:ind w:firstLine="851"/>
        <w:rPr>
          <w:rFonts w:cs="Arial"/>
          <w:bCs/>
          <w:szCs w:val="24"/>
          <w:lang w:val="es-ES"/>
        </w:rPr>
      </w:pPr>
      <w:r w:rsidRPr="00444042">
        <w:rPr>
          <w:rFonts w:cs="Arial"/>
          <w:bCs/>
          <w:szCs w:val="24"/>
          <w:lang w:val="es-ES"/>
        </w:rPr>
        <w:t xml:space="preserve">En oportunidad de efectuar los pagos a proveedores se debe verificar el cumplimiento de lo establecido en el Decreto N° 342/992, que reglamenta lo dispuesto por el Artículo 7 de la Ley N° 13.142 de 04/07/1963 y el Artículo 1 del Decreto-Ley N° 14.632 de 24/03/1977, en cuanto a la presentación de los certificados que acrediten que se encuentran al día con el pago de sus obligaciones correspondientes al BPS y la DGI. </w:t>
      </w:r>
      <w:r>
        <w:rPr>
          <w:rFonts w:cs="Arial"/>
          <w:bCs/>
          <w:szCs w:val="24"/>
          <w:lang w:val="es-ES"/>
        </w:rPr>
        <w:t>A</w:t>
      </w:r>
      <w:r w:rsidRPr="00444042">
        <w:rPr>
          <w:rFonts w:cs="Arial"/>
          <w:bCs/>
          <w:szCs w:val="24"/>
          <w:lang w:val="es-ES"/>
        </w:rPr>
        <w:t xml:space="preserve"> partir de mediados del año 2015 esta situación ha sido subsanada.</w:t>
      </w:r>
    </w:p>
    <w:p w:rsidR="001842D8" w:rsidRDefault="001842D8" w:rsidP="001F6058">
      <w:pPr>
        <w:pStyle w:val="Ttulo2"/>
        <w:widowControl w:val="0"/>
        <w:rPr>
          <w:b w:val="0"/>
        </w:rPr>
      </w:pPr>
      <w:bookmarkStart w:id="17" w:name="_Toc270417634"/>
      <w:bookmarkStart w:id="18" w:name="_Toc356997006"/>
    </w:p>
    <w:p w:rsidR="001842D8" w:rsidRPr="00444042" w:rsidRDefault="001842D8" w:rsidP="001F6058">
      <w:pPr>
        <w:pStyle w:val="Ttulo2"/>
        <w:widowControl w:val="0"/>
      </w:pPr>
      <w:r w:rsidRPr="00444042">
        <w:t>3.2 Recomendaciones del Ejercicio anterior no cumplidas</w:t>
      </w:r>
      <w:bookmarkEnd w:id="17"/>
      <w:bookmarkEnd w:id="18"/>
    </w:p>
    <w:p w:rsidR="001842D8" w:rsidRPr="00444042" w:rsidRDefault="001842D8" w:rsidP="001F6058">
      <w:pPr>
        <w:pStyle w:val="Ttulo2"/>
        <w:widowControl w:val="0"/>
      </w:pPr>
      <w:bookmarkStart w:id="19" w:name="_Toc270417635"/>
      <w:bookmarkStart w:id="20" w:name="_Toc356997007"/>
      <w:r w:rsidRPr="00444042">
        <w:t>3.2.1 Partidas percibidas por los Señores Ediles</w:t>
      </w:r>
      <w:bookmarkEnd w:id="19"/>
      <w:bookmarkEnd w:id="20"/>
    </w:p>
    <w:p w:rsidR="001842D8" w:rsidRPr="00444042" w:rsidRDefault="001842D8" w:rsidP="001F6058">
      <w:pPr>
        <w:pStyle w:val="Textoindependiente"/>
        <w:widowControl w:val="0"/>
        <w:spacing w:after="0" w:line="360" w:lineRule="auto"/>
        <w:ind w:firstLine="851"/>
        <w:rPr>
          <w:rFonts w:cs="Arial"/>
          <w:bCs/>
          <w:szCs w:val="24"/>
          <w:lang w:val="es-ES"/>
        </w:rPr>
      </w:pPr>
      <w:r w:rsidRPr="00444042">
        <w:rPr>
          <w:rFonts w:cs="Arial"/>
          <w:bCs/>
          <w:szCs w:val="24"/>
          <w:lang w:val="es-ES"/>
        </w:rPr>
        <w:t>A efectos de verificar el cumplimiento de lo preceptuado por el Artículo 295 de la Constitución de la República, en cuanto al carácter honorario de la función de Edil, la Junta Departamental deberá ajustar su reglamentación a lo dispuesto por la Resolución de este Tribunal de 22/12/2010.</w:t>
      </w:r>
    </w:p>
    <w:p w:rsidR="001842D8" w:rsidRPr="00E35A57" w:rsidRDefault="001842D8" w:rsidP="001F6058">
      <w:pPr>
        <w:pStyle w:val="Lista"/>
        <w:widowControl w:val="0"/>
        <w:tabs>
          <w:tab w:val="left" w:pos="360"/>
        </w:tabs>
        <w:ind w:left="0" w:firstLine="0"/>
        <w:rPr>
          <w:b/>
          <w:bCs/>
          <w:lang w:val="es-ES"/>
        </w:rPr>
      </w:pPr>
      <w:r w:rsidRPr="00E35A57">
        <w:rPr>
          <w:b/>
          <w:bCs/>
          <w:lang w:val="es-ES"/>
        </w:rPr>
        <w:t>3.2.</w:t>
      </w:r>
      <w:r>
        <w:rPr>
          <w:b/>
          <w:bCs/>
          <w:lang w:val="es-ES"/>
        </w:rPr>
        <w:t>2</w:t>
      </w:r>
      <w:r w:rsidRPr="00E35A57">
        <w:rPr>
          <w:b/>
          <w:bCs/>
          <w:lang w:val="es-ES"/>
        </w:rPr>
        <w:t xml:space="preserve"> Pago de retribuciones por importes menores al 35 % de</w:t>
      </w:r>
      <w:r w:rsidR="0038154C">
        <w:rPr>
          <w:b/>
          <w:bCs/>
          <w:lang w:val="es-ES"/>
        </w:rPr>
        <w:t>l sueldo líquido</w:t>
      </w:r>
    </w:p>
    <w:p w:rsidR="001842D8" w:rsidRPr="00E35A57" w:rsidRDefault="001842D8" w:rsidP="001F6058">
      <w:pPr>
        <w:pStyle w:val="Lista"/>
        <w:widowControl w:val="0"/>
        <w:tabs>
          <w:tab w:val="left" w:pos="360"/>
        </w:tabs>
        <w:ind w:left="0" w:firstLine="0"/>
        <w:rPr>
          <w:bCs/>
          <w:lang w:val="es-ES"/>
        </w:rPr>
      </w:pPr>
      <w:r w:rsidRPr="00E35A57">
        <w:rPr>
          <w:bCs/>
          <w:lang w:val="es-ES"/>
        </w:rPr>
        <w:t xml:space="preserve">              Se deberá dar cumplimiento con lo establecido en el Artículo 3 de la Ley 17.829 en la redacción dada por el Artículo 107 de la Ley 18.083 y en el Decreto 429/004, donde se establece que ningún funcionario podrá percibir</w:t>
      </w:r>
      <w:r>
        <w:rPr>
          <w:color w:val="000000"/>
        </w:rPr>
        <w:t xml:space="preserve"> </w:t>
      </w:r>
      <w:r w:rsidRPr="00E35A57">
        <w:rPr>
          <w:bCs/>
          <w:lang w:val="es-ES"/>
        </w:rPr>
        <w:t>menos del 35 % del sueldo líquido en efectivo.</w:t>
      </w:r>
    </w:p>
    <w:p w:rsidR="001842D8" w:rsidRPr="00E35A57" w:rsidRDefault="001842D8" w:rsidP="001F6058">
      <w:pPr>
        <w:pStyle w:val="Ttulo2"/>
        <w:widowControl w:val="0"/>
        <w:ind w:left="142" w:hanging="142"/>
      </w:pPr>
      <w:bookmarkStart w:id="21" w:name="_Toc270417636"/>
      <w:bookmarkStart w:id="22" w:name="_Toc356997010"/>
      <w:bookmarkStart w:id="23" w:name="_Toc71366624"/>
      <w:r w:rsidRPr="00E35A57">
        <w:t>3.3  Recomendaciones del Ejercicio</w:t>
      </w:r>
      <w:bookmarkEnd w:id="21"/>
      <w:bookmarkEnd w:id="22"/>
    </w:p>
    <w:p w:rsidR="001842D8" w:rsidRPr="00E35A57" w:rsidRDefault="001842D8" w:rsidP="001F6058">
      <w:pPr>
        <w:pStyle w:val="Textoindependiente"/>
        <w:widowControl w:val="0"/>
        <w:spacing w:after="0" w:line="360" w:lineRule="auto"/>
        <w:ind w:firstLine="851"/>
        <w:rPr>
          <w:rFonts w:cs="Arial"/>
          <w:bCs/>
          <w:szCs w:val="24"/>
          <w:lang w:val="es-ES"/>
        </w:rPr>
      </w:pPr>
      <w:r w:rsidRPr="00E35A57">
        <w:rPr>
          <w:rFonts w:cs="Arial"/>
          <w:bCs/>
          <w:szCs w:val="24"/>
          <w:lang w:val="es-ES"/>
        </w:rPr>
        <w:t>Se reiteran las recomendaciones del Apartado 3.2 y se agrega la siguiente:</w:t>
      </w:r>
    </w:p>
    <w:p w:rsidR="001842D8" w:rsidRPr="00486E62" w:rsidRDefault="001842D8" w:rsidP="001F6058">
      <w:pPr>
        <w:widowControl w:val="0"/>
        <w:spacing w:line="360" w:lineRule="auto"/>
        <w:outlineLvl w:val="2"/>
        <w:rPr>
          <w:rFonts w:cs="Arial"/>
          <w:b/>
          <w:bCs/>
          <w:kern w:val="18"/>
        </w:rPr>
      </w:pPr>
      <w:r w:rsidRPr="00486E62">
        <w:rPr>
          <w:rFonts w:cs="Arial"/>
          <w:b/>
          <w:bCs/>
          <w:kern w:val="18"/>
        </w:rPr>
        <w:t>Autorización de gastos por autoridad competente</w:t>
      </w:r>
    </w:p>
    <w:p w:rsidR="001842D8" w:rsidRPr="00E35A57" w:rsidRDefault="001842D8" w:rsidP="001F6058">
      <w:pPr>
        <w:widowControl w:val="0"/>
        <w:spacing w:line="360" w:lineRule="auto"/>
        <w:jc w:val="both"/>
        <w:outlineLvl w:val="2"/>
        <w:rPr>
          <w:rFonts w:cs="Arial"/>
          <w:bCs/>
          <w:kern w:val="18"/>
        </w:rPr>
      </w:pPr>
      <w:r w:rsidRPr="00E35A57">
        <w:rPr>
          <w:rFonts w:cs="Arial"/>
          <w:bCs/>
          <w:kern w:val="18"/>
        </w:rPr>
        <w:t xml:space="preserve">           Se deberán instrumentar los procedimientos correspondientes, a efectos de que todos los gastos en los que se incurra sean autorizados previamente por autoridad competente, como lo disponen los Artículos 14 y 23 del TOCAF.</w:t>
      </w:r>
    </w:p>
    <w:bookmarkEnd w:id="23"/>
    <w:p w:rsidR="001842D8" w:rsidRDefault="001842D8" w:rsidP="0038154C">
      <w:pPr>
        <w:widowControl w:val="0"/>
        <w:spacing w:line="360" w:lineRule="auto"/>
        <w:jc w:val="right"/>
        <w:rPr>
          <w:bCs/>
        </w:rPr>
      </w:pPr>
      <w:r w:rsidRPr="00E35A57">
        <w:rPr>
          <w:bCs/>
        </w:rPr>
        <w:t xml:space="preserve">Montevideo, </w:t>
      </w:r>
      <w:r>
        <w:rPr>
          <w:bCs/>
        </w:rPr>
        <w:t>6</w:t>
      </w:r>
      <w:r w:rsidRPr="00E35A57">
        <w:rPr>
          <w:bCs/>
        </w:rPr>
        <w:t xml:space="preserve"> de </w:t>
      </w:r>
      <w:r>
        <w:rPr>
          <w:bCs/>
        </w:rPr>
        <w:t>setiembre</w:t>
      </w:r>
      <w:r w:rsidRPr="00E35A57">
        <w:rPr>
          <w:bCs/>
        </w:rPr>
        <w:t xml:space="preserve"> de 2016</w:t>
      </w:r>
    </w:p>
    <w:p w:rsidR="0038154C" w:rsidRPr="00E35A57" w:rsidRDefault="0038154C" w:rsidP="0038154C">
      <w:pPr>
        <w:widowControl w:val="0"/>
        <w:spacing w:line="360" w:lineRule="auto"/>
        <w:jc w:val="right"/>
        <w:rPr>
          <w:bCs/>
        </w:rPr>
      </w:pPr>
    </w:p>
    <w:p w:rsidR="001842D8" w:rsidRPr="0038154C" w:rsidRDefault="0038154C" w:rsidP="008D7615">
      <w:pPr>
        <w:keepNext/>
        <w:widowControl w:val="0"/>
        <w:spacing w:line="360" w:lineRule="auto"/>
        <w:jc w:val="both"/>
        <w:rPr>
          <w:sz w:val="20"/>
          <w:szCs w:val="20"/>
        </w:rPr>
      </w:pPr>
      <w:r w:rsidRPr="0038154C">
        <w:rPr>
          <w:sz w:val="20"/>
          <w:szCs w:val="20"/>
        </w:rPr>
        <w:t>CLC</w:t>
      </w:r>
    </w:p>
    <w:sectPr w:rsidR="001842D8" w:rsidRPr="0038154C" w:rsidSect="003B7574">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2E"/>
    <w:rsid w:val="00001B58"/>
    <w:rsid w:val="00004E2E"/>
    <w:rsid w:val="001842D8"/>
    <w:rsid w:val="001F6058"/>
    <w:rsid w:val="002243E8"/>
    <w:rsid w:val="00236889"/>
    <w:rsid w:val="002D26E8"/>
    <w:rsid w:val="002E49CF"/>
    <w:rsid w:val="003525EB"/>
    <w:rsid w:val="00360D71"/>
    <w:rsid w:val="003739AC"/>
    <w:rsid w:val="0038154C"/>
    <w:rsid w:val="003B7574"/>
    <w:rsid w:val="00401268"/>
    <w:rsid w:val="004F6C84"/>
    <w:rsid w:val="00574733"/>
    <w:rsid w:val="00575E5C"/>
    <w:rsid w:val="005A3BDB"/>
    <w:rsid w:val="006018E1"/>
    <w:rsid w:val="00697C30"/>
    <w:rsid w:val="006F4927"/>
    <w:rsid w:val="0070153B"/>
    <w:rsid w:val="00710166"/>
    <w:rsid w:val="00721032"/>
    <w:rsid w:val="007D7E71"/>
    <w:rsid w:val="007E083D"/>
    <w:rsid w:val="008522A7"/>
    <w:rsid w:val="008D7615"/>
    <w:rsid w:val="00905CD8"/>
    <w:rsid w:val="009C62DF"/>
    <w:rsid w:val="00A008FF"/>
    <w:rsid w:val="00A24560"/>
    <w:rsid w:val="00A60A30"/>
    <w:rsid w:val="00AB01A6"/>
    <w:rsid w:val="00B42418"/>
    <w:rsid w:val="00C03BBA"/>
    <w:rsid w:val="00C21707"/>
    <w:rsid w:val="00C5642F"/>
    <w:rsid w:val="00C726AB"/>
    <w:rsid w:val="00CC59BE"/>
    <w:rsid w:val="00D24A4E"/>
    <w:rsid w:val="00D93A1B"/>
    <w:rsid w:val="00EB4D6C"/>
    <w:rsid w:val="00ED0026"/>
    <w:rsid w:val="00ED74A4"/>
    <w:rsid w:val="00F866D3"/>
    <w:rsid w:val="00FA6D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9"/>
    <w:qFormat/>
    <w:rsid w:val="00AB01A6"/>
    <w:pPr>
      <w:keepNext/>
      <w:spacing w:before="240" w:after="60"/>
      <w:outlineLvl w:val="0"/>
    </w:pPr>
    <w:rPr>
      <w:rFonts w:cs="Arial"/>
      <w:b/>
      <w:bCs/>
      <w:kern w:val="32"/>
    </w:rPr>
  </w:style>
  <w:style w:type="paragraph" w:styleId="Ttulo2">
    <w:name w:val="heading 2"/>
    <w:basedOn w:val="Normal"/>
    <w:next w:val="Textoindependiente"/>
    <w:link w:val="Ttulo2Car"/>
    <w:uiPriority w:val="99"/>
    <w:qFormat/>
    <w:rsid w:val="00AB01A6"/>
    <w:pPr>
      <w:spacing w:line="360" w:lineRule="auto"/>
      <w:jc w:val="both"/>
      <w:outlineLvl w:val="1"/>
    </w:pPr>
    <w:rPr>
      <w:rFonts w:cs="Arial"/>
      <w:b/>
      <w:bCs/>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004E2E"/>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uiPriority w:val="99"/>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uiPriority w:val="99"/>
    <w:rsid w:val="00004E2E"/>
    <w:pPr>
      <w:spacing w:line="360" w:lineRule="auto"/>
      <w:jc w:val="right"/>
    </w:pPr>
  </w:style>
  <w:style w:type="character" w:customStyle="1" w:styleId="Textoindependiente3Car">
    <w:name w:val="Texto independiente 3 Car"/>
    <w:basedOn w:val="Fuentedeprrafopredeter"/>
    <w:link w:val="Textoindependiente3"/>
    <w:uiPriority w:val="99"/>
    <w:rsid w:val="00004E2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uiPriority w:val="99"/>
    <w:rsid w:val="00AB01A6"/>
    <w:rPr>
      <w:rFonts w:ascii="Arial" w:eastAsia="Times New Roman" w:hAnsi="Arial" w:cs="Arial"/>
      <w:b/>
      <w:bCs/>
      <w:kern w:val="32"/>
      <w:sz w:val="24"/>
      <w:szCs w:val="24"/>
      <w:lang w:val="es-ES" w:eastAsia="es-ES"/>
    </w:rPr>
  </w:style>
  <w:style w:type="paragraph" w:styleId="Subttulo">
    <w:name w:val="Subtitle"/>
    <w:basedOn w:val="Normal"/>
    <w:link w:val="SubttuloCar"/>
    <w:qFormat/>
    <w:rsid w:val="00AB01A6"/>
    <w:pPr>
      <w:spacing w:line="360" w:lineRule="auto"/>
      <w:jc w:val="both"/>
    </w:pPr>
    <w:rPr>
      <w:rFonts w:ascii="Bookman Old Style" w:hAnsi="Bookman Old Style" w:cs="Bookman Old Style"/>
      <w:b/>
      <w:bCs/>
      <w:kern w:val="18"/>
    </w:rPr>
  </w:style>
  <w:style w:type="character" w:customStyle="1" w:styleId="SubttuloCar">
    <w:name w:val="Subtítulo Car"/>
    <w:basedOn w:val="Fuentedeprrafopredeter"/>
    <w:link w:val="Subttulo"/>
    <w:rsid w:val="00AB01A6"/>
    <w:rPr>
      <w:rFonts w:ascii="Bookman Old Style" w:eastAsia="Times New Roman" w:hAnsi="Bookman Old Style" w:cs="Bookman Old Style"/>
      <w:b/>
      <w:bCs/>
      <w:kern w:val="18"/>
      <w:sz w:val="24"/>
      <w:szCs w:val="24"/>
      <w:lang w:val="es-ES" w:eastAsia="es-ES"/>
    </w:rPr>
  </w:style>
  <w:style w:type="paragraph" w:styleId="Lista">
    <w:name w:val="List"/>
    <w:basedOn w:val="Normal"/>
    <w:uiPriority w:val="99"/>
    <w:rsid w:val="00AB01A6"/>
    <w:pPr>
      <w:spacing w:line="360" w:lineRule="auto"/>
      <w:ind w:left="283" w:hanging="283"/>
      <w:jc w:val="both"/>
    </w:pPr>
    <w:rPr>
      <w:rFonts w:cs="Arial"/>
      <w:kern w:val="18"/>
      <w:lang w:val="es-ES_tradnl"/>
    </w:rPr>
  </w:style>
  <w:style w:type="paragraph" w:customStyle="1" w:styleId="Textonormal">
    <w:name w:val="Texto normal"/>
    <w:basedOn w:val="Textoindependiente"/>
    <w:rsid w:val="00AB01A6"/>
    <w:pPr>
      <w:widowControl w:val="0"/>
      <w:tabs>
        <w:tab w:val="left" w:pos="-720"/>
      </w:tabs>
      <w:suppressAutoHyphens/>
      <w:spacing w:after="0" w:line="480" w:lineRule="auto"/>
      <w:jc w:val="left"/>
    </w:pPr>
    <w:rPr>
      <w:rFonts w:ascii="Courier" w:hAnsi="Courier" w:cs="Courier"/>
      <w:spacing w:val="-3"/>
      <w:kern w:val="1"/>
      <w:szCs w:val="24"/>
      <w:lang w:eastAsia="zh-CN"/>
    </w:rPr>
  </w:style>
  <w:style w:type="character" w:customStyle="1" w:styleId="Ttulo2Car">
    <w:name w:val="Título 2 Car"/>
    <w:basedOn w:val="Fuentedeprrafopredeter"/>
    <w:link w:val="Ttulo2"/>
    <w:uiPriority w:val="99"/>
    <w:rsid w:val="00AB01A6"/>
    <w:rPr>
      <w:rFonts w:ascii="Arial" w:eastAsia="Times New Roman" w:hAnsi="Arial" w:cs="Arial"/>
      <w:b/>
      <w:bCs/>
      <w:kern w:val="18"/>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9"/>
    <w:qFormat/>
    <w:rsid w:val="00AB01A6"/>
    <w:pPr>
      <w:keepNext/>
      <w:spacing w:before="240" w:after="60"/>
      <w:outlineLvl w:val="0"/>
    </w:pPr>
    <w:rPr>
      <w:rFonts w:cs="Arial"/>
      <w:b/>
      <w:bCs/>
      <w:kern w:val="32"/>
    </w:rPr>
  </w:style>
  <w:style w:type="paragraph" w:styleId="Ttulo2">
    <w:name w:val="heading 2"/>
    <w:basedOn w:val="Normal"/>
    <w:next w:val="Textoindependiente"/>
    <w:link w:val="Ttulo2Car"/>
    <w:uiPriority w:val="99"/>
    <w:qFormat/>
    <w:rsid w:val="00AB01A6"/>
    <w:pPr>
      <w:spacing w:line="360" w:lineRule="auto"/>
      <w:jc w:val="both"/>
      <w:outlineLvl w:val="1"/>
    </w:pPr>
    <w:rPr>
      <w:rFonts w:cs="Arial"/>
      <w:b/>
      <w:bCs/>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004E2E"/>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uiPriority w:val="99"/>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uiPriority w:val="99"/>
    <w:rsid w:val="00004E2E"/>
    <w:pPr>
      <w:spacing w:line="360" w:lineRule="auto"/>
      <w:jc w:val="right"/>
    </w:pPr>
  </w:style>
  <w:style w:type="character" w:customStyle="1" w:styleId="Textoindependiente3Car">
    <w:name w:val="Texto independiente 3 Car"/>
    <w:basedOn w:val="Fuentedeprrafopredeter"/>
    <w:link w:val="Textoindependiente3"/>
    <w:uiPriority w:val="99"/>
    <w:rsid w:val="00004E2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uiPriority w:val="99"/>
    <w:rsid w:val="00AB01A6"/>
    <w:rPr>
      <w:rFonts w:ascii="Arial" w:eastAsia="Times New Roman" w:hAnsi="Arial" w:cs="Arial"/>
      <w:b/>
      <w:bCs/>
      <w:kern w:val="32"/>
      <w:sz w:val="24"/>
      <w:szCs w:val="24"/>
      <w:lang w:val="es-ES" w:eastAsia="es-ES"/>
    </w:rPr>
  </w:style>
  <w:style w:type="paragraph" w:styleId="Subttulo">
    <w:name w:val="Subtitle"/>
    <w:basedOn w:val="Normal"/>
    <w:link w:val="SubttuloCar"/>
    <w:qFormat/>
    <w:rsid w:val="00AB01A6"/>
    <w:pPr>
      <w:spacing w:line="360" w:lineRule="auto"/>
      <w:jc w:val="both"/>
    </w:pPr>
    <w:rPr>
      <w:rFonts w:ascii="Bookman Old Style" w:hAnsi="Bookman Old Style" w:cs="Bookman Old Style"/>
      <w:b/>
      <w:bCs/>
      <w:kern w:val="18"/>
    </w:rPr>
  </w:style>
  <w:style w:type="character" w:customStyle="1" w:styleId="SubttuloCar">
    <w:name w:val="Subtítulo Car"/>
    <w:basedOn w:val="Fuentedeprrafopredeter"/>
    <w:link w:val="Subttulo"/>
    <w:rsid w:val="00AB01A6"/>
    <w:rPr>
      <w:rFonts w:ascii="Bookman Old Style" w:eastAsia="Times New Roman" w:hAnsi="Bookman Old Style" w:cs="Bookman Old Style"/>
      <w:b/>
      <w:bCs/>
      <w:kern w:val="18"/>
      <w:sz w:val="24"/>
      <w:szCs w:val="24"/>
      <w:lang w:val="es-ES" w:eastAsia="es-ES"/>
    </w:rPr>
  </w:style>
  <w:style w:type="paragraph" w:styleId="Lista">
    <w:name w:val="List"/>
    <w:basedOn w:val="Normal"/>
    <w:uiPriority w:val="99"/>
    <w:rsid w:val="00AB01A6"/>
    <w:pPr>
      <w:spacing w:line="360" w:lineRule="auto"/>
      <w:ind w:left="283" w:hanging="283"/>
      <w:jc w:val="both"/>
    </w:pPr>
    <w:rPr>
      <w:rFonts w:cs="Arial"/>
      <w:kern w:val="18"/>
      <w:lang w:val="es-ES_tradnl"/>
    </w:rPr>
  </w:style>
  <w:style w:type="paragraph" w:customStyle="1" w:styleId="Textonormal">
    <w:name w:val="Texto normal"/>
    <w:basedOn w:val="Textoindependiente"/>
    <w:rsid w:val="00AB01A6"/>
    <w:pPr>
      <w:widowControl w:val="0"/>
      <w:tabs>
        <w:tab w:val="left" w:pos="-720"/>
      </w:tabs>
      <w:suppressAutoHyphens/>
      <w:spacing w:after="0" w:line="480" w:lineRule="auto"/>
      <w:jc w:val="left"/>
    </w:pPr>
    <w:rPr>
      <w:rFonts w:ascii="Courier" w:hAnsi="Courier" w:cs="Courier"/>
      <w:spacing w:val="-3"/>
      <w:kern w:val="1"/>
      <w:szCs w:val="24"/>
      <w:lang w:eastAsia="zh-CN"/>
    </w:rPr>
  </w:style>
  <w:style w:type="character" w:customStyle="1" w:styleId="Ttulo2Car">
    <w:name w:val="Título 2 Car"/>
    <w:basedOn w:val="Fuentedeprrafopredeter"/>
    <w:link w:val="Ttulo2"/>
    <w:uiPriority w:val="99"/>
    <w:rsid w:val="00AB01A6"/>
    <w:rPr>
      <w:rFonts w:ascii="Arial" w:eastAsia="Times New Roman" w:hAnsi="Arial" w:cs="Arial"/>
      <w:b/>
      <w:bCs/>
      <w:kern w:val="18"/>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C07F-43D3-4288-B1B3-44AB722A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1688</Words>
  <Characters>9284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12495209</dc:creator>
  <cp:lastModifiedBy> </cp:lastModifiedBy>
  <cp:revision>8</cp:revision>
  <cp:lastPrinted>2015-08-21T16:15:00Z</cp:lastPrinted>
  <dcterms:created xsi:type="dcterms:W3CDTF">2016-09-28T14:03:00Z</dcterms:created>
  <dcterms:modified xsi:type="dcterms:W3CDTF">2017-02-02T17:55:00Z</dcterms:modified>
</cp:coreProperties>
</file>