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CF" w:rsidRPr="00161683" w:rsidRDefault="00B453CF" w:rsidP="00FA2AE9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RES.Nº 3375</w:t>
      </w:r>
      <w:r w:rsidRPr="00161683">
        <w:rPr>
          <w:rFonts w:ascii="Arial" w:hAnsi="Arial" w:cs="Arial"/>
          <w:b/>
          <w:sz w:val="24"/>
          <w:szCs w:val="24"/>
          <w:lang w:val="es-ES_tradnl"/>
        </w:rPr>
        <w:t>/16</w:t>
      </w:r>
    </w:p>
    <w:p w:rsidR="00B453CF" w:rsidRDefault="00B453CF" w:rsidP="00B453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453CF" w:rsidRPr="004746D1" w:rsidRDefault="00B453CF" w:rsidP="00B453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453CF" w:rsidRPr="004746D1" w:rsidRDefault="00B453CF" w:rsidP="00B453C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453CF" w:rsidRPr="004746D1" w:rsidRDefault="00B453CF" w:rsidP="00B453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453CF" w:rsidRPr="004746D1" w:rsidRDefault="00B453CF" w:rsidP="00B453C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453CF" w:rsidRPr="004746D1" w:rsidRDefault="00B453CF" w:rsidP="00B453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28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b/>
          <w:sz w:val="24"/>
          <w:szCs w:val="24"/>
          <w:lang w:val="es-ES_tradnl"/>
        </w:rPr>
        <w:t>SETIEMBRE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B453CF" w:rsidRPr="004746D1" w:rsidRDefault="00B453CF" w:rsidP="00B453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453CF" w:rsidRPr="004746D1" w:rsidRDefault="00B453CF" w:rsidP="00B453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(E.E.Nº 2016-17-1-0006211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, 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 4792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B453CF" w:rsidRPr="004746D1" w:rsidRDefault="00B453CF" w:rsidP="00B453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B453CF" w:rsidRPr="004746D1" w:rsidRDefault="00B453CF" w:rsidP="00B453C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A236DF" w:rsidRDefault="00A236DF" w:rsidP="00B453C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Nacional de Educación Pública </w:t>
      </w:r>
      <w:r w:rsidR="00B453C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Consejo de Educación Inicial y Primaria</w:t>
      </w:r>
      <w:r w:rsidR="00B453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con la Licitación Pública N° 05/2016, convocada para la </w:t>
      </w:r>
      <w:r w:rsidR="00B453CF">
        <w:rPr>
          <w:rFonts w:ascii="Arial" w:hAnsi="Arial" w:cs="Arial"/>
          <w:sz w:val="24"/>
          <w:szCs w:val="24"/>
        </w:rPr>
        <w:t>“A</w:t>
      </w:r>
      <w:r>
        <w:rPr>
          <w:rFonts w:ascii="Arial" w:hAnsi="Arial" w:cs="Arial"/>
          <w:sz w:val="24"/>
          <w:szCs w:val="24"/>
        </w:rPr>
        <w:t>dquisición de ómnibus con destino a colonias escolares</w:t>
      </w:r>
      <w:r w:rsidR="00B453C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;</w:t>
      </w:r>
    </w:p>
    <w:p w:rsidR="00A236DF" w:rsidRDefault="00B453CF" w:rsidP="00B453C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</w:t>
      </w:r>
      <w:r w:rsidR="00A236DF">
        <w:rPr>
          <w:rFonts w:ascii="Arial" w:hAnsi="Arial" w:cs="Arial"/>
          <w:b/>
          <w:bCs/>
          <w:sz w:val="24"/>
          <w:szCs w:val="24"/>
        </w:rPr>
        <w:t xml:space="preserve">1) </w:t>
      </w:r>
      <w:r w:rsidR="00A236DF">
        <w:rPr>
          <w:rFonts w:ascii="Arial" w:hAnsi="Arial" w:cs="Arial"/>
          <w:sz w:val="24"/>
          <w:szCs w:val="24"/>
        </w:rPr>
        <w:t xml:space="preserve">que por Resolución N° </w:t>
      </w:r>
      <w:r>
        <w:rPr>
          <w:rFonts w:ascii="Arial" w:hAnsi="Arial" w:cs="Arial"/>
          <w:sz w:val="24"/>
          <w:szCs w:val="24"/>
        </w:rPr>
        <w:t>3, Acta Ext.N° 62, de fecha 28/</w:t>
      </w:r>
      <w:r w:rsidR="00A236D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/</w:t>
      </w:r>
      <w:r w:rsidR="00A236DF">
        <w:rPr>
          <w:rFonts w:ascii="Arial" w:hAnsi="Arial" w:cs="Arial"/>
          <w:sz w:val="24"/>
          <w:szCs w:val="24"/>
        </w:rPr>
        <w:t>16, el Consejo de Educación Inicial y Primaria aprobó el Pliego de Condiciones Particulares y dispuso el llamado de la licitación de referencia;</w:t>
      </w:r>
    </w:p>
    <w:p w:rsidR="00A236DF" w:rsidRDefault="00A236DF" w:rsidP="00B453C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cumplido el requisito le</w:t>
      </w:r>
      <w:r w:rsidR="00B453CF">
        <w:rPr>
          <w:rFonts w:ascii="Arial" w:hAnsi="Arial" w:cs="Arial"/>
          <w:sz w:val="24"/>
          <w:szCs w:val="24"/>
        </w:rPr>
        <w:t>gal de publicidad, con fecha 29/07/</w:t>
      </w:r>
      <w:r>
        <w:rPr>
          <w:rFonts w:ascii="Arial" w:hAnsi="Arial" w:cs="Arial"/>
          <w:sz w:val="24"/>
          <w:szCs w:val="24"/>
        </w:rPr>
        <w:t>16 se procedió a la apertura electrónica de ofertas, presentándose tres firmas: Autolider Uruguay SA, Julio César Lestido SA y Woslen SA;</w:t>
      </w:r>
    </w:p>
    <w:p w:rsidR="00A236DF" w:rsidRDefault="00A236DF" w:rsidP="00B453C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la Asesoría de</w:t>
      </w:r>
      <w:r w:rsidR="00B453CF">
        <w:rPr>
          <w:rFonts w:ascii="Arial" w:hAnsi="Arial" w:cs="Arial"/>
          <w:sz w:val="24"/>
          <w:szCs w:val="24"/>
        </w:rPr>
        <w:t xml:space="preserve"> Compras y Licitaciones informó</w:t>
      </w:r>
      <w:r>
        <w:rPr>
          <w:rFonts w:ascii="Arial" w:hAnsi="Arial" w:cs="Arial"/>
          <w:sz w:val="24"/>
          <w:szCs w:val="24"/>
        </w:rPr>
        <w:t xml:space="preserve"> con fecha 05</w:t>
      </w:r>
      <w:r w:rsidR="00B453C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08</w:t>
      </w:r>
      <w:r w:rsidR="00B453C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16, que las tres propuestas se ajustan a los requisitos formales previstos en el Pliego d</w:t>
      </w:r>
      <w:r w:rsidR="00B453CF">
        <w:rPr>
          <w:rFonts w:ascii="Arial" w:hAnsi="Arial" w:cs="Arial"/>
          <w:sz w:val="24"/>
          <w:szCs w:val="24"/>
        </w:rPr>
        <w:t>e Condiciones Particulares, dejá</w:t>
      </w:r>
      <w:r>
        <w:rPr>
          <w:rFonts w:ascii="Arial" w:hAnsi="Arial" w:cs="Arial"/>
          <w:sz w:val="24"/>
          <w:szCs w:val="24"/>
        </w:rPr>
        <w:t xml:space="preserve">ndose constancia de que, a la fecha del referido informe, Woslen SA se encuentra en estado </w:t>
      </w:r>
      <w:r w:rsidR="00B453CF">
        <w:rPr>
          <w:rFonts w:ascii="Arial" w:hAnsi="Arial" w:cs="Arial"/>
          <w:sz w:val="24"/>
          <w:szCs w:val="24"/>
        </w:rPr>
        <w:t>de “</w:t>
      </w:r>
      <w:r>
        <w:rPr>
          <w:rFonts w:ascii="Arial" w:hAnsi="Arial" w:cs="Arial"/>
          <w:i/>
          <w:iCs/>
          <w:sz w:val="24"/>
          <w:szCs w:val="24"/>
        </w:rPr>
        <w:t>en ingreso</w:t>
      </w:r>
      <w:r w:rsidR="00B453CF"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en el RUPE;</w:t>
      </w:r>
    </w:p>
    <w:p w:rsidR="00A236DF" w:rsidRDefault="00A236DF" w:rsidP="00B45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="00B453CF"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 en su dictamen de fecha 23</w:t>
      </w:r>
      <w:r w:rsidR="00B453C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08</w:t>
      </w:r>
      <w:r w:rsidR="00B453CF">
        <w:rPr>
          <w:rFonts w:ascii="Arial" w:hAnsi="Arial" w:cs="Arial"/>
          <w:sz w:val="24"/>
          <w:szCs w:val="24"/>
        </w:rPr>
        <w:t xml:space="preserve">/16, </w:t>
      </w:r>
      <w:r>
        <w:rPr>
          <w:rFonts w:ascii="Arial" w:hAnsi="Arial" w:cs="Arial"/>
          <w:sz w:val="24"/>
          <w:szCs w:val="24"/>
        </w:rPr>
        <w:t>la Comisión Asesora de Adjudicaciones señaló que no es posible recomendar la adjudicación a Wos</w:t>
      </w:r>
      <w:r w:rsidR="00B453CF">
        <w:rPr>
          <w:rFonts w:ascii="Arial" w:hAnsi="Arial" w:cs="Arial"/>
          <w:sz w:val="24"/>
          <w:szCs w:val="24"/>
        </w:rPr>
        <w:t>len S</w:t>
      </w:r>
      <w:r>
        <w:rPr>
          <w:rFonts w:ascii="Arial" w:hAnsi="Arial" w:cs="Arial"/>
          <w:sz w:val="24"/>
          <w:szCs w:val="24"/>
        </w:rPr>
        <w:t xml:space="preserve">A porque, a esa fecha, aún se encontraba en estado </w:t>
      </w:r>
      <w:r w:rsidR="00B453CF">
        <w:rPr>
          <w:rFonts w:ascii="Arial" w:hAnsi="Arial" w:cs="Arial"/>
          <w:sz w:val="24"/>
          <w:szCs w:val="24"/>
        </w:rPr>
        <w:t>de “</w:t>
      </w:r>
      <w:r>
        <w:rPr>
          <w:rFonts w:ascii="Arial" w:hAnsi="Arial" w:cs="Arial"/>
          <w:i/>
          <w:iCs/>
          <w:sz w:val="24"/>
          <w:szCs w:val="24"/>
        </w:rPr>
        <w:t>en ingreso</w:t>
      </w:r>
      <w:r w:rsidR="00B453CF"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en </w:t>
      </w:r>
      <w:r w:rsidR="00B453CF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RUPE, por lo que evaluó únicamente las ofertas </w:t>
      </w:r>
      <w:r w:rsidR="00FA2AE9">
        <w:rPr>
          <w:rFonts w:ascii="Arial" w:hAnsi="Arial" w:cs="Arial"/>
          <w:sz w:val="24"/>
          <w:szCs w:val="24"/>
        </w:rPr>
        <w:t>presentadas por Autolider Uruguay SA y Julio César Lestido SA, confeccionándose  el siguiente cuadro comparativo:</w:t>
      </w:r>
    </w:p>
    <w:p w:rsidR="00E34972" w:rsidRDefault="00E34972" w:rsidP="00B45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2AE9" w:rsidRDefault="00FA2AE9" w:rsidP="00FA2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2"/>
        <w:gridCol w:w="1101"/>
        <w:gridCol w:w="676"/>
        <w:gridCol w:w="772"/>
        <w:gridCol w:w="678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A236DF" w:rsidRPr="00E34972" w:rsidTr="00E34972">
        <w:trPr>
          <w:trHeight w:val="666"/>
          <w:jc w:val="center"/>
        </w:trPr>
        <w:tc>
          <w:tcPr>
            <w:tcW w:w="266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Factor 1</w:t>
            </w:r>
          </w:p>
        </w:tc>
        <w:tc>
          <w:tcPr>
            <w:tcW w:w="13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Factor 2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Factor 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Factor 4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Factor 5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36DF" w:rsidRPr="00E34972" w:rsidTr="00E34972">
        <w:trPr>
          <w:trHeight w:val="579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Ítem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Firma</w:t>
            </w:r>
          </w:p>
        </w:tc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Cotización U$S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Ptos.</w:t>
            </w:r>
          </w:p>
        </w:tc>
        <w:tc>
          <w:tcPr>
            <w:tcW w:w="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Pond.</w:t>
            </w:r>
          </w:p>
        </w:tc>
        <w:tc>
          <w:tcPr>
            <w:tcW w:w="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Ptos.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Pond.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Ptos.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Pond.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Ptos.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Pond.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Ptos.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Pond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 Total</w:t>
            </w:r>
          </w:p>
        </w:tc>
      </w:tr>
      <w:tr w:rsidR="00A236DF" w:rsidRPr="00E34972" w:rsidTr="00E34972">
        <w:trPr>
          <w:trHeight w:val="349"/>
          <w:jc w:val="center"/>
        </w:trPr>
        <w:tc>
          <w:tcPr>
            <w:tcW w:w="26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Puntaje máximo →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-5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972">
              <w:rPr>
                <w:rFonts w:ascii="Arial" w:hAnsi="Arial" w:cs="Arial"/>
                <w:b/>
                <w:bCs/>
                <w:sz w:val="16"/>
                <w:szCs w:val="16"/>
              </w:rPr>
              <w:t>-30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4972" w:rsidRPr="00E34972" w:rsidTr="00E34972">
        <w:trPr>
          <w:trHeight w:val="634"/>
          <w:jc w:val="center"/>
        </w:trPr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Autolider</w:t>
            </w:r>
          </w:p>
        </w:tc>
        <w:tc>
          <w:tcPr>
            <w:tcW w:w="11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131.715,00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2,100</w:t>
            </w:r>
          </w:p>
        </w:tc>
      </w:tr>
      <w:tr w:rsidR="00E34972" w:rsidRPr="00E34972" w:rsidTr="00E34972">
        <w:trPr>
          <w:trHeight w:val="546"/>
          <w:jc w:val="center"/>
        </w:trPr>
        <w:tc>
          <w:tcPr>
            <w:tcW w:w="567" w:type="dxa"/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1 A</w:t>
            </w:r>
          </w:p>
        </w:tc>
        <w:tc>
          <w:tcPr>
            <w:tcW w:w="992" w:type="dxa"/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Autolider</w:t>
            </w:r>
          </w:p>
        </w:tc>
        <w:tc>
          <w:tcPr>
            <w:tcW w:w="1101" w:type="dxa"/>
            <w:tcBorders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134.715,00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2,100</w:t>
            </w:r>
          </w:p>
        </w:tc>
      </w:tr>
      <w:tr w:rsidR="00E34972" w:rsidRPr="00E34972" w:rsidTr="00E34972">
        <w:trPr>
          <w:trHeight w:val="553"/>
          <w:jc w:val="center"/>
        </w:trPr>
        <w:tc>
          <w:tcPr>
            <w:tcW w:w="567" w:type="dxa"/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JC Lestido</w:t>
            </w:r>
          </w:p>
        </w:tc>
        <w:tc>
          <w:tcPr>
            <w:tcW w:w="1101" w:type="dxa"/>
            <w:tcBorders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101.508,33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A236DF" w:rsidRPr="00E34972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972">
              <w:rPr>
                <w:rFonts w:ascii="Arial" w:hAnsi="Arial" w:cs="Arial"/>
                <w:sz w:val="16"/>
                <w:szCs w:val="16"/>
              </w:rPr>
              <w:t>2,800</w:t>
            </w:r>
          </w:p>
        </w:tc>
      </w:tr>
    </w:tbl>
    <w:p w:rsidR="00A236DF" w:rsidRDefault="00A236DF" w:rsidP="00FA2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53CF">
        <w:rPr>
          <w:rFonts w:ascii="Arial" w:hAnsi="Arial" w:cs="Arial"/>
          <w:sz w:val="24"/>
          <w:szCs w:val="24"/>
        </w:rPr>
        <w:t xml:space="preserve">                           </w:t>
      </w:r>
    </w:p>
    <w:tbl>
      <w:tblPr>
        <w:tblW w:w="6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2014"/>
        <w:gridCol w:w="2015"/>
      </w:tblGrid>
      <w:tr w:rsidR="00A236DF" w:rsidTr="00E34972">
        <w:trPr>
          <w:trHeight w:val="524"/>
        </w:trPr>
        <w:tc>
          <w:tcPr>
            <w:tcW w:w="2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Adjudicataria</w:t>
            </w:r>
          </w:p>
        </w:tc>
        <w:tc>
          <w:tcPr>
            <w:tcW w:w="2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2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36DF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Importe Total</w:t>
            </w:r>
          </w:p>
        </w:tc>
      </w:tr>
      <w:tr w:rsidR="00A236DF" w:rsidTr="00E34972">
        <w:trPr>
          <w:trHeight w:val="524"/>
        </w:trPr>
        <w:tc>
          <w:tcPr>
            <w:tcW w:w="2014" w:type="dxa"/>
            <w:tcBorders>
              <w:top w:val="single" w:sz="18" w:space="0" w:color="auto"/>
            </w:tcBorders>
            <w:vAlign w:val="center"/>
          </w:tcPr>
          <w:p w:rsidR="00A236DF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César Lestido S.A</w:t>
            </w:r>
          </w:p>
        </w:tc>
        <w:tc>
          <w:tcPr>
            <w:tcW w:w="2014" w:type="dxa"/>
            <w:tcBorders>
              <w:top w:val="single" w:sz="18" w:space="0" w:color="auto"/>
            </w:tcBorders>
            <w:vAlign w:val="center"/>
          </w:tcPr>
          <w:p w:rsidR="00A236DF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15" w:type="dxa"/>
            <w:tcBorders>
              <w:top w:val="single" w:sz="18" w:space="0" w:color="auto"/>
            </w:tcBorders>
            <w:vAlign w:val="center"/>
          </w:tcPr>
          <w:p w:rsidR="00A236DF" w:rsidRDefault="00A236DF" w:rsidP="00E349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U$S 304.524,99</w:t>
            </w:r>
          </w:p>
        </w:tc>
      </w:tr>
    </w:tbl>
    <w:p w:rsidR="00B453CF" w:rsidRDefault="00A236DF" w:rsidP="00FA2AE9">
      <w:pPr>
        <w:spacing w:after="0" w:line="360" w:lineRule="auto"/>
        <w:ind w:firstLine="26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que en razón de la evaluación realizada, la Comisión Asesora de Adjudicaciones recomendó ad</w:t>
      </w:r>
      <w:r w:rsidR="00B453CF">
        <w:rPr>
          <w:rFonts w:ascii="Arial" w:hAnsi="Arial" w:cs="Arial"/>
          <w:sz w:val="24"/>
          <w:szCs w:val="24"/>
        </w:rPr>
        <w:t>judicar a Julio Cesar Lestido S</w:t>
      </w:r>
      <w:r>
        <w:rPr>
          <w:rFonts w:ascii="Arial" w:hAnsi="Arial" w:cs="Arial"/>
          <w:sz w:val="24"/>
          <w:szCs w:val="24"/>
        </w:rPr>
        <w:t>A;</w:t>
      </w:r>
    </w:p>
    <w:p w:rsidR="00A236DF" w:rsidRPr="00B453CF" w:rsidRDefault="00A236DF" w:rsidP="00B453CF">
      <w:pPr>
        <w:spacing w:after="0" w:line="360" w:lineRule="auto"/>
        <w:ind w:firstLine="26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</w:t>
      </w:r>
      <w:r w:rsidR="00B453CF">
        <w:rPr>
          <w:rFonts w:ascii="Arial" w:hAnsi="Arial" w:cs="Arial"/>
          <w:sz w:val="24"/>
          <w:szCs w:val="24"/>
        </w:rPr>
        <w:t xml:space="preserve"> por Resolución N° 5, Acta Ext. N° 91 de fecha 02/09/</w:t>
      </w:r>
      <w:r>
        <w:rPr>
          <w:rFonts w:ascii="Arial" w:hAnsi="Arial" w:cs="Arial"/>
          <w:sz w:val="24"/>
          <w:szCs w:val="24"/>
        </w:rPr>
        <w:t xml:space="preserve">16, el Consejo de Educación Inicial y Primaria adjudicó de conformidad con lo propuesto por  la Comisión Asesora de Adjudicaciones a Julio Cesar Lestido, la adquisición de tres ómnibus carrocería Marcopolo, chasis Volkswagen por un monto total de U$S 304.524,99, habiéndose deducido  el valor de los tres vehículos usados, los que fueron tasados a U$S 15.000 cada uno por la referida firma; </w:t>
      </w:r>
    </w:p>
    <w:p w:rsidR="00A236DF" w:rsidRDefault="00FD007E" w:rsidP="00FD007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</w:t>
      </w:r>
      <w:r w:rsidR="00A236DF">
        <w:rPr>
          <w:rFonts w:ascii="Arial" w:hAnsi="Arial" w:cs="Arial"/>
          <w:b/>
          <w:bCs/>
          <w:sz w:val="24"/>
          <w:szCs w:val="24"/>
        </w:rPr>
        <w:t xml:space="preserve">1) </w:t>
      </w:r>
      <w:r w:rsidR="00A236DF">
        <w:rPr>
          <w:rFonts w:ascii="Arial" w:hAnsi="Arial" w:cs="Arial"/>
          <w:sz w:val="24"/>
          <w:szCs w:val="24"/>
        </w:rPr>
        <w:t xml:space="preserve">que el </w:t>
      </w:r>
      <w:r>
        <w:rPr>
          <w:rFonts w:ascii="Arial" w:hAnsi="Arial" w:cs="Arial"/>
          <w:sz w:val="24"/>
          <w:szCs w:val="24"/>
        </w:rPr>
        <w:t>A</w:t>
      </w:r>
      <w:r w:rsidR="00A236DF">
        <w:rPr>
          <w:rFonts w:ascii="Arial" w:hAnsi="Arial" w:cs="Arial"/>
          <w:sz w:val="24"/>
          <w:szCs w:val="24"/>
        </w:rPr>
        <w:t>rtículo 3° del Pliego de Condiciones Pa</w:t>
      </w:r>
      <w:r>
        <w:rPr>
          <w:rFonts w:ascii="Arial" w:hAnsi="Arial" w:cs="Arial"/>
          <w:sz w:val="24"/>
          <w:szCs w:val="24"/>
        </w:rPr>
        <w:t xml:space="preserve">rticulares </w:t>
      </w:r>
      <w:r w:rsidR="00A236DF">
        <w:rPr>
          <w:rFonts w:ascii="Arial" w:hAnsi="Arial" w:cs="Arial"/>
          <w:sz w:val="24"/>
          <w:szCs w:val="24"/>
        </w:rPr>
        <w:t>establece que, a los efectos de evaluar las ofertas se utilizarán distintos factores,</w:t>
      </w:r>
      <w:r w:rsidR="00A236DF">
        <w:rPr>
          <w:rFonts w:ascii="Arial" w:hAnsi="Arial" w:cs="Arial"/>
          <w:i/>
          <w:iCs/>
          <w:sz w:val="24"/>
          <w:szCs w:val="24"/>
        </w:rPr>
        <w:t xml:space="preserve"> </w:t>
      </w:r>
      <w:r w:rsidR="00A236DF">
        <w:rPr>
          <w:rFonts w:ascii="Arial" w:hAnsi="Arial" w:cs="Arial"/>
          <w:sz w:val="24"/>
          <w:szCs w:val="24"/>
        </w:rPr>
        <w:t>estableciendo  5 factores, de los cuales  los 4 primeros son  d</w:t>
      </w:r>
      <w:r>
        <w:rPr>
          <w:rFonts w:ascii="Arial" w:hAnsi="Arial" w:cs="Arial"/>
          <w:sz w:val="24"/>
          <w:szCs w:val="24"/>
        </w:rPr>
        <w:t>e ponderación para las ofertas</w:t>
      </w:r>
      <w:r w:rsidR="00A236DF">
        <w:rPr>
          <w:rFonts w:ascii="Arial" w:hAnsi="Arial" w:cs="Arial"/>
          <w:sz w:val="24"/>
          <w:szCs w:val="24"/>
        </w:rPr>
        <w:t xml:space="preserve"> (abarcan características y garantía, servicios, tiempo de comercialización de</w:t>
      </w:r>
      <w:r>
        <w:rPr>
          <w:rFonts w:ascii="Arial" w:hAnsi="Arial" w:cs="Arial"/>
          <w:sz w:val="24"/>
          <w:szCs w:val="24"/>
        </w:rPr>
        <w:t xml:space="preserve"> la marca en el país y precio),</w:t>
      </w:r>
      <w:r w:rsidR="00A236DF">
        <w:rPr>
          <w:rFonts w:ascii="Arial" w:hAnsi="Arial" w:cs="Arial"/>
          <w:sz w:val="24"/>
          <w:szCs w:val="24"/>
        </w:rPr>
        <w:t xml:space="preserve"> 1 factor negativo (antecedentes en el RUPE) y entre los  4 factores de  ponderación suman  un p</w:t>
      </w:r>
      <w:r>
        <w:rPr>
          <w:rFonts w:ascii="Arial" w:hAnsi="Arial" w:cs="Arial"/>
          <w:sz w:val="24"/>
          <w:szCs w:val="24"/>
        </w:rPr>
        <w:t>orcentaje que supera el 100%, (</w:t>
      </w:r>
      <w:r w:rsidR="00A236DF">
        <w:rPr>
          <w:rFonts w:ascii="Arial" w:hAnsi="Arial" w:cs="Arial"/>
          <w:sz w:val="24"/>
          <w:szCs w:val="24"/>
        </w:rPr>
        <w:t xml:space="preserve">asciende al 120%), con lo cual no se puede </w:t>
      </w:r>
      <w:r w:rsidR="00A236DF">
        <w:rPr>
          <w:rFonts w:ascii="Arial" w:hAnsi="Arial" w:cs="Arial"/>
          <w:sz w:val="24"/>
          <w:szCs w:val="24"/>
        </w:rPr>
        <w:lastRenderedPageBreak/>
        <w:t xml:space="preserve">establecer en qué forma se realizaron las valoraciones y se obtuvieron los puntajes totales que figuran en el cuadro comparativo; </w:t>
      </w:r>
    </w:p>
    <w:p w:rsidR="00A236DF" w:rsidRDefault="00A236DF" w:rsidP="00FD00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</w:t>
      </w:r>
      <w:r w:rsidR="00FD007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asimismo,</w:t>
      </w:r>
      <w:r w:rsidR="00FD007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respecto del factor 1, que establece que  </w:t>
      </w:r>
      <w:r>
        <w:rPr>
          <w:rFonts w:ascii="Arial" w:hAnsi="Arial" w:cs="Arial"/>
          <w:i/>
          <w:iCs/>
          <w:sz w:val="24"/>
          <w:szCs w:val="24"/>
        </w:rPr>
        <w:t>“los funcionarios analizarán las ofertas, en las que se evaluarán las características técnicas y otros factores considerados destacables con razones fundadas”</w:t>
      </w:r>
      <w:r>
        <w:rPr>
          <w:rFonts w:ascii="Arial" w:hAnsi="Arial" w:cs="Arial"/>
          <w:sz w:val="24"/>
          <w:szCs w:val="24"/>
        </w:rPr>
        <w:t>, sin determinar, concretamente, cuáles son los “</w:t>
      </w:r>
      <w:r>
        <w:rPr>
          <w:rFonts w:ascii="Arial" w:hAnsi="Arial" w:cs="Arial"/>
          <w:i/>
          <w:iCs/>
          <w:sz w:val="24"/>
          <w:szCs w:val="24"/>
        </w:rPr>
        <w:t>otros factores considerados destacables”</w:t>
      </w:r>
      <w:r>
        <w:rPr>
          <w:rFonts w:ascii="Arial" w:hAnsi="Arial" w:cs="Arial"/>
          <w:sz w:val="24"/>
          <w:szCs w:val="24"/>
        </w:rPr>
        <w:t xml:space="preserve">, se </w:t>
      </w:r>
      <w:r w:rsidR="00FD007E">
        <w:rPr>
          <w:rFonts w:ascii="Arial" w:hAnsi="Arial" w:cs="Arial"/>
          <w:sz w:val="24"/>
          <w:szCs w:val="24"/>
        </w:rPr>
        <w:t>contraviene lo dispuesto en el Artículo 65 L</w:t>
      </w:r>
      <w:r>
        <w:rPr>
          <w:rFonts w:ascii="Arial" w:hAnsi="Arial" w:cs="Arial"/>
          <w:sz w:val="24"/>
          <w:szCs w:val="24"/>
        </w:rPr>
        <w:t>iteral C) del TOCAF, que establece el deber de juzgar los antecedentes de los oferentes y el contenido de las ofertas en base a criterios objetivos que deben estar expresamente preestablecidos y en este caso los mismos no fueron especificados; inclusive, el pliego prevé un criterio de evaluación indeterminado al establecer una calificación de dos puntos “</w:t>
      </w:r>
      <w:r>
        <w:rPr>
          <w:rFonts w:ascii="Arial" w:hAnsi="Arial" w:cs="Arial"/>
          <w:i/>
          <w:iCs/>
          <w:sz w:val="24"/>
          <w:szCs w:val="24"/>
        </w:rPr>
        <w:t>a la o las ofertas que presenten igualdad de condiciones técnicas”</w:t>
      </w:r>
      <w:r>
        <w:rPr>
          <w:rFonts w:ascii="Arial" w:hAnsi="Arial" w:cs="Arial"/>
          <w:sz w:val="24"/>
          <w:szCs w:val="24"/>
        </w:rPr>
        <w:t xml:space="preserve">, sin determinar el alcance de la referida igualdad;    </w:t>
      </w:r>
    </w:p>
    <w:p w:rsidR="00FD007E" w:rsidRDefault="00FD007E" w:rsidP="00FD007E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</w:t>
      </w:r>
      <w:r w:rsidR="00A236DF">
        <w:rPr>
          <w:rFonts w:ascii="Arial" w:hAnsi="Arial" w:cs="Arial"/>
          <w:sz w:val="24"/>
          <w:szCs w:val="24"/>
        </w:rPr>
        <w:t xml:space="preserve"> asimismo existe contradicción entre lo establec</w:t>
      </w:r>
      <w:r>
        <w:rPr>
          <w:rFonts w:ascii="Arial" w:hAnsi="Arial" w:cs="Arial"/>
          <w:sz w:val="24"/>
          <w:szCs w:val="24"/>
        </w:rPr>
        <w:t xml:space="preserve">ido como forma de evaluación </w:t>
      </w:r>
      <w:r w:rsidR="00A236DF">
        <w:rPr>
          <w:rFonts w:ascii="Arial" w:hAnsi="Arial" w:cs="Arial"/>
          <w:sz w:val="24"/>
          <w:szCs w:val="24"/>
        </w:rPr>
        <w:t xml:space="preserve">(porcentual entre cada factor de ponderación) y la asignación de puntos dentro de cada sub-factor, cuya equivalencia no solo no es posible (por exceder el 100% lo previsto) sino que tampoco fue establecida por el </w:t>
      </w:r>
      <w:r>
        <w:rPr>
          <w:rFonts w:ascii="Arial" w:hAnsi="Arial" w:cs="Arial"/>
          <w:sz w:val="24"/>
          <w:szCs w:val="24"/>
        </w:rPr>
        <w:t>A</w:t>
      </w:r>
      <w:r w:rsidR="00A236DF">
        <w:rPr>
          <w:rFonts w:ascii="Arial" w:hAnsi="Arial" w:cs="Arial"/>
          <w:sz w:val="24"/>
          <w:szCs w:val="24"/>
        </w:rPr>
        <w:t xml:space="preserve">rtículo 3 º del referido Pliego de Condiciones (estudio de la ofertas);  </w:t>
      </w:r>
    </w:p>
    <w:p w:rsidR="00A236DF" w:rsidRDefault="00A236DF" w:rsidP="00FD007E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</w:t>
      </w:r>
      <w:r w:rsidRPr="00FD007E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igualmente, en la etapa </w:t>
      </w:r>
      <w:r w:rsidR="00FD007E">
        <w:rPr>
          <w:rFonts w:ascii="Arial" w:hAnsi="Arial" w:cs="Arial"/>
          <w:sz w:val="24"/>
          <w:szCs w:val="24"/>
        </w:rPr>
        <w:t>de evaluación del factor 1, el A</w:t>
      </w:r>
      <w:r>
        <w:rPr>
          <w:rFonts w:ascii="Arial" w:hAnsi="Arial" w:cs="Arial"/>
          <w:sz w:val="24"/>
          <w:szCs w:val="24"/>
        </w:rPr>
        <w:t>rtículo 3 del Pliego de Condiciones Particulares establece que</w:t>
      </w:r>
      <w:r w:rsidR="00FD007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i/>
          <w:iCs/>
          <w:sz w:val="24"/>
          <w:szCs w:val="24"/>
        </w:rPr>
        <w:t>la opción que no cumpla técnicamente con lo solicitado, no pasará a ser evaluada en los demás factores</w:t>
      </w:r>
      <w:r>
        <w:rPr>
          <w:rFonts w:ascii="Arial" w:hAnsi="Arial" w:cs="Arial"/>
          <w:sz w:val="24"/>
          <w:szCs w:val="24"/>
        </w:rPr>
        <w:t xml:space="preserve">”, lo que supone la posibilidad de rechazar propuestas que, habiendo sido primeramente evaluadas conforme a un parámetro no objetivo, como se </w:t>
      </w:r>
      <w:r w:rsidR="00FD007E">
        <w:rPr>
          <w:rFonts w:ascii="Arial" w:hAnsi="Arial" w:cs="Arial"/>
          <w:sz w:val="24"/>
          <w:szCs w:val="24"/>
        </w:rPr>
        <w:t xml:space="preserve">estableció en el Considerando </w:t>
      </w:r>
      <w:r>
        <w:rPr>
          <w:rFonts w:ascii="Arial" w:hAnsi="Arial" w:cs="Arial"/>
          <w:sz w:val="24"/>
          <w:szCs w:val="24"/>
        </w:rPr>
        <w:t>1</w:t>
      </w:r>
      <w:r w:rsidR="00FD007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pueden ser rechazadas sin haber sido estudiadas en su totalidad, en contravención del orden de las etapas de admisibilidad y</w:t>
      </w:r>
      <w:r w:rsidR="00FD007E">
        <w:rPr>
          <w:rFonts w:ascii="Arial" w:hAnsi="Arial" w:cs="Arial"/>
          <w:sz w:val="24"/>
          <w:szCs w:val="24"/>
        </w:rPr>
        <w:t xml:space="preserve"> de evaluación dispuesto en el A</w:t>
      </w:r>
      <w:r>
        <w:rPr>
          <w:rFonts w:ascii="Arial" w:hAnsi="Arial" w:cs="Arial"/>
          <w:sz w:val="24"/>
          <w:szCs w:val="24"/>
        </w:rPr>
        <w:t xml:space="preserve">rtículo 65 del TOCAF. La exigencia de requerimientos técnicos para participar del llamado al estar </w:t>
      </w:r>
      <w:r>
        <w:rPr>
          <w:rFonts w:ascii="Arial" w:hAnsi="Arial" w:cs="Arial"/>
          <w:sz w:val="24"/>
          <w:szCs w:val="24"/>
        </w:rPr>
        <w:lastRenderedPageBreak/>
        <w:t>prevista e</w:t>
      </w:r>
      <w:r w:rsidR="00FD007E">
        <w:rPr>
          <w:rFonts w:ascii="Arial" w:hAnsi="Arial" w:cs="Arial"/>
          <w:sz w:val="24"/>
          <w:szCs w:val="24"/>
        </w:rPr>
        <w:t>n el pliego con í</w:t>
      </w:r>
      <w:r>
        <w:rPr>
          <w:rFonts w:ascii="Arial" w:hAnsi="Arial" w:cs="Arial"/>
          <w:sz w:val="24"/>
          <w:szCs w:val="24"/>
        </w:rPr>
        <w:t>ndice de ponderación es un factor de evaluación y no  un requisito de admisibilidad, cumplido el cual las propuestas consideradas válidas serán evaluadas en su totalidad, de acuerdo a todos los factores previstos, no correspondiendo su rechazo una vez superada la referida etapa de admisibilidad;</w:t>
      </w:r>
    </w:p>
    <w:p w:rsidR="00A236DF" w:rsidRDefault="00A236DF" w:rsidP="00FD007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5) </w:t>
      </w:r>
      <w:r w:rsidR="00FD007E">
        <w:rPr>
          <w:rFonts w:ascii="Arial" w:hAnsi="Arial" w:cs="Arial"/>
          <w:sz w:val="24"/>
          <w:szCs w:val="24"/>
        </w:rPr>
        <w:t>que el A</w:t>
      </w:r>
      <w:r>
        <w:rPr>
          <w:rFonts w:ascii="Arial" w:hAnsi="Arial" w:cs="Arial"/>
          <w:sz w:val="24"/>
          <w:szCs w:val="24"/>
        </w:rPr>
        <w:t>rtículo 8.3.3 del Pliego de Condiciones Particulares preceptúa “</w:t>
      </w:r>
      <w:r>
        <w:rPr>
          <w:rFonts w:ascii="Arial" w:hAnsi="Arial" w:cs="Arial"/>
          <w:i/>
          <w:iCs/>
          <w:sz w:val="24"/>
          <w:szCs w:val="24"/>
        </w:rPr>
        <w:t>que no se podrán establecer cláusulas que condicionen el mantenimiento de la oferta en forma alguna o que indiquen otros plazos; en caso contrario esta Administración, a su exclusivo juicio, podrá desestimar la oferta presentada</w:t>
      </w:r>
      <w:r>
        <w:rPr>
          <w:rFonts w:ascii="Arial" w:hAnsi="Arial" w:cs="Arial"/>
          <w:sz w:val="24"/>
          <w:szCs w:val="24"/>
        </w:rPr>
        <w:t>”.</w:t>
      </w:r>
      <w:r>
        <w:t xml:space="preserve"> </w:t>
      </w:r>
      <w:r>
        <w:rPr>
          <w:rFonts w:ascii="Arial" w:hAnsi="Arial" w:cs="Arial"/>
          <w:sz w:val="24"/>
          <w:szCs w:val="24"/>
        </w:rPr>
        <w:t>Esta norma habilita a los oferentes a apartarse de los requisitos de mantenimiento de oferta y al mismo tiempo, faculta a la Administración a rechazar propuestas sin basarse en parámetros objetivos para hacerlo, en contravención del principio de estricto cumplimiento del Pliego de Condiciones Particulares, que deriva de los principios de legalidad, e igualdad de l</w:t>
      </w:r>
      <w:r w:rsidR="00FD007E">
        <w:rPr>
          <w:rFonts w:ascii="Arial" w:hAnsi="Arial" w:cs="Arial"/>
          <w:sz w:val="24"/>
          <w:szCs w:val="24"/>
        </w:rPr>
        <w:t>os oferentes estipulados en el A</w:t>
      </w:r>
      <w:r>
        <w:rPr>
          <w:rFonts w:ascii="Arial" w:hAnsi="Arial" w:cs="Arial"/>
          <w:sz w:val="24"/>
          <w:szCs w:val="24"/>
        </w:rPr>
        <w:t>r</w:t>
      </w:r>
      <w:r w:rsidR="00FD007E">
        <w:rPr>
          <w:rFonts w:ascii="Arial" w:hAnsi="Arial" w:cs="Arial"/>
          <w:sz w:val="24"/>
          <w:szCs w:val="24"/>
        </w:rPr>
        <w:t>tículo 149 L</w:t>
      </w:r>
      <w:r>
        <w:rPr>
          <w:rFonts w:ascii="Arial" w:hAnsi="Arial" w:cs="Arial"/>
          <w:sz w:val="24"/>
          <w:szCs w:val="24"/>
        </w:rPr>
        <w:t>iteral B) del TOCAF;</w:t>
      </w:r>
    </w:p>
    <w:p w:rsidR="00A236DF" w:rsidRDefault="00A236DF" w:rsidP="00FD0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la Comisión Asesora de Adjudicaciones no </w:t>
      </w:r>
      <w:r w:rsidR="00FD007E">
        <w:rPr>
          <w:rFonts w:ascii="Arial" w:hAnsi="Arial" w:cs="Arial"/>
          <w:sz w:val="24"/>
          <w:szCs w:val="24"/>
        </w:rPr>
        <w:t>evaluó la propuesta de Woslen S</w:t>
      </w:r>
      <w:r>
        <w:rPr>
          <w:rFonts w:ascii="Arial" w:hAnsi="Arial" w:cs="Arial"/>
          <w:sz w:val="24"/>
          <w:szCs w:val="24"/>
        </w:rPr>
        <w:t>A e informó, con fecha 23</w:t>
      </w:r>
      <w:r w:rsidR="00FD00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08</w:t>
      </w:r>
      <w:r w:rsidR="00FD00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16, que debido a que la firma aún se encuentra en estado </w:t>
      </w:r>
      <w:r>
        <w:rPr>
          <w:rFonts w:ascii="Arial" w:hAnsi="Arial" w:cs="Arial"/>
          <w:i/>
          <w:iCs/>
          <w:sz w:val="24"/>
          <w:szCs w:val="24"/>
        </w:rPr>
        <w:t>en ingreso</w:t>
      </w:r>
      <w:r>
        <w:rPr>
          <w:rFonts w:ascii="Arial" w:hAnsi="Arial" w:cs="Arial"/>
          <w:sz w:val="24"/>
          <w:szCs w:val="24"/>
        </w:rPr>
        <w:t xml:space="preserve"> en el RUPE, no es posible recomendar su adjudicación, procediendo a su rechazo, siendo que, de conformidad con lo establecido en el </w:t>
      </w:r>
      <w:r w:rsidR="00FD00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8.4 del Pliego de Condiciones</w:t>
      </w:r>
      <w:r w:rsidR="00FD007E">
        <w:rPr>
          <w:rFonts w:ascii="Arial" w:hAnsi="Arial" w:cs="Arial"/>
          <w:sz w:val="24"/>
          <w:szCs w:val="24"/>
        </w:rPr>
        <w:t xml:space="preserve"> Particulares y en el Decreto Nº </w:t>
      </w:r>
      <w:r>
        <w:rPr>
          <w:rFonts w:ascii="Arial" w:hAnsi="Arial" w:cs="Arial"/>
          <w:sz w:val="24"/>
          <w:szCs w:val="24"/>
        </w:rPr>
        <w:t xml:space="preserve">155/2013, la exigencia de contar con estado </w:t>
      </w:r>
      <w:r>
        <w:rPr>
          <w:rFonts w:ascii="Arial" w:hAnsi="Arial" w:cs="Arial"/>
          <w:i/>
          <w:iCs/>
          <w:sz w:val="24"/>
          <w:szCs w:val="24"/>
        </w:rPr>
        <w:t>activo</w:t>
      </w:r>
      <w:r>
        <w:rPr>
          <w:rFonts w:ascii="Arial" w:hAnsi="Arial" w:cs="Arial"/>
          <w:sz w:val="24"/>
          <w:szCs w:val="24"/>
        </w:rPr>
        <w:t xml:space="preserve"> en el RUPE corresponde al momento de ser adjudicatario, por lo que, en definitiva,</w:t>
      </w:r>
      <w:r w:rsidR="00FD00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Administración no consideró una propuesta que deb</w:t>
      </w:r>
      <w:r w:rsidR="00EF11C8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ó ser estudiada e incluida en el cuadro comparativo</w:t>
      </w:r>
      <w:r w:rsidR="00FD007E">
        <w:rPr>
          <w:rFonts w:ascii="Arial" w:hAnsi="Arial" w:cs="Arial"/>
          <w:sz w:val="24"/>
          <w:szCs w:val="24"/>
        </w:rPr>
        <w:t xml:space="preserve"> adjunto al informe de fecha 23/</w:t>
      </w:r>
      <w:r>
        <w:rPr>
          <w:rFonts w:ascii="Arial" w:hAnsi="Arial" w:cs="Arial"/>
          <w:sz w:val="24"/>
          <w:szCs w:val="24"/>
        </w:rPr>
        <w:t>08</w:t>
      </w:r>
      <w:r w:rsidR="00FD00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16, siendo que, inclusive</w:t>
      </w:r>
      <w:r w:rsidR="00FD007E">
        <w:rPr>
          <w:rFonts w:ascii="Arial" w:hAnsi="Arial" w:cs="Arial"/>
          <w:sz w:val="24"/>
          <w:szCs w:val="24"/>
        </w:rPr>
        <w:t xml:space="preserve"> Woslen S</w:t>
      </w:r>
      <w:r>
        <w:rPr>
          <w:rFonts w:ascii="Arial" w:hAnsi="Arial" w:cs="Arial"/>
          <w:sz w:val="24"/>
          <w:szCs w:val="24"/>
        </w:rPr>
        <w:t>A cotizó las unidades usadas de la Administración a un precio sensiblemente superior al tasado por los otros dos oferentes;</w:t>
      </w:r>
    </w:p>
    <w:p w:rsidR="00A236DF" w:rsidRDefault="00A236DF" w:rsidP="00FD007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a lo expuesto y a lo dispuesto por el  </w:t>
      </w:r>
      <w:r w:rsidR="00FD007E">
        <w:rPr>
          <w:rFonts w:ascii="Arial" w:hAnsi="Arial" w:cs="Arial"/>
          <w:sz w:val="24"/>
          <w:szCs w:val="24"/>
          <w:lang w:val="es-ES" w:eastAsia="es-ES"/>
        </w:rPr>
        <w:t>A</w:t>
      </w:r>
      <w:r>
        <w:rPr>
          <w:rFonts w:ascii="Arial" w:hAnsi="Arial" w:cs="Arial"/>
          <w:sz w:val="24"/>
          <w:szCs w:val="24"/>
          <w:lang w:val="es-ES" w:eastAsia="es-ES"/>
        </w:rPr>
        <w:t xml:space="preserve">rtículo 211 </w:t>
      </w:r>
      <w:r w:rsidR="00FD007E">
        <w:rPr>
          <w:rFonts w:ascii="Arial" w:hAnsi="Arial" w:cs="Arial"/>
          <w:sz w:val="24"/>
          <w:szCs w:val="24"/>
          <w:lang w:val="es-ES" w:eastAsia="es-ES"/>
        </w:rPr>
        <w:t>L</w:t>
      </w:r>
      <w:r>
        <w:rPr>
          <w:rFonts w:ascii="Arial" w:hAnsi="Arial" w:cs="Arial"/>
          <w:sz w:val="24"/>
          <w:szCs w:val="24"/>
          <w:lang w:val="es-ES" w:eastAsia="es-ES"/>
        </w:rPr>
        <w:t>iteral B) de la Constitución de la República;</w:t>
      </w:r>
    </w:p>
    <w:p w:rsidR="00A236DF" w:rsidRDefault="00A236D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:rsidR="00A236DF" w:rsidRDefault="00A236DF" w:rsidP="003E4B77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A236DF" w:rsidRDefault="009110C3" w:rsidP="003E4B7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sz w:val="24"/>
          <w:szCs w:val="24"/>
          <w:lang w:val="es-MX" w:eastAsia="es-ES"/>
        </w:rPr>
        <w:t xml:space="preserve">1) </w:t>
      </w:r>
      <w:r w:rsidR="00A236DF">
        <w:rPr>
          <w:rFonts w:ascii="Arial" w:hAnsi="Arial" w:cs="Arial"/>
          <w:sz w:val="24"/>
          <w:szCs w:val="24"/>
          <w:lang w:val="es-MX" w:eastAsia="es-ES"/>
        </w:rPr>
        <w:t>Observar el gasto; y</w:t>
      </w:r>
    </w:p>
    <w:p w:rsidR="00A236DF" w:rsidRDefault="009110C3" w:rsidP="003E4B7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sz w:val="24"/>
          <w:szCs w:val="24"/>
          <w:lang w:val="es-MX" w:eastAsia="es-ES"/>
        </w:rPr>
        <w:t xml:space="preserve">2) </w:t>
      </w:r>
      <w:r w:rsidR="00A236DF">
        <w:rPr>
          <w:rFonts w:ascii="Arial" w:hAnsi="Arial" w:cs="Arial"/>
          <w:sz w:val="24"/>
          <w:szCs w:val="24"/>
          <w:lang w:val="es-MX" w:eastAsia="es-ES"/>
        </w:rPr>
        <w:t xml:space="preserve">Devolver las </w:t>
      </w:r>
      <w:r>
        <w:rPr>
          <w:rFonts w:ascii="Arial" w:hAnsi="Arial" w:cs="Arial"/>
          <w:sz w:val="24"/>
          <w:szCs w:val="24"/>
          <w:lang w:val="es-MX" w:eastAsia="es-ES"/>
        </w:rPr>
        <w:t>actuaciones.</w:t>
      </w:r>
    </w:p>
    <w:p w:rsidR="009110C3" w:rsidRDefault="009110C3" w:rsidP="009110C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9110C3" w:rsidRDefault="009110C3" w:rsidP="009110C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9110C3" w:rsidRDefault="009110C3" w:rsidP="009110C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lc</w:t>
      </w:r>
    </w:p>
    <w:p w:rsidR="00A236DF" w:rsidRDefault="00A236D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sectPr w:rsidR="00A236DF" w:rsidSect="00141BCA">
      <w:headerReference w:type="default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0C3" w:rsidRDefault="009110C3" w:rsidP="009110C3">
      <w:pPr>
        <w:spacing w:after="0" w:line="240" w:lineRule="auto"/>
      </w:pPr>
      <w:r>
        <w:separator/>
      </w:r>
    </w:p>
  </w:endnote>
  <w:endnote w:type="continuationSeparator" w:id="0">
    <w:p w:rsidR="009110C3" w:rsidRDefault="009110C3" w:rsidP="0091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207027"/>
      <w:docPartObj>
        <w:docPartGallery w:val="Page Numbers (Bottom of Page)"/>
        <w:docPartUnique/>
      </w:docPartObj>
    </w:sdtPr>
    <w:sdtEndPr/>
    <w:sdtContent>
      <w:p w:rsidR="009110C3" w:rsidRDefault="009110C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BCA" w:rsidRPr="00141BCA">
          <w:rPr>
            <w:noProof/>
            <w:lang w:val="es-ES"/>
          </w:rPr>
          <w:t>5</w:t>
        </w:r>
        <w:r>
          <w:fldChar w:fldCharType="end"/>
        </w:r>
      </w:p>
    </w:sdtContent>
  </w:sdt>
  <w:p w:rsidR="009110C3" w:rsidRDefault="009110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0C3" w:rsidRDefault="009110C3" w:rsidP="009110C3">
      <w:pPr>
        <w:spacing w:after="0" w:line="240" w:lineRule="auto"/>
      </w:pPr>
      <w:r>
        <w:separator/>
      </w:r>
    </w:p>
  </w:footnote>
  <w:footnote w:type="continuationSeparator" w:id="0">
    <w:p w:rsidR="009110C3" w:rsidRDefault="009110C3" w:rsidP="0091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AE9" w:rsidRDefault="00FA2AE9">
    <w:pPr>
      <w:pStyle w:val="Encabezado"/>
    </w:pPr>
  </w:p>
  <w:p w:rsidR="00FA2AE9" w:rsidRDefault="00FA2AE9">
    <w:pPr>
      <w:pStyle w:val="Encabezado"/>
    </w:pPr>
  </w:p>
  <w:p w:rsidR="00FA2AE9" w:rsidRDefault="00FA2AE9">
    <w:pPr>
      <w:pStyle w:val="Encabezado"/>
    </w:pPr>
  </w:p>
  <w:p w:rsidR="00FA2AE9" w:rsidRDefault="00FA2AE9">
    <w:pPr>
      <w:pStyle w:val="Encabezado"/>
    </w:pPr>
  </w:p>
  <w:p w:rsidR="00FA2AE9" w:rsidRDefault="00FA2A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F629D"/>
    <w:multiLevelType w:val="hybridMultilevel"/>
    <w:tmpl w:val="E6FE4C18"/>
    <w:lvl w:ilvl="0" w:tplc="822EA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DF"/>
    <w:rsid w:val="00141BCA"/>
    <w:rsid w:val="00174474"/>
    <w:rsid w:val="003E4B77"/>
    <w:rsid w:val="006D39F3"/>
    <w:rsid w:val="009110C3"/>
    <w:rsid w:val="00A236DF"/>
    <w:rsid w:val="00B453CF"/>
    <w:rsid w:val="00C928CD"/>
    <w:rsid w:val="00E34972"/>
    <w:rsid w:val="00EF11C8"/>
    <w:rsid w:val="00F358E4"/>
    <w:rsid w:val="00FA2AE9"/>
    <w:rsid w:val="00F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10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1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0C3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911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0C3"/>
    <w:rPr>
      <w:rFonts w:ascii="Calibri" w:hAnsi="Calibri" w:cs="Calibri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10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1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0C3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911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0C3"/>
    <w:rPr>
      <w:rFonts w:ascii="Calibri" w:hAnsi="Calibri" w:cs="Calibri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2016-17-1-0006211</vt:lpstr>
    </vt:vector>
  </TitlesOfParts>
  <Company>Tribunal de Cuentas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2016-17-1-0006211</dc:title>
  <dc:creator>MARIA ALEJANDRA ALVAREZ LOPEZ</dc:creator>
  <cp:lastModifiedBy>Tribunal1</cp:lastModifiedBy>
  <cp:revision>4</cp:revision>
  <cp:lastPrinted>2016-09-30T17:30:00Z</cp:lastPrinted>
  <dcterms:created xsi:type="dcterms:W3CDTF">2016-09-29T16:23:00Z</dcterms:created>
  <dcterms:modified xsi:type="dcterms:W3CDTF">2016-09-30T17:31:00Z</dcterms:modified>
</cp:coreProperties>
</file>