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DF" w:rsidRPr="00C228BD" w:rsidRDefault="00A944DF">
      <w:pPr>
        <w:pStyle w:val="Textoindependiente2"/>
        <w:rPr>
          <w:lang w:val="es-MX"/>
        </w:rPr>
      </w:pPr>
    </w:p>
    <w:p w:rsidR="009249A2" w:rsidRPr="00C228BD" w:rsidRDefault="00C228BD" w:rsidP="009249A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pacing w:val="-3"/>
          <w:sz w:val="28"/>
          <w:szCs w:val="28"/>
          <w:lang w:val="es-ES_tradnl"/>
        </w:rPr>
        <w:t xml:space="preserve"> </w:t>
      </w:r>
      <w:r w:rsidR="009249A2" w:rsidRPr="00C228BD">
        <w:rPr>
          <w:rFonts w:ascii="Arial" w:hAnsi="Arial" w:cs="Arial"/>
          <w:b/>
          <w:spacing w:val="-3"/>
          <w:sz w:val="28"/>
          <w:szCs w:val="28"/>
          <w:lang w:val="es-ES_tradnl"/>
        </w:rPr>
        <w:t xml:space="preserve"> </w:t>
      </w:r>
      <w:r w:rsidR="009249A2" w:rsidRPr="00C228BD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3456</w:t>
      </w:r>
      <w:r w:rsidR="009249A2" w:rsidRPr="00C228BD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249A2" w:rsidRPr="009249A2" w:rsidRDefault="009249A2" w:rsidP="009249A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9249A2" w:rsidRPr="009249A2" w:rsidRDefault="009249A2" w:rsidP="009249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49A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249A2" w:rsidRPr="009249A2" w:rsidRDefault="009249A2" w:rsidP="009249A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49A2" w:rsidRPr="009249A2" w:rsidRDefault="009249A2" w:rsidP="009249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49A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249A2" w:rsidRPr="009249A2" w:rsidRDefault="009249A2" w:rsidP="009249A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49A2" w:rsidRPr="009249A2" w:rsidRDefault="009249A2" w:rsidP="009249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249A2">
        <w:rPr>
          <w:rFonts w:ascii="Arial" w:hAnsi="Arial" w:cs="Arial"/>
          <w:b/>
          <w:sz w:val="24"/>
          <w:szCs w:val="24"/>
          <w:lang w:val="es-ES_tradnl"/>
        </w:rPr>
        <w:t>EN SESION DE FECHA 28 DE SETIEMBRE DE 2016</w:t>
      </w:r>
    </w:p>
    <w:p w:rsidR="009249A2" w:rsidRPr="009249A2" w:rsidRDefault="009249A2" w:rsidP="009249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249A2" w:rsidRPr="00C228BD" w:rsidRDefault="009249A2" w:rsidP="009249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28BD">
        <w:rPr>
          <w:rFonts w:ascii="Arial" w:hAnsi="Arial" w:cs="Arial"/>
          <w:b/>
          <w:sz w:val="24"/>
          <w:szCs w:val="24"/>
          <w:lang w:val="es-ES"/>
        </w:rPr>
        <w:t xml:space="preserve">(E. E. Nº  </w:t>
      </w:r>
      <w:r w:rsidR="00C228BD">
        <w:rPr>
          <w:rFonts w:ascii="Arial" w:hAnsi="Arial" w:cs="Arial"/>
          <w:b/>
          <w:sz w:val="24"/>
          <w:szCs w:val="24"/>
          <w:lang w:val="es-MX" w:eastAsia="es-ES"/>
        </w:rPr>
        <w:t>2016-17-1-000</w:t>
      </w:r>
      <w:r w:rsidR="00C228BD" w:rsidRPr="00C228BD">
        <w:rPr>
          <w:rFonts w:ascii="Arial" w:hAnsi="Arial" w:cs="Arial"/>
          <w:b/>
          <w:sz w:val="24"/>
          <w:szCs w:val="24"/>
          <w:lang w:val="es-MX" w:eastAsia="es-ES"/>
        </w:rPr>
        <w:t>6252</w:t>
      </w:r>
      <w:r w:rsidRPr="00C228BD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C228BD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C228BD">
        <w:rPr>
          <w:rFonts w:ascii="Arial" w:hAnsi="Arial" w:cs="Arial"/>
          <w:b/>
          <w:sz w:val="24"/>
          <w:szCs w:val="24"/>
          <w:lang w:val="es-ES"/>
        </w:rPr>
        <w:t>. N°</w:t>
      </w:r>
      <w:r w:rsidR="00C812F5">
        <w:rPr>
          <w:rFonts w:ascii="Arial" w:hAnsi="Arial" w:cs="Arial"/>
          <w:b/>
          <w:sz w:val="24"/>
          <w:szCs w:val="24"/>
          <w:lang w:val="es-ES"/>
        </w:rPr>
        <w:t xml:space="preserve"> </w:t>
      </w:r>
      <w:bookmarkStart w:id="0" w:name="_GoBack"/>
      <w:bookmarkEnd w:id="0"/>
      <w:r w:rsidR="00C812F5">
        <w:rPr>
          <w:rFonts w:ascii="Arial" w:hAnsi="Arial" w:cs="Arial"/>
          <w:b/>
          <w:sz w:val="24"/>
          <w:szCs w:val="24"/>
          <w:lang w:val="es-MX" w:eastAsia="es-ES"/>
        </w:rPr>
        <w:t>4825</w:t>
      </w:r>
      <w:r w:rsidR="00C228BD" w:rsidRPr="00C228BD">
        <w:rPr>
          <w:rFonts w:ascii="Arial" w:hAnsi="Arial" w:cs="Arial"/>
          <w:b/>
          <w:sz w:val="24"/>
          <w:szCs w:val="24"/>
          <w:lang w:val="es-MX" w:eastAsia="es-ES"/>
        </w:rPr>
        <w:t>/16</w:t>
      </w:r>
      <w:r w:rsidRPr="00C228BD">
        <w:rPr>
          <w:rFonts w:ascii="Arial" w:hAnsi="Arial" w:cs="Arial"/>
          <w:b/>
          <w:sz w:val="24"/>
          <w:szCs w:val="24"/>
          <w:lang w:val="es-ES"/>
        </w:rPr>
        <w:t>)</w:t>
      </w:r>
    </w:p>
    <w:p w:rsidR="009249A2" w:rsidRPr="009249A2" w:rsidRDefault="009249A2" w:rsidP="009249A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A944DF" w:rsidRDefault="00A944DF" w:rsidP="00C228B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VISTO: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las actuaciones remitidas por la Administración Nacional de Usinas y Transmisiones Eléctricas relacionadas con la Licitación Pública </w:t>
      </w:r>
      <w:r w:rsidR="00C228BD">
        <w:rPr>
          <w:rFonts w:ascii="Arial" w:hAnsi="Arial" w:cs="Arial"/>
          <w:sz w:val="24"/>
          <w:szCs w:val="24"/>
          <w:lang w:val="es-MX" w:eastAsia="es-ES"/>
        </w:rPr>
        <w:t xml:space="preserve">       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Nº P46815 para la contratación mediante la modalidad leasing operativo de la línea que conectará la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conversora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de Melo con la futura estación Tacuarembó;</w:t>
      </w:r>
    </w:p>
    <w:p w:rsidR="00A944DF" w:rsidRDefault="00A944DF" w:rsidP="00C228BD">
      <w:pPr>
        <w:pStyle w:val="Textoindependiente"/>
        <w:ind w:firstLine="851"/>
      </w:pPr>
      <w:r>
        <w:rPr>
          <w:b/>
          <w:bCs/>
        </w:rPr>
        <w:t xml:space="preserve">RESULTANDO: 1) </w:t>
      </w:r>
      <w:r>
        <w:t xml:space="preserve">que se efectuó la publicación del llamado en la web de Compras Estatales con fecha 17.03.16, y en el </w:t>
      </w:r>
      <w:r w:rsidR="00C228BD">
        <w:t>Diario Oficial el 29.03.16, fijá</w:t>
      </w:r>
      <w:r>
        <w:t xml:space="preserve">ndose la apertura de ofertas para el 19.05.16, por lo que se cumplió con la debida antelación; </w:t>
      </w:r>
    </w:p>
    <w:p w:rsidR="00A944DF" w:rsidRDefault="00A944DF" w:rsidP="00C228BD">
      <w:pPr>
        <w:pStyle w:val="Textoindependiente"/>
        <w:ind w:firstLine="2694"/>
      </w:pPr>
      <w:r>
        <w:rPr>
          <w:b/>
          <w:bCs/>
        </w:rPr>
        <w:t xml:space="preserve">2) </w:t>
      </w:r>
      <w:r>
        <w:t>que tras sucesivas prórrogas  al acto de apertura, con fecha  27.07.16, se presentaron cuatr</w:t>
      </w:r>
      <w:r w:rsidR="00C228BD">
        <w:t>o propuestas correspondientes a</w:t>
      </w:r>
      <w:r>
        <w:t xml:space="preserve">: Terna </w:t>
      </w:r>
      <w:proofErr w:type="spellStart"/>
      <w:r>
        <w:t>S.p.A</w:t>
      </w:r>
      <w:proofErr w:type="spellEnd"/>
      <w:r>
        <w:t xml:space="preserve">;  </w:t>
      </w:r>
      <w:proofErr w:type="spellStart"/>
      <w:r>
        <w:t>Halery</w:t>
      </w:r>
      <w:proofErr w:type="spellEnd"/>
      <w:r>
        <w:t xml:space="preserve"> S.A.;  Consorcio en formación compuesto por José </w:t>
      </w:r>
      <w:proofErr w:type="spellStart"/>
      <w:r>
        <w:t>Cartellone</w:t>
      </w:r>
      <w:proofErr w:type="spellEnd"/>
      <w:r>
        <w:t xml:space="preserve"> Construcciones Civiles S.A. y  </w:t>
      </w:r>
      <w:proofErr w:type="spellStart"/>
      <w:r>
        <w:t>Stiler</w:t>
      </w:r>
      <w:proofErr w:type="spellEnd"/>
      <w:r>
        <w:t xml:space="preserve"> S.A. y </w:t>
      </w:r>
      <w:proofErr w:type="spellStart"/>
      <w:r>
        <w:t>Latifox</w:t>
      </w:r>
      <w:proofErr w:type="spellEnd"/>
      <w:r>
        <w:t xml:space="preserve"> S.A</w:t>
      </w:r>
      <w:proofErr w:type="gramStart"/>
      <w:r>
        <w:t>. ;</w:t>
      </w:r>
      <w:proofErr w:type="gramEnd"/>
    </w:p>
    <w:p w:rsidR="00A944DF" w:rsidRDefault="00A944DF" w:rsidP="00C228BD">
      <w:pPr>
        <w:pStyle w:val="Textoindependiente"/>
        <w:ind w:firstLine="2694"/>
      </w:pPr>
      <w:r>
        <w:rPr>
          <w:b/>
          <w:bCs/>
        </w:rPr>
        <w:t xml:space="preserve">3) </w:t>
      </w:r>
      <w:r>
        <w:t>que la Comisión Asesora de Adjudicaciones, con fecha 08.04.16, informó que:</w:t>
      </w:r>
    </w:p>
    <w:p w:rsidR="00A944DF" w:rsidRDefault="00A944DF" w:rsidP="00C228B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C228BD">
        <w:rPr>
          <w:rFonts w:ascii="Arial" w:hAnsi="Arial" w:cs="Arial"/>
          <w:b/>
          <w:sz w:val="24"/>
          <w:szCs w:val="24"/>
          <w:lang w:val="es-MX" w:eastAsia="es-ES"/>
        </w:rPr>
        <w:t>3.1)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se realizó el estudio de las cuatro  ofertas,  concluyéndose que todas cumplieron sustancialmente con las bases del llamado; </w:t>
      </w:r>
    </w:p>
    <w:p w:rsidR="00A944DF" w:rsidRDefault="00A944DF" w:rsidP="00C228B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C228BD">
        <w:rPr>
          <w:rFonts w:ascii="Arial" w:hAnsi="Arial" w:cs="Arial"/>
          <w:b/>
          <w:sz w:val="24"/>
          <w:szCs w:val="24"/>
          <w:lang w:val="es-MX" w:eastAsia="es-ES"/>
        </w:rPr>
        <w:t>3.2)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luego de ello, se confeccionó un cuadro compar</w:t>
      </w:r>
      <w:r w:rsidR="00C228BD">
        <w:rPr>
          <w:rFonts w:ascii="Arial" w:hAnsi="Arial" w:cs="Arial"/>
          <w:sz w:val="24"/>
          <w:szCs w:val="24"/>
          <w:lang w:val="es-MX" w:eastAsia="es-ES"/>
        </w:rPr>
        <w:t>ativo de precios, del cual surgía que la oferta má</w:t>
      </w:r>
      <w:r>
        <w:rPr>
          <w:rFonts w:ascii="Arial" w:hAnsi="Arial" w:cs="Arial"/>
          <w:sz w:val="24"/>
          <w:szCs w:val="24"/>
          <w:lang w:val="es-MX" w:eastAsia="es-ES"/>
        </w:rPr>
        <w:t xml:space="preserve">s ventajosa  desde el punto de vista económico es la  de Terna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S.p.A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., según el siguiente detalle: </w:t>
      </w:r>
    </w:p>
    <w:p w:rsidR="00A944DF" w:rsidRDefault="00A944DF" w:rsidP="00C228B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C228BD" w:rsidRDefault="00C228BD" w:rsidP="00C228B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A944DF"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 w:eastAsia="es-ES"/>
              </w:rPr>
              <w:lastRenderedPageBreak/>
              <w:t>Empresa</w:t>
            </w:r>
          </w:p>
        </w:tc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 w:eastAsia="es-ES"/>
              </w:rPr>
              <w:t xml:space="preserve">Precio comparativo </w:t>
            </w:r>
          </w:p>
        </w:tc>
      </w:tr>
      <w:tr w:rsidR="00A944DF"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>Terna S.  p A.</w:t>
            </w:r>
          </w:p>
        </w:tc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 xml:space="preserve">U$S 658.333  </w:t>
            </w:r>
          </w:p>
        </w:tc>
      </w:tr>
      <w:tr w:rsidR="00A944DF"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>Latifox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 xml:space="preserve"> S.A.</w:t>
            </w:r>
          </w:p>
        </w:tc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>U$S 699.000</w:t>
            </w:r>
          </w:p>
        </w:tc>
      </w:tr>
      <w:tr w:rsidR="00A944DF"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 xml:space="preserve">Consorcio: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>Cartellone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 xml:space="preserve"> Construcciones Civiles S.A.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>Stiler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 xml:space="preserve"> S.A.</w:t>
            </w:r>
          </w:p>
        </w:tc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>U$S 876.697</w:t>
            </w:r>
          </w:p>
        </w:tc>
      </w:tr>
      <w:tr w:rsidR="00A944DF"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>Halery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eastAsia="es-ES"/>
              </w:rPr>
              <w:t xml:space="preserve"> S.A.</w:t>
            </w:r>
          </w:p>
        </w:tc>
        <w:tc>
          <w:tcPr>
            <w:tcW w:w="4322" w:type="dxa"/>
          </w:tcPr>
          <w:p w:rsidR="00A944DF" w:rsidRDefault="00A944DF" w:rsidP="00C228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>U$S 916.200</w:t>
            </w:r>
          </w:p>
        </w:tc>
      </w:tr>
    </w:tbl>
    <w:p w:rsidR="00A944DF" w:rsidRDefault="00A944DF" w:rsidP="00C228B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A944DF" w:rsidRDefault="00A944DF" w:rsidP="00C228B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C228BD">
        <w:rPr>
          <w:rFonts w:ascii="Arial" w:hAnsi="Arial" w:cs="Arial"/>
          <w:b/>
          <w:sz w:val="24"/>
          <w:szCs w:val="24"/>
          <w:lang w:val="es-MX" w:eastAsia="es-ES"/>
        </w:rPr>
        <w:t>3.3)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en función de los resultados obtenidos y de acuerdo con lo previsto en el artículo 13.2.1 del Pliego de Condiciones Particulares “Comparación de las Ofertas</w:t>
      </w:r>
      <w:r w:rsidR="00C228BD">
        <w:rPr>
          <w:rFonts w:ascii="Arial" w:hAnsi="Arial" w:cs="Arial"/>
          <w:sz w:val="24"/>
          <w:szCs w:val="24"/>
          <w:lang w:val="es-MX" w:eastAsia="es-ES"/>
        </w:rPr>
        <w:t xml:space="preserve">, la Comisión Asesora aconsejó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adjudicar a Terna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S.p.A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. por un monto </w:t>
      </w:r>
      <w:r>
        <w:rPr>
          <w:rFonts w:ascii="Arial" w:hAnsi="Arial" w:cs="Arial"/>
          <w:sz w:val="24"/>
          <w:szCs w:val="24"/>
          <w:lang w:eastAsia="es-ES"/>
        </w:rPr>
        <w:t xml:space="preserve">total de  </w:t>
      </w:r>
      <w:r>
        <w:rPr>
          <w:rFonts w:ascii="Arial" w:hAnsi="Arial" w:cs="Arial"/>
          <w:sz w:val="24"/>
          <w:szCs w:val="24"/>
          <w:lang w:val="es-MX" w:eastAsia="es-ES"/>
        </w:rPr>
        <w:t>U$S 228:560.111,42 equivalente a $ 6.841:032.694,91 (leasing operativo con IVA, previsión por Órdenes de cambio con IVA y partida por concepto de ajuste de precios incluidos);</w:t>
      </w:r>
    </w:p>
    <w:p w:rsidR="00A944DF" w:rsidRDefault="00A944DF" w:rsidP="00C228B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4)</w:t>
      </w:r>
      <w:r>
        <w:rPr>
          <w:rFonts w:ascii="Arial" w:hAnsi="Arial" w:cs="Arial"/>
          <w:sz w:val="24"/>
          <w:szCs w:val="24"/>
          <w:lang w:eastAsia="es-ES"/>
        </w:rPr>
        <w:t xml:space="preserve"> que con fecha 05.08.16, se confirió vista de las actuaciones a los oferentes por el plazo de 5 días hábiles, al amparo de lo dispuesto en el </w:t>
      </w:r>
      <w:r w:rsidR="00C228BD">
        <w:rPr>
          <w:rFonts w:ascii="Arial" w:hAnsi="Arial" w:cs="Arial"/>
          <w:sz w:val="24"/>
          <w:szCs w:val="24"/>
          <w:lang w:eastAsia="es-ES"/>
        </w:rPr>
        <w:t>A</w:t>
      </w:r>
      <w:r>
        <w:rPr>
          <w:rFonts w:ascii="Arial" w:hAnsi="Arial" w:cs="Arial"/>
          <w:sz w:val="24"/>
          <w:szCs w:val="24"/>
          <w:lang w:eastAsia="es-ES"/>
        </w:rPr>
        <w:t>rtículo 67 del TOCAF</w:t>
      </w:r>
      <w:r w:rsidR="00C228BD">
        <w:rPr>
          <w:rFonts w:ascii="Arial" w:hAnsi="Arial" w:cs="Arial"/>
          <w:sz w:val="24"/>
          <w:szCs w:val="24"/>
          <w:lang w:eastAsia="es-ES"/>
        </w:rPr>
        <w:t>,</w:t>
      </w:r>
      <w:r>
        <w:rPr>
          <w:rFonts w:ascii="Arial" w:hAnsi="Arial" w:cs="Arial"/>
          <w:sz w:val="24"/>
          <w:szCs w:val="24"/>
          <w:lang w:eastAsia="es-ES"/>
        </w:rPr>
        <w:t xml:space="preserve"> sin que ninguno formulara observaciones;</w:t>
      </w:r>
    </w:p>
    <w:p w:rsidR="00A944DF" w:rsidRDefault="00A944DF" w:rsidP="00C228B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5) </w:t>
      </w:r>
      <w:r>
        <w:rPr>
          <w:rFonts w:ascii="Arial" w:hAnsi="Arial" w:cs="Arial"/>
          <w:sz w:val="24"/>
          <w:szCs w:val="24"/>
          <w:lang w:eastAsia="es-ES"/>
        </w:rPr>
        <w:t xml:space="preserve">que el </w:t>
      </w:r>
      <w:r>
        <w:rPr>
          <w:rFonts w:ascii="Arial" w:hAnsi="Arial" w:cs="Arial"/>
          <w:sz w:val="24"/>
          <w:szCs w:val="24"/>
          <w:lang w:val="es-MX"/>
        </w:rPr>
        <w:t>Departamento de Registro y Control Presupuestal, con fecha: 15.08.16, indicó que el Objeto 299003 ha sido imputado sin disponibilidad presupuestal suficiente para comprometer el monto de U$S187:344.353,62 (neto de impuestos) en el Ejercicio 2016 y ejecutar en el Ejercicio 2019 y siguientes;</w:t>
      </w:r>
    </w:p>
    <w:p w:rsidR="00A944DF" w:rsidRDefault="00A944DF" w:rsidP="00C228BD">
      <w:pPr>
        <w:spacing w:after="0" w:line="360" w:lineRule="auto"/>
        <w:ind w:firstLine="2694"/>
        <w:jc w:val="both"/>
        <w:rPr>
          <w:rFonts w:ascii="Arial" w:hAnsi="Arial" w:cs="Arial"/>
          <w:b/>
          <w:bCs/>
          <w:sz w:val="24"/>
          <w:szCs w:val="24"/>
          <w:u w:val="single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6)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el Directorio, por Resolución N° 16.-1890 de fecha 23.08.16, dispuso la adjudicación a Terna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S.p.A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>. en los términos propuestos por la Comisión Asesora;</w:t>
      </w:r>
    </w:p>
    <w:p w:rsidR="00A944DF" w:rsidRDefault="00C228BD" w:rsidP="00C228BD">
      <w:pPr>
        <w:spacing w:after="0" w:line="360" w:lineRule="auto"/>
        <w:ind w:firstLine="851"/>
        <w:jc w:val="both"/>
        <w:rPr>
          <w:rFonts w:ascii="Arial" w:hAnsi="Arial" w:cs="Arial"/>
          <w:i/>
          <w:i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CONSIDERANDO: </w:t>
      </w:r>
      <w:r w:rsidR="00A944DF">
        <w:rPr>
          <w:rFonts w:ascii="Arial" w:hAnsi="Arial" w:cs="Arial"/>
          <w:b/>
          <w:bCs/>
          <w:sz w:val="24"/>
          <w:szCs w:val="24"/>
          <w:lang w:eastAsia="es-ES"/>
        </w:rPr>
        <w:t xml:space="preserve">1) </w:t>
      </w:r>
      <w:r>
        <w:rPr>
          <w:rFonts w:ascii="Arial" w:hAnsi="Arial" w:cs="Arial"/>
          <w:sz w:val="24"/>
          <w:szCs w:val="24"/>
          <w:lang w:eastAsia="es-ES"/>
        </w:rPr>
        <w:t>que el A</w:t>
      </w:r>
      <w:r w:rsidR="00A944DF">
        <w:rPr>
          <w:rFonts w:ascii="Arial" w:hAnsi="Arial" w:cs="Arial"/>
          <w:sz w:val="24"/>
          <w:szCs w:val="24"/>
          <w:lang w:eastAsia="es-ES"/>
        </w:rPr>
        <w:t xml:space="preserve">rtículo 13 del Pliego de Condiciones Particulares bajo el acápite “Estudio de las Ofertas” establece que </w:t>
      </w:r>
      <w:r w:rsidR="00A944DF">
        <w:rPr>
          <w:rFonts w:ascii="Arial" w:hAnsi="Arial" w:cs="Arial"/>
          <w:i/>
          <w:iCs/>
          <w:sz w:val="24"/>
          <w:szCs w:val="24"/>
          <w:lang w:eastAsia="es-ES"/>
        </w:rPr>
        <w:t>“l</w:t>
      </w:r>
      <w:r w:rsidR="00A944DF">
        <w:rPr>
          <w:rFonts w:ascii="Arial" w:hAnsi="Arial" w:cs="Arial"/>
          <w:i/>
          <w:iCs/>
          <w:sz w:val="24"/>
          <w:szCs w:val="24"/>
          <w:lang w:val="es-MX" w:eastAsia="es-ES"/>
        </w:rPr>
        <w:t xml:space="preserve">a Administración se reserva el derecho de aceptar ofertas que contengan </w:t>
      </w:r>
      <w:r w:rsidR="00A944DF">
        <w:rPr>
          <w:rFonts w:ascii="Arial" w:hAnsi="Arial" w:cs="Arial"/>
          <w:i/>
          <w:iCs/>
          <w:sz w:val="24"/>
          <w:szCs w:val="24"/>
          <w:lang w:val="es-MX" w:eastAsia="es-ES"/>
        </w:rPr>
        <w:lastRenderedPageBreak/>
        <w:t xml:space="preserve">cláusulas de limitación de responsabilidad por daños y perjuicios, lucro cesante o daño emergente”, </w:t>
      </w:r>
    </w:p>
    <w:p w:rsidR="00A944DF" w:rsidRDefault="00A944DF" w:rsidP="00C228B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</w:t>
      </w:r>
      <w:r w:rsidR="00C228BD">
        <w:rPr>
          <w:rFonts w:ascii="Arial" w:hAnsi="Arial" w:cs="Arial"/>
          <w:sz w:val="24"/>
          <w:szCs w:val="24"/>
          <w:lang w:val="es-MX" w:eastAsia="es-ES"/>
        </w:rPr>
        <w:t>de acuerdo a lo previsto en el Artículo 65 inciso final L</w:t>
      </w:r>
      <w:r>
        <w:rPr>
          <w:rFonts w:ascii="Arial" w:hAnsi="Arial" w:cs="Arial"/>
          <w:sz w:val="24"/>
          <w:szCs w:val="24"/>
          <w:lang w:val="es-MX" w:eastAsia="es-ES"/>
        </w:rPr>
        <w:t>iteral C) del TOCAF y en aplicación de los principios de igualdad y co</w:t>
      </w:r>
      <w:r w:rsidR="00C228BD">
        <w:rPr>
          <w:rFonts w:ascii="Arial" w:hAnsi="Arial" w:cs="Arial"/>
          <w:sz w:val="24"/>
          <w:szCs w:val="24"/>
          <w:lang w:val="es-MX" w:eastAsia="es-ES"/>
        </w:rPr>
        <w:t>ncurrencia,  consagrados en el 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rtículo 149 del TOCAF, no resulta de recibo  </w:t>
      </w:r>
      <w:r>
        <w:rPr>
          <w:rFonts w:ascii="Arial" w:hAnsi="Arial" w:cs="Arial"/>
          <w:sz w:val="24"/>
          <w:szCs w:val="24"/>
          <w:lang w:val="es-MX"/>
        </w:rPr>
        <w:t xml:space="preserve"> que quede a criterio de la Administración admitir o no propuestas que </w:t>
      </w:r>
      <w:r>
        <w:rPr>
          <w:rFonts w:ascii="Arial" w:hAnsi="Arial" w:cs="Arial"/>
          <w:sz w:val="24"/>
          <w:szCs w:val="24"/>
          <w:lang w:val="es-MX" w:eastAsia="es-ES"/>
        </w:rPr>
        <w:t>contengan cláusulas de limitación de responsabilidad debiendo hacerse en base a criterios objetivos;</w:t>
      </w:r>
    </w:p>
    <w:p w:rsidR="00A944DF" w:rsidRDefault="00A944DF" w:rsidP="00C228B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3) </w:t>
      </w:r>
      <w:r>
        <w:rPr>
          <w:rFonts w:ascii="Arial" w:hAnsi="Arial" w:cs="Arial"/>
          <w:sz w:val="24"/>
          <w:szCs w:val="24"/>
          <w:lang w:eastAsia="es-ES"/>
        </w:rPr>
        <w:t xml:space="preserve">que asimismo, </w:t>
      </w:r>
      <w:r>
        <w:rPr>
          <w:rFonts w:ascii="Arial" w:hAnsi="Arial" w:cs="Arial"/>
          <w:sz w:val="24"/>
          <w:szCs w:val="24"/>
        </w:rPr>
        <w:t xml:space="preserve">se </w:t>
      </w:r>
      <w:r w:rsidR="00C228BD">
        <w:rPr>
          <w:rFonts w:ascii="Arial" w:hAnsi="Arial" w:cs="Arial"/>
          <w:sz w:val="24"/>
          <w:szCs w:val="24"/>
        </w:rPr>
        <w:t>contravino lo dispuesto por el A</w:t>
      </w:r>
      <w:r>
        <w:rPr>
          <w:rFonts w:ascii="Arial" w:hAnsi="Arial" w:cs="Arial"/>
          <w:sz w:val="24"/>
          <w:szCs w:val="24"/>
        </w:rPr>
        <w:t>rtículo 15 del TOCAF, al comprometerse un gasto en un grupo de imputación sin disponibilidad presupuestal suficiente;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944DF" w:rsidRDefault="00A944DF" w:rsidP="00C228B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ATENTO: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a lo expuesto y a lo dispuesto por el  </w:t>
      </w:r>
      <w:r w:rsidR="00C228BD">
        <w:rPr>
          <w:rFonts w:ascii="Arial" w:hAnsi="Arial" w:cs="Arial"/>
          <w:sz w:val="24"/>
          <w:szCs w:val="24"/>
          <w:lang w:val="es-ES" w:eastAsia="es-ES"/>
        </w:rPr>
        <w:t>Artículo 211 L</w:t>
      </w:r>
      <w:r>
        <w:rPr>
          <w:rFonts w:ascii="Arial" w:hAnsi="Arial" w:cs="Arial"/>
          <w:sz w:val="24"/>
          <w:szCs w:val="24"/>
          <w:lang w:val="es-ES" w:eastAsia="es-ES"/>
        </w:rPr>
        <w:t>iteral B) de la Constitución de la República;</w:t>
      </w:r>
    </w:p>
    <w:p w:rsidR="00C228BD" w:rsidRDefault="00C228BD" w:rsidP="00C228BD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</w:p>
    <w:p w:rsidR="00A944DF" w:rsidRPr="00C228BD" w:rsidRDefault="00A944DF" w:rsidP="00C228BD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A944DF" w:rsidRDefault="00C228BD" w:rsidP="00C228B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Observar el gasto;</w:t>
      </w:r>
    </w:p>
    <w:p w:rsidR="00A944DF" w:rsidRDefault="00C228BD" w:rsidP="00C228BD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Devolver las actuaciones.</w:t>
      </w:r>
    </w:p>
    <w:p w:rsidR="00A944DF" w:rsidRDefault="00A944DF" w:rsidP="00C228BD">
      <w:pPr>
        <w:tabs>
          <w:tab w:val="num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C228BD" w:rsidRPr="00C228BD" w:rsidRDefault="00C228BD" w:rsidP="00C228BD">
      <w:pPr>
        <w:tabs>
          <w:tab w:val="num" w:pos="284"/>
        </w:tabs>
        <w:spacing w:after="0" w:line="360" w:lineRule="auto"/>
        <w:jc w:val="both"/>
        <w:rPr>
          <w:rFonts w:ascii="Arial" w:hAnsi="Arial" w:cs="Arial"/>
          <w:sz w:val="20"/>
          <w:szCs w:val="20"/>
          <w:lang w:val="es-MX" w:eastAsia="es-ES"/>
        </w:rPr>
      </w:pPr>
      <w:r w:rsidRPr="00C228BD">
        <w:rPr>
          <w:rFonts w:ascii="Arial" w:hAnsi="Arial" w:cs="Arial"/>
          <w:sz w:val="20"/>
          <w:szCs w:val="20"/>
          <w:lang w:val="es-MX" w:eastAsia="es-ES"/>
        </w:rPr>
        <w:t>CLC</w:t>
      </w:r>
    </w:p>
    <w:p w:rsidR="00A944DF" w:rsidRDefault="00A944DF" w:rsidP="00C228B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ab/>
      </w:r>
      <w:r>
        <w:rPr>
          <w:rFonts w:ascii="Arial" w:hAnsi="Arial" w:cs="Arial"/>
          <w:sz w:val="24"/>
          <w:szCs w:val="24"/>
          <w:lang w:val="es-MX" w:eastAsia="es-ES"/>
        </w:rPr>
        <w:tab/>
      </w:r>
      <w:r>
        <w:rPr>
          <w:rFonts w:ascii="Arial" w:hAnsi="Arial" w:cs="Arial"/>
          <w:sz w:val="24"/>
          <w:szCs w:val="24"/>
          <w:lang w:val="es-MX" w:eastAsia="es-ES"/>
        </w:rPr>
        <w:tab/>
      </w:r>
      <w:r>
        <w:rPr>
          <w:rFonts w:ascii="Arial" w:hAnsi="Arial" w:cs="Arial"/>
          <w:sz w:val="24"/>
          <w:szCs w:val="24"/>
          <w:lang w:val="es-MX" w:eastAsia="es-ES"/>
        </w:rPr>
        <w:tab/>
      </w:r>
      <w:r>
        <w:rPr>
          <w:rFonts w:ascii="Arial" w:hAnsi="Arial" w:cs="Arial"/>
          <w:sz w:val="24"/>
          <w:szCs w:val="24"/>
          <w:lang w:val="es-MX" w:eastAsia="es-ES"/>
        </w:rPr>
        <w:tab/>
      </w:r>
      <w:r>
        <w:rPr>
          <w:rFonts w:ascii="Arial" w:hAnsi="Arial" w:cs="Arial"/>
          <w:sz w:val="24"/>
          <w:szCs w:val="24"/>
          <w:lang w:val="es-MX" w:eastAsia="es-ES"/>
        </w:rPr>
        <w:tab/>
      </w:r>
      <w:r>
        <w:rPr>
          <w:rFonts w:ascii="Arial" w:hAnsi="Arial" w:cs="Arial"/>
          <w:sz w:val="24"/>
          <w:szCs w:val="24"/>
          <w:lang w:val="es-MX" w:eastAsia="es-ES"/>
        </w:rPr>
        <w:tab/>
      </w:r>
      <w:r>
        <w:rPr>
          <w:rFonts w:ascii="Arial" w:hAnsi="Arial" w:cs="Arial"/>
          <w:sz w:val="24"/>
          <w:szCs w:val="24"/>
          <w:lang w:val="es-MX" w:eastAsia="es-ES"/>
        </w:rPr>
        <w:tab/>
        <w:t xml:space="preserve">                                                      </w:t>
      </w:r>
    </w:p>
    <w:p w:rsidR="00A944DF" w:rsidRDefault="00A944DF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sectPr w:rsidR="00A944DF" w:rsidSect="00C812F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1D0"/>
    <w:multiLevelType w:val="hybridMultilevel"/>
    <w:tmpl w:val="3D485F52"/>
    <w:lvl w:ilvl="0" w:tplc="B8B6A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457CD6"/>
    <w:multiLevelType w:val="hybridMultilevel"/>
    <w:tmpl w:val="33B658F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1737ACF"/>
    <w:multiLevelType w:val="hybridMultilevel"/>
    <w:tmpl w:val="5922C80E"/>
    <w:lvl w:ilvl="0" w:tplc="D69A4A3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E317E"/>
    <w:multiLevelType w:val="hybridMultilevel"/>
    <w:tmpl w:val="8AB01E06"/>
    <w:lvl w:ilvl="0" w:tplc="3258D7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5A142C"/>
    <w:multiLevelType w:val="hybridMultilevel"/>
    <w:tmpl w:val="76E0FAE8"/>
    <w:lvl w:ilvl="0" w:tplc="5966F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D43D9"/>
    <w:multiLevelType w:val="hybridMultilevel"/>
    <w:tmpl w:val="2276669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60F629D"/>
    <w:multiLevelType w:val="hybridMultilevel"/>
    <w:tmpl w:val="1E68EB48"/>
    <w:lvl w:ilvl="0" w:tplc="E2E4C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4DF"/>
    <w:rsid w:val="003F6596"/>
    <w:rsid w:val="009249A2"/>
    <w:rsid w:val="00A944DF"/>
    <w:rsid w:val="00C228BD"/>
    <w:rsid w:val="00C704F7"/>
    <w:rsid w:val="00C812F5"/>
    <w:rsid w:val="00E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0" w:line="360" w:lineRule="auto"/>
      <w:jc w:val="both"/>
      <w:outlineLvl w:val="0"/>
    </w:pPr>
    <w:rPr>
      <w:rFonts w:ascii="Arial" w:hAnsi="Arial" w:cs="Arial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UY" w:eastAsia="en-U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hAnsi="Calibri" w:cs="Calibri"/>
      <w:lang w:val="es-UY" w:eastAsia="en-U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Calibri" w:hAnsi="Calibri" w:cs="Calibri"/>
      <w:lang w:val="es-UY" w:eastAsia="en-U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Cambria" w:hAnsi="Cambria" w:cs="Cambria"/>
      <w:b/>
      <w:bCs/>
      <w:kern w:val="28"/>
      <w:sz w:val="32"/>
      <w:szCs w:val="32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Pública</vt:lpstr>
    </vt:vector>
  </TitlesOfParts>
  <Company>Tribunal de Cuentas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</dc:title>
  <dc:creator>MARIA ALEJANDRA ALVAREZ LOPEZ</dc:creator>
  <cp:lastModifiedBy>Tribunal1</cp:lastModifiedBy>
  <cp:revision>8</cp:revision>
  <cp:lastPrinted>2016-10-04T17:30:00Z</cp:lastPrinted>
  <dcterms:created xsi:type="dcterms:W3CDTF">2016-10-04T16:56:00Z</dcterms:created>
  <dcterms:modified xsi:type="dcterms:W3CDTF">2016-10-06T12:04:00Z</dcterms:modified>
</cp:coreProperties>
</file>