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6D" w:rsidRPr="00786EEB" w:rsidRDefault="0018036D" w:rsidP="0055030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720D5A">
        <w:rPr>
          <w:rFonts w:ascii="Arial" w:hAnsi="Arial" w:cs="Arial"/>
          <w:b/>
          <w:sz w:val="28"/>
          <w:szCs w:val="28"/>
          <w:lang w:val="es-ES_tradnl"/>
        </w:rPr>
        <w:t>3353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18036D" w:rsidRPr="0018036D" w:rsidRDefault="0018036D" w:rsidP="0018036D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18036D" w:rsidRPr="0018036D" w:rsidRDefault="0018036D" w:rsidP="0018036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8036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8036D" w:rsidRPr="0018036D" w:rsidRDefault="0018036D" w:rsidP="0018036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8036D" w:rsidRPr="0018036D" w:rsidRDefault="0018036D" w:rsidP="0018036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8036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8036D" w:rsidRPr="0018036D" w:rsidRDefault="0018036D" w:rsidP="0018036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8036D" w:rsidRPr="0018036D" w:rsidRDefault="0018036D" w:rsidP="0018036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8036D">
        <w:rPr>
          <w:rFonts w:ascii="Arial" w:hAnsi="Arial" w:cs="Arial"/>
          <w:b/>
          <w:sz w:val="24"/>
          <w:szCs w:val="24"/>
          <w:lang w:val="es-ES_tradnl"/>
        </w:rPr>
        <w:t>EN SESION DE FECHA 21 DE SETIEMBRE DE 2016</w:t>
      </w:r>
    </w:p>
    <w:p w:rsidR="0018036D" w:rsidRPr="0018036D" w:rsidRDefault="0018036D" w:rsidP="0018036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970D5" w:rsidRPr="00720D5A" w:rsidRDefault="00C233FF" w:rsidP="00C233F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720D5A">
        <w:rPr>
          <w:rFonts w:ascii="Arial" w:hAnsi="Arial" w:cs="Arial"/>
          <w:b/>
          <w:sz w:val="24"/>
          <w:szCs w:val="24"/>
          <w:lang w:val="es-ES"/>
        </w:rPr>
        <w:t xml:space="preserve">(E. E. Nº </w:t>
      </w:r>
      <w:r w:rsidR="00720D5A">
        <w:rPr>
          <w:rFonts w:ascii="Arial" w:hAnsi="Arial" w:cs="Arial"/>
          <w:b/>
          <w:bCs/>
          <w:sz w:val="24"/>
          <w:szCs w:val="24"/>
        </w:rPr>
        <w:t>2016-17-1-0004952</w:t>
      </w:r>
      <w:r w:rsidRPr="00720D5A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720D5A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720D5A">
        <w:rPr>
          <w:rFonts w:ascii="Arial" w:hAnsi="Arial" w:cs="Arial"/>
          <w:b/>
          <w:sz w:val="24"/>
          <w:szCs w:val="24"/>
          <w:lang w:val="es-ES"/>
        </w:rPr>
        <w:t>. N°</w:t>
      </w:r>
      <w:r w:rsidR="00720D5A">
        <w:rPr>
          <w:rFonts w:ascii="Arial" w:hAnsi="Arial" w:cs="Arial"/>
          <w:b/>
          <w:bCs/>
          <w:sz w:val="24"/>
          <w:szCs w:val="24"/>
        </w:rPr>
        <w:t>4297/2016</w:t>
      </w:r>
      <w:r w:rsidRPr="00720D5A">
        <w:rPr>
          <w:rFonts w:ascii="Arial" w:hAnsi="Arial" w:cs="Arial"/>
          <w:b/>
          <w:sz w:val="24"/>
          <w:szCs w:val="24"/>
          <w:lang w:val="es-ES"/>
        </w:rPr>
        <w:t>)</w:t>
      </w:r>
    </w:p>
    <w:p w:rsidR="00550301" w:rsidRDefault="00550301" w:rsidP="00720D5A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970D5" w:rsidRDefault="00720D5A" w:rsidP="00720D5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C970D5">
        <w:rPr>
          <w:rFonts w:ascii="Arial" w:hAnsi="Arial" w:cs="Arial"/>
          <w:sz w:val="24"/>
          <w:szCs w:val="24"/>
        </w:rPr>
        <w:t xml:space="preserve">las actuaciones remitidas por la Administración Nacional de Combustibles Alcohol y Portland, relacionadas con la Compra Directa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C970D5">
        <w:rPr>
          <w:rFonts w:ascii="Arial" w:hAnsi="Arial" w:cs="Arial"/>
          <w:sz w:val="24"/>
          <w:szCs w:val="24"/>
        </w:rPr>
        <w:t>N° 2700065500, convocada para la contratación de una empresa encargada de realizar tareas en áreas verdes de la Planta Portland Minas, por el término de un año con opción a renovación por igual período, al amparo de la causal de excepción dispuesta</w:t>
      </w:r>
      <w:r>
        <w:rPr>
          <w:rFonts w:ascii="Arial" w:hAnsi="Arial" w:cs="Arial"/>
          <w:sz w:val="24"/>
          <w:szCs w:val="24"/>
        </w:rPr>
        <w:t xml:space="preserve"> en el A</w:t>
      </w:r>
      <w:r w:rsidR="00C970D5">
        <w:rPr>
          <w:rFonts w:ascii="Arial" w:hAnsi="Arial" w:cs="Arial"/>
          <w:sz w:val="24"/>
          <w:szCs w:val="24"/>
        </w:rPr>
        <w:t xml:space="preserve">rtículo 33 </w:t>
      </w:r>
      <w:r>
        <w:rPr>
          <w:rFonts w:ascii="Arial" w:hAnsi="Arial" w:cs="Arial"/>
          <w:sz w:val="24"/>
          <w:szCs w:val="24"/>
        </w:rPr>
        <w:t>L</w:t>
      </w:r>
      <w:r w:rsidR="00C970D5">
        <w:rPr>
          <w:rFonts w:ascii="Arial" w:hAnsi="Arial" w:cs="Arial"/>
          <w:sz w:val="24"/>
          <w:szCs w:val="24"/>
        </w:rPr>
        <w:t xml:space="preserve">iteral </w:t>
      </w:r>
      <w:r w:rsidR="007565AE">
        <w:rPr>
          <w:rFonts w:ascii="Arial" w:hAnsi="Arial" w:cs="Arial"/>
          <w:sz w:val="24"/>
          <w:szCs w:val="24"/>
        </w:rPr>
        <w:t>C</w:t>
      </w:r>
      <w:r w:rsidR="00C970D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N</w:t>
      </w:r>
      <w:r w:rsidR="00C970D5">
        <w:rPr>
          <w:rFonts w:ascii="Arial" w:hAnsi="Arial" w:cs="Arial"/>
          <w:sz w:val="24"/>
          <w:szCs w:val="24"/>
        </w:rPr>
        <w:t>umeral 22 del TOCAF;</w:t>
      </w:r>
    </w:p>
    <w:p w:rsidR="00C970D5" w:rsidRDefault="00C970D5" w:rsidP="00E30C8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</w:t>
      </w:r>
      <w:r w:rsidR="00E30C8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la contratación que obra en las presentes actuaciones cuenta con el antecedente de la Compra Directa N° 2700058300, que tiene el mismo objeto. De las actuaciones de esa Compra Directa, surge que: </w:t>
      </w:r>
      <w:r w:rsidR="007565AE">
        <w:rPr>
          <w:rFonts w:ascii="Arial" w:hAnsi="Arial" w:cs="Arial"/>
          <w:sz w:val="24"/>
          <w:szCs w:val="24"/>
        </w:rPr>
        <w:t xml:space="preserve"> </w:t>
      </w:r>
      <w:r w:rsidRPr="007565A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), mediante Resolución de la Gerencia de Abastecimiento N° 363/2015 de fecha 19.11.15, </w:t>
      </w:r>
      <w:proofErr w:type="spellStart"/>
      <w:r>
        <w:rPr>
          <w:rFonts w:ascii="Arial" w:hAnsi="Arial" w:cs="Arial"/>
          <w:sz w:val="24"/>
          <w:szCs w:val="24"/>
        </w:rPr>
        <w:t>Edufel</w:t>
      </w:r>
      <w:proofErr w:type="spellEnd"/>
      <w:r>
        <w:rPr>
          <w:rFonts w:ascii="Arial" w:hAnsi="Arial" w:cs="Arial"/>
          <w:sz w:val="24"/>
          <w:szCs w:val="24"/>
        </w:rPr>
        <w:t xml:space="preserve"> S.R.L resultó adjudicataria, por un monto de </w:t>
      </w:r>
      <w:r w:rsidR="00E30C88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$ 9:649.920 más IVA, siendo la cantidad de personal ofrecido en su propuesta de 6 maquinistas, 4 peones y un encargado de acuerdo </w:t>
      </w:r>
      <w:r w:rsidR="007565AE">
        <w:rPr>
          <w:rFonts w:ascii="Arial" w:hAnsi="Arial" w:cs="Arial"/>
          <w:sz w:val="24"/>
          <w:szCs w:val="24"/>
        </w:rPr>
        <w:t>con</w:t>
      </w:r>
      <w:r>
        <w:rPr>
          <w:rFonts w:ascii="Arial" w:hAnsi="Arial" w:cs="Arial"/>
          <w:sz w:val="24"/>
          <w:szCs w:val="24"/>
        </w:rPr>
        <w:t xml:space="preserve"> lo establecido en el </w:t>
      </w:r>
      <w:r w:rsidR="00E30C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2° b) del Plie</w:t>
      </w:r>
      <w:r w:rsidR="007565AE">
        <w:rPr>
          <w:rFonts w:ascii="Arial" w:hAnsi="Arial" w:cs="Arial"/>
          <w:sz w:val="24"/>
          <w:szCs w:val="24"/>
        </w:rPr>
        <w:t xml:space="preserve">go de Condiciones Particulares; </w:t>
      </w:r>
      <w:r w:rsidRPr="007565AE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) con fecha 26/11/15, el Cr. Delegado intervino el gasto, señalando que por </w:t>
      </w:r>
      <w:r w:rsidR="007565A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esolución del Directorio del 24/9/15, se había establecido que a partir del 1/1/16</w:t>
      </w:r>
      <w:r w:rsidR="00E30C88">
        <w:rPr>
          <w:rFonts w:ascii="Arial" w:hAnsi="Arial" w:cs="Arial"/>
          <w:sz w:val="24"/>
          <w:szCs w:val="24"/>
        </w:rPr>
        <w:t>, este tipo de servicios no sería cubierto por ANCAP</w:t>
      </w:r>
      <w:r w:rsidR="007565A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7565AE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) el Directorio teniendo en cuenta lo señalado por el Cr. Delegado dict</w:t>
      </w:r>
      <w:r w:rsidR="007565AE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una nueva </w:t>
      </w:r>
      <w:r w:rsidR="007565A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esolución disponiendo en lo sustancial que “tanto en los comodatos existentes a la fecha como en los que puedan otorgarse en el futuro, las reparaciones y mantenimiento ordinarios quedar</w:t>
      </w:r>
      <w:r w:rsidR="007565AE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n a cargo del comodatario ...”</w:t>
      </w:r>
      <w:r w:rsidR="007565AE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y </w:t>
      </w:r>
      <w:r w:rsidRPr="007565A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) se le comunic</w:t>
      </w:r>
      <w:r w:rsidR="007565AE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 la </w:t>
      </w:r>
      <w:r w:rsidR="007565A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irma que dándose cumplimiento a la </w:t>
      </w:r>
      <w:r w:rsidR="007565A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esolución del 24/9/15, no se tendría en cuenta el punto 2-A </w:t>
      </w:r>
      <w:r>
        <w:rPr>
          <w:rFonts w:ascii="Arial" w:hAnsi="Arial" w:cs="Arial"/>
          <w:sz w:val="24"/>
          <w:szCs w:val="24"/>
        </w:rPr>
        <w:lastRenderedPageBreak/>
        <w:t>“características del servicio respecto al mantenimiento de césped en zona de vivienda del personal superior”;</w:t>
      </w:r>
    </w:p>
    <w:p w:rsidR="00C970D5" w:rsidRDefault="00C970D5" w:rsidP="00E30C8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que, en las presentes actuaciones, la Gerencia de Servicios Generales, en acuerdo con Recursos Humanos y la Gerencia Planta Minas, solicitó la contratación de tres peones más además de los adjudicados en la referida compra, mediante la Solicitud de Pedido N° 10126684 de fecha 18.05.16;</w:t>
      </w:r>
    </w:p>
    <w:p w:rsidR="00C970D5" w:rsidRDefault="00C970D5" w:rsidP="00E30C8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por Resolución N° 181/2016 de fecha 10.06.16, la Gerencia de Abastecimiento dispuso,</w:t>
      </w:r>
      <w:r w:rsidR="00E30C88">
        <w:rPr>
          <w:rFonts w:ascii="Arial" w:hAnsi="Arial" w:cs="Arial"/>
          <w:sz w:val="24"/>
          <w:szCs w:val="24"/>
        </w:rPr>
        <w:t xml:space="preserve"> invocando lo dispuesto por el A</w:t>
      </w:r>
      <w:r>
        <w:rPr>
          <w:rFonts w:ascii="Arial" w:hAnsi="Arial" w:cs="Arial"/>
          <w:sz w:val="24"/>
          <w:szCs w:val="24"/>
        </w:rPr>
        <w:t>rt</w:t>
      </w:r>
      <w:r w:rsidR="00E30C88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</w:t>
      </w:r>
      <w:r w:rsidR="00E30C88">
        <w:rPr>
          <w:rFonts w:ascii="Arial" w:hAnsi="Arial" w:cs="Arial"/>
          <w:sz w:val="24"/>
          <w:szCs w:val="24"/>
        </w:rPr>
        <w:t>Numeral</w:t>
      </w:r>
      <w:r>
        <w:rPr>
          <w:rFonts w:ascii="Arial" w:hAnsi="Arial" w:cs="Arial"/>
          <w:sz w:val="24"/>
          <w:szCs w:val="24"/>
        </w:rPr>
        <w:t xml:space="preserve"> 22 del T</w:t>
      </w:r>
      <w:r w:rsidR="00E30C88">
        <w:rPr>
          <w:rFonts w:ascii="Arial" w:hAnsi="Arial" w:cs="Arial"/>
          <w:sz w:val="24"/>
          <w:szCs w:val="24"/>
        </w:rPr>
        <w:t>OCAF</w:t>
      </w:r>
      <w:r>
        <w:rPr>
          <w:rFonts w:ascii="Arial" w:hAnsi="Arial" w:cs="Arial"/>
          <w:sz w:val="24"/>
          <w:szCs w:val="24"/>
        </w:rPr>
        <w:t xml:space="preserve">,  adjudicar la Compra Directa N° 2700065500 a </w:t>
      </w:r>
      <w:proofErr w:type="spellStart"/>
      <w:r>
        <w:rPr>
          <w:rFonts w:ascii="Arial" w:hAnsi="Arial" w:cs="Arial"/>
          <w:sz w:val="24"/>
          <w:szCs w:val="24"/>
        </w:rPr>
        <w:t>Edufel</w:t>
      </w:r>
      <w:proofErr w:type="spellEnd"/>
      <w:r>
        <w:rPr>
          <w:rFonts w:ascii="Arial" w:hAnsi="Arial" w:cs="Arial"/>
          <w:sz w:val="24"/>
          <w:szCs w:val="24"/>
        </w:rPr>
        <w:t xml:space="preserve"> S.R.L, por un monto de $ 2:583., más IVA, señalando que </w:t>
      </w:r>
      <w:r>
        <w:rPr>
          <w:rFonts w:ascii="Arial" w:hAnsi="Arial" w:cs="Arial"/>
          <w:i/>
          <w:iCs/>
          <w:sz w:val="24"/>
          <w:szCs w:val="24"/>
        </w:rPr>
        <w:t xml:space="preserve">“se consideró incorporar a los peones a la contratación de la </w:t>
      </w:r>
      <w:r w:rsidR="00FE791F">
        <w:rPr>
          <w:rFonts w:ascii="Arial" w:hAnsi="Arial" w:cs="Arial"/>
          <w:i/>
          <w:iCs/>
          <w:sz w:val="24"/>
          <w:szCs w:val="24"/>
        </w:rPr>
        <w:t>F</w:t>
      </w:r>
      <w:r>
        <w:rPr>
          <w:rFonts w:ascii="Arial" w:hAnsi="Arial" w:cs="Arial"/>
          <w:i/>
          <w:iCs/>
          <w:sz w:val="24"/>
          <w:szCs w:val="24"/>
        </w:rPr>
        <w:t xml:space="preserve">irma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Edufel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S.R.L para subsanar un problema con el SUNCA, dando su acuerdo dicha </w:t>
      </w:r>
      <w:r w:rsidR="00FE791F">
        <w:rPr>
          <w:rFonts w:ascii="Arial" w:hAnsi="Arial" w:cs="Arial"/>
          <w:i/>
          <w:iCs/>
          <w:sz w:val="24"/>
          <w:szCs w:val="24"/>
        </w:rPr>
        <w:t>F</w:t>
      </w:r>
      <w:r>
        <w:rPr>
          <w:rFonts w:ascii="Arial" w:hAnsi="Arial" w:cs="Arial"/>
          <w:i/>
          <w:iCs/>
          <w:sz w:val="24"/>
          <w:szCs w:val="24"/>
        </w:rPr>
        <w:t>irma”</w:t>
      </w:r>
      <w:r>
        <w:rPr>
          <w:rFonts w:ascii="Arial" w:hAnsi="Arial" w:cs="Arial"/>
          <w:sz w:val="24"/>
          <w:szCs w:val="24"/>
        </w:rPr>
        <w:t xml:space="preserve"> y dejando constancia de que la contratación cuenta con principio de ejecución, dado que se debe abonar a </w:t>
      </w:r>
      <w:proofErr w:type="spellStart"/>
      <w:r>
        <w:rPr>
          <w:rFonts w:ascii="Arial" w:hAnsi="Arial" w:cs="Arial"/>
          <w:sz w:val="24"/>
          <w:szCs w:val="24"/>
        </w:rPr>
        <w:t>Edufel</w:t>
      </w:r>
      <w:proofErr w:type="spellEnd"/>
      <w:r>
        <w:rPr>
          <w:rFonts w:ascii="Arial" w:hAnsi="Arial" w:cs="Arial"/>
          <w:sz w:val="24"/>
          <w:szCs w:val="24"/>
        </w:rPr>
        <w:t xml:space="preserve"> S.R.L</w:t>
      </w:r>
      <w:r w:rsidR="00FE79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la factura del mes de abril 2016, y por el </w:t>
      </w:r>
      <w:r w:rsidR="00E30C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2º “ insistir en el gasto, atento a las razones expuestas…” que refieren a su</w:t>
      </w:r>
      <w:r w:rsidR="00FE791F">
        <w:rPr>
          <w:rFonts w:ascii="Arial" w:hAnsi="Arial" w:cs="Arial"/>
          <w:sz w:val="24"/>
          <w:szCs w:val="24"/>
        </w:rPr>
        <w:t>bsanar un problema con el SUNCA</w:t>
      </w:r>
      <w:r>
        <w:rPr>
          <w:rFonts w:ascii="Arial" w:hAnsi="Arial" w:cs="Arial"/>
          <w:sz w:val="24"/>
          <w:szCs w:val="24"/>
        </w:rPr>
        <w:t>;</w:t>
      </w:r>
    </w:p>
    <w:p w:rsidR="00C970D5" w:rsidRDefault="00C970D5" w:rsidP="00E30C88">
      <w:pPr>
        <w:spacing w:after="0" w:line="360" w:lineRule="auto"/>
        <w:ind w:firstLine="2694"/>
        <w:jc w:val="both"/>
        <w:rPr>
          <w:rFonts w:ascii="Arial" w:hAnsi="Arial" w:cs="Arial"/>
          <w:i/>
          <w:iCs/>
          <w:sz w:val="24"/>
          <w:szCs w:val="24"/>
        </w:rPr>
      </w:pPr>
      <w:r w:rsidRPr="00E30C88">
        <w:rPr>
          <w:rFonts w:ascii="Arial" w:hAnsi="Arial" w:cs="Arial"/>
          <w:b/>
          <w:sz w:val="24"/>
          <w:szCs w:val="24"/>
        </w:rPr>
        <w:t>4</w:t>
      </w:r>
      <w:r w:rsidRPr="00E30C88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el Contador Delegado señaló con fecha 17.06.16, que la nueva contratación no responde a necesidades de servicio, sino a subsanar un problema con el SUNCA, y con fecha 30.06.16, Servicios Jurídicos informó que “</w:t>
      </w:r>
      <w:r>
        <w:rPr>
          <w:rFonts w:ascii="Arial" w:hAnsi="Arial" w:cs="Arial"/>
          <w:i/>
          <w:iCs/>
          <w:sz w:val="24"/>
          <w:szCs w:val="24"/>
        </w:rPr>
        <w:t>la conveniencia u oportunidad de la contratación, compartible o no, son consideraciones que escapan al control que se encomienda al Tribunal de Cuentas o sus Contadores Delegados”;</w:t>
      </w:r>
    </w:p>
    <w:p w:rsidR="00C970D5" w:rsidRDefault="00C970D5" w:rsidP="00E30C88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30C88">
        <w:rPr>
          <w:rFonts w:ascii="Arial" w:hAnsi="Arial" w:cs="Arial"/>
          <w:b/>
          <w:i/>
          <w:iCs/>
          <w:sz w:val="24"/>
          <w:szCs w:val="24"/>
        </w:rPr>
        <w:t>5</w:t>
      </w:r>
      <w:r w:rsidRPr="00E30C88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que, habiendo recibido una nota del Contador Delegado de fecha 11.07.16, el 02.08.16, este Tribunal solicitó la remisión de todas las actuaciones relacionadas con las Compras Directas N° 2700058300 y N°2700065500; </w:t>
      </w:r>
    </w:p>
    <w:p w:rsidR="00C970D5" w:rsidRDefault="00E30C88" w:rsidP="00E30C8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 w:rsidR="00C970D5">
        <w:rPr>
          <w:rFonts w:ascii="Arial" w:hAnsi="Arial" w:cs="Arial"/>
          <w:b/>
          <w:bCs/>
          <w:sz w:val="24"/>
          <w:szCs w:val="24"/>
        </w:rPr>
        <w:t xml:space="preserve">1) </w:t>
      </w:r>
      <w:r w:rsidR="00C970D5">
        <w:rPr>
          <w:rFonts w:ascii="Arial" w:hAnsi="Arial" w:cs="Arial"/>
          <w:sz w:val="24"/>
          <w:szCs w:val="24"/>
        </w:rPr>
        <w:t xml:space="preserve">que no se verificó la causal de excepción invocada, en tanto el </w:t>
      </w:r>
      <w:r>
        <w:rPr>
          <w:rFonts w:ascii="Arial" w:hAnsi="Arial" w:cs="Arial"/>
          <w:sz w:val="24"/>
          <w:szCs w:val="24"/>
        </w:rPr>
        <w:t>A</w:t>
      </w:r>
      <w:r w:rsidR="00C970D5">
        <w:rPr>
          <w:rFonts w:ascii="Arial" w:hAnsi="Arial" w:cs="Arial"/>
          <w:sz w:val="24"/>
          <w:szCs w:val="24"/>
        </w:rPr>
        <w:t xml:space="preserve">rtículo 33 </w:t>
      </w:r>
      <w:r>
        <w:rPr>
          <w:rFonts w:ascii="Arial" w:hAnsi="Arial" w:cs="Arial"/>
          <w:sz w:val="24"/>
          <w:szCs w:val="24"/>
        </w:rPr>
        <w:t>L</w:t>
      </w:r>
      <w:r w:rsidR="00C970D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teral C) N</w:t>
      </w:r>
      <w:r w:rsidR="00C970D5">
        <w:rPr>
          <w:rFonts w:ascii="Arial" w:hAnsi="Arial" w:cs="Arial"/>
          <w:sz w:val="24"/>
          <w:szCs w:val="24"/>
        </w:rPr>
        <w:t xml:space="preserve">umeral 22 del TOCAF aplica, por razones de buena administración, para la contratación de bienes o servicios, </w:t>
      </w:r>
      <w:r w:rsidR="00C970D5">
        <w:rPr>
          <w:rFonts w:ascii="Arial" w:hAnsi="Arial" w:cs="Arial"/>
          <w:sz w:val="24"/>
          <w:szCs w:val="24"/>
        </w:rPr>
        <w:lastRenderedPageBreak/>
        <w:t xml:space="preserve">cualquiera sea su modalidad, por parte de los </w:t>
      </w:r>
      <w:r w:rsidR="00D05874">
        <w:rPr>
          <w:rFonts w:ascii="Arial" w:hAnsi="Arial" w:cs="Arial"/>
          <w:sz w:val="24"/>
          <w:szCs w:val="24"/>
        </w:rPr>
        <w:t>E</w:t>
      </w:r>
      <w:r w:rsidR="00C970D5">
        <w:rPr>
          <w:rFonts w:ascii="Arial" w:hAnsi="Arial" w:cs="Arial"/>
          <w:sz w:val="24"/>
          <w:szCs w:val="24"/>
        </w:rPr>
        <w:t xml:space="preserve">ntes </w:t>
      </w:r>
      <w:r w:rsidR="00D05874">
        <w:rPr>
          <w:rFonts w:ascii="Arial" w:hAnsi="Arial" w:cs="Arial"/>
          <w:sz w:val="24"/>
          <w:szCs w:val="24"/>
        </w:rPr>
        <w:t>A</w:t>
      </w:r>
      <w:r w:rsidR="00C970D5">
        <w:rPr>
          <w:rFonts w:ascii="Arial" w:hAnsi="Arial" w:cs="Arial"/>
          <w:sz w:val="24"/>
          <w:szCs w:val="24"/>
        </w:rPr>
        <w:t xml:space="preserve">utónomos y </w:t>
      </w:r>
      <w:r w:rsidR="00D05874">
        <w:rPr>
          <w:rFonts w:ascii="Arial" w:hAnsi="Arial" w:cs="Arial"/>
          <w:sz w:val="24"/>
          <w:szCs w:val="24"/>
        </w:rPr>
        <w:t>S</w:t>
      </w:r>
      <w:r w:rsidR="00C970D5">
        <w:rPr>
          <w:rFonts w:ascii="Arial" w:hAnsi="Arial" w:cs="Arial"/>
          <w:sz w:val="24"/>
          <w:szCs w:val="24"/>
        </w:rPr>
        <w:t xml:space="preserve">ervicios </w:t>
      </w:r>
      <w:r w:rsidR="00D05874">
        <w:rPr>
          <w:rFonts w:ascii="Arial" w:hAnsi="Arial" w:cs="Arial"/>
          <w:sz w:val="24"/>
          <w:szCs w:val="24"/>
        </w:rPr>
        <w:t>D</w:t>
      </w:r>
      <w:r w:rsidR="00C970D5">
        <w:rPr>
          <w:rFonts w:ascii="Arial" w:hAnsi="Arial" w:cs="Arial"/>
          <w:sz w:val="24"/>
          <w:szCs w:val="24"/>
        </w:rPr>
        <w:t>escentralizados integrantes del dominio comercial e industrial del Estado, destinada a servicios que se encuentren de hecho o de derecho en regímenes de libre competencia. Sin embargo, las tareas de corte de árboles, tala, leña, carga y descarga de ésta, reparación de alambrados y mantenimiento de áreas verdes en la Planta Portland Minas, no se encuentran comprendidas dentro de los cometidos de la Administración Nacional de Combustibles</w:t>
      </w:r>
      <w:r w:rsidR="00D05874">
        <w:rPr>
          <w:rFonts w:ascii="Arial" w:hAnsi="Arial" w:cs="Arial"/>
          <w:sz w:val="24"/>
          <w:szCs w:val="24"/>
        </w:rPr>
        <w:t>,</w:t>
      </w:r>
      <w:r w:rsidR="00C970D5">
        <w:rPr>
          <w:rFonts w:ascii="Arial" w:hAnsi="Arial" w:cs="Arial"/>
          <w:sz w:val="24"/>
          <w:szCs w:val="24"/>
        </w:rPr>
        <w:t xml:space="preserve"> Alcohol y Portland, ni constituyen un servicio desarrollado por ésta que se encuentre en régimen de libre competencia;</w:t>
      </w:r>
    </w:p>
    <w:p w:rsidR="00C970D5" w:rsidRDefault="00E30C88" w:rsidP="0091370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C970D5">
        <w:rPr>
          <w:rFonts w:ascii="Arial" w:hAnsi="Arial" w:cs="Arial"/>
          <w:b/>
          <w:bCs/>
          <w:sz w:val="24"/>
          <w:szCs w:val="24"/>
        </w:rPr>
        <w:t>)</w:t>
      </w:r>
      <w:r w:rsidR="00C970D5">
        <w:rPr>
          <w:rFonts w:ascii="Arial" w:hAnsi="Arial" w:cs="Arial"/>
          <w:sz w:val="24"/>
          <w:szCs w:val="24"/>
        </w:rPr>
        <w:t xml:space="preserve"> que no se comparte lo expresado por Servicios Jurídicos con fecha 30.06.16, puesto que el fundamento esgrimido por </w:t>
      </w:r>
      <w:r w:rsidR="00D05874">
        <w:rPr>
          <w:rFonts w:ascii="Arial" w:hAnsi="Arial" w:cs="Arial"/>
          <w:sz w:val="24"/>
          <w:szCs w:val="24"/>
        </w:rPr>
        <w:t xml:space="preserve">la </w:t>
      </w:r>
      <w:r w:rsidR="00C970D5">
        <w:rPr>
          <w:rFonts w:ascii="Arial" w:hAnsi="Arial" w:cs="Arial"/>
          <w:sz w:val="24"/>
          <w:szCs w:val="24"/>
        </w:rPr>
        <w:t>Administración referente a que “</w:t>
      </w:r>
      <w:r w:rsidR="00C970D5">
        <w:rPr>
          <w:rFonts w:ascii="Arial" w:hAnsi="Arial" w:cs="Arial"/>
          <w:i/>
          <w:iCs/>
          <w:sz w:val="24"/>
          <w:szCs w:val="24"/>
        </w:rPr>
        <w:t xml:space="preserve">se consideró incorporar a los peones a la contratación de la </w:t>
      </w:r>
      <w:r w:rsidR="00D05874">
        <w:rPr>
          <w:rFonts w:ascii="Arial" w:hAnsi="Arial" w:cs="Arial"/>
          <w:i/>
          <w:iCs/>
          <w:sz w:val="24"/>
          <w:szCs w:val="24"/>
        </w:rPr>
        <w:t>F</w:t>
      </w:r>
      <w:r w:rsidR="00C970D5">
        <w:rPr>
          <w:rFonts w:ascii="Arial" w:hAnsi="Arial" w:cs="Arial"/>
          <w:i/>
          <w:iCs/>
          <w:sz w:val="24"/>
          <w:szCs w:val="24"/>
        </w:rPr>
        <w:t xml:space="preserve">irma </w:t>
      </w:r>
      <w:proofErr w:type="spellStart"/>
      <w:r w:rsidR="00C970D5">
        <w:rPr>
          <w:rFonts w:ascii="Arial" w:hAnsi="Arial" w:cs="Arial"/>
          <w:i/>
          <w:iCs/>
          <w:sz w:val="24"/>
          <w:szCs w:val="24"/>
        </w:rPr>
        <w:t>Edufel</w:t>
      </w:r>
      <w:proofErr w:type="spellEnd"/>
      <w:r w:rsidR="00C970D5">
        <w:rPr>
          <w:rFonts w:ascii="Arial" w:hAnsi="Arial" w:cs="Arial"/>
          <w:i/>
          <w:iCs/>
          <w:sz w:val="24"/>
          <w:szCs w:val="24"/>
        </w:rPr>
        <w:t xml:space="preserve"> S.R.L para subsanar un problema con el SUNCA”, no encuadra en lo dispuesto por </w:t>
      </w:r>
      <w:r>
        <w:rPr>
          <w:rFonts w:ascii="Arial" w:hAnsi="Arial" w:cs="Arial"/>
          <w:sz w:val="24"/>
          <w:szCs w:val="24"/>
        </w:rPr>
        <w:t xml:space="preserve"> el A</w:t>
      </w:r>
      <w:r w:rsidR="00C970D5">
        <w:rPr>
          <w:rFonts w:ascii="Arial" w:hAnsi="Arial" w:cs="Arial"/>
          <w:sz w:val="24"/>
          <w:szCs w:val="24"/>
        </w:rPr>
        <w:t>rtículo 68 del TOC</w:t>
      </w:r>
      <w:r w:rsidR="00550301">
        <w:rPr>
          <w:rFonts w:ascii="Arial" w:hAnsi="Arial" w:cs="Arial"/>
          <w:sz w:val="24"/>
          <w:szCs w:val="24"/>
        </w:rPr>
        <w:t xml:space="preserve">AF, en cuanto de acuerdo </w:t>
      </w:r>
      <w:r w:rsidR="00D05874">
        <w:rPr>
          <w:rFonts w:ascii="Arial" w:hAnsi="Arial" w:cs="Arial"/>
          <w:sz w:val="24"/>
          <w:szCs w:val="24"/>
        </w:rPr>
        <w:t>con</w:t>
      </w:r>
      <w:r w:rsidR="00550301">
        <w:rPr>
          <w:rFonts w:ascii="Arial" w:hAnsi="Arial" w:cs="Arial"/>
          <w:sz w:val="24"/>
          <w:szCs w:val="24"/>
        </w:rPr>
        <w:t xml:space="preserve"> ese </w:t>
      </w:r>
      <w:r w:rsidR="00D05874">
        <w:rPr>
          <w:rFonts w:ascii="Arial" w:hAnsi="Arial" w:cs="Arial"/>
          <w:sz w:val="24"/>
          <w:szCs w:val="24"/>
        </w:rPr>
        <w:t>A</w:t>
      </w:r>
      <w:r w:rsidR="00913708">
        <w:rPr>
          <w:rFonts w:ascii="Arial" w:hAnsi="Arial" w:cs="Arial"/>
          <w:sz w:val="24"/>
          <w:szCs w:val="24"/>
        </w:rPr>
        <w:t>rtí</w:t>
      </w:r>
      <w:r w:rsidR="00C970D5">
        <w:rPr>
          <w:rFonts w:ascii="Arial" w:hAnsi="Arial" w:cs="Arial"/>
          <w:sz w:val="24"/>
          <w:szCs w:val="24"/>
        </w:rPr>
        <w:t xml:space="preserve">culo, la adjudicación debe realizarse en favor de la oferta más conveniente a los intereses de la Administración Pública y las necesidades del servicio; </w:t>
      </w:r>
    </w:p>
    <w:p w:rsidR="00C970D5" w:rsidRDefault="00E30C88" w:rsidP="0091370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C970D5">
        <w:rPr>
          <w:rFonts w:ascii="Arial" w:hAnsi="Arial" w:cs="Arial"/>
          <w:b/>
          <w:bCs/>
          <w:sz w:val="24"/>
          <w:szCs w:val="24"/>
        </w:rPr>
        <w:t>)</w:t>
      </w:r>
      <w:r w:rsidR="00C970D5">
        <w:rPr>
          <w:rFonts w:ascii="Arial" w:hAnsi="Arial" w:cs="Arial"/>
          <w:sz w:val="24"/>
          <w:szCs w:val="24"/>
        </w:rPr>
        <w:t xml:space="preserve"> que asimismo, en la Resolución GDA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C970D5">
        <w:rPr>
          <w:rFonts w:ascii="Arial" w:hAnsi="Arial" w:cs="Arial"/>
          <w:sz w:val="24"/>
          <w:szCs w:val="24"/>
        </w:rPr>
        <w:t xml:space="preserve">N° 181/2016,  se dejó expresa constancia de que la contratación cuenta con principio de ejecución, dado que se debe abonar a la </w:t>
      </w:r>
      <w:r w:rsidR="00D05874">
        <w:rPr>
          <w:rFonts w:ascii="Arial" w:hAnsi="Arial" w:cs="Arial"/>
          <w:sz w:val="24"/>
          <w:szCs w:val="24"/>
        </w:rPr>
        <w:t>F</w:t>
      </w:r>
      <w:r w:rsidR="00C970D5">
        <w:rPr>
          <w:rFonts w:ascii="Arial" w:hAnsi="Arial" w:cs="Arial"/>
          <w:sz w:val="24"/>
          <w:szCs w:val="24"/>
        </w:rPr>
        <w:t xml:space="preserve">irma la factura del mes de abril de 2016, contraviniéndose por ello el contralor de legalidad preventivo </w:t>
      </w:r>
      <w:r w:rsidR="00D05874">
        <w:rPr>
          <w:rFonts w:ascii="Arial" w:hAnsi="Arial" w:cs="Arial"/>
          <w:sz w:val="24"/>
          <w:szCs w:val="24"/>
        </w:rPr>
        <w:t>que compete a este Tribunal</w:t>
      </w:r>
      <w:r>
        <w:rPr>
          <w:rFonts w:ascii="Arial" w:hAnsi="Arial" w:cs="Arial"/>
          <w:sz w:val="24"/>
          <w:szCs w:val="24"/>
        </w:rPr>
        <w:t xml:space="preserve"> (Artículo 211 L</w:t>
      </w:r>
      <w:r w:rsidR="00C970D5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>eral</w:t>
      </w:r>
      <w:r w:rsidR="00C970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C970D5">
        <w:rPr>
          <w:rFonts w:ascii="Arial" w:hAnsi="Arial" w:cs="Arial"/>
          <w:sz w:val="24"/>
          <w:szCs w:val="24"/>
        </w:rPr>
        <w:t>) de la Constitución de la República);</w:t>
      </w:r>
    </w:p>
    <w:p w:rsidR="00C970D5" w:rsidRDefault="00E30C88" w:rsidP="00913708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C970D5">
        <w:rPr>
          <w:rFonts w:ascii="Arial" w:hAnsi="Arial" w:cs="Arial"/>
          <w:b/>
          <w:bCs/>
          <w:sz w:val="24"/>
          <w:szCs w:val="24"/>
        </w:rPr>
        <w:t xml:space="preserve">) </w:t>
      </w:r>
      <w:r w:rsidR="00D05874">
        <w:rPr>
          <w:rFonts w:ascii="Arial" w:hAnsi="Arial" w:cs="Arial"/>
          <w:sz w:val="24"/>
          <w:szCs w:val="24"/>
        </w:rPr>
        <w:t xml:space="preserve">que en esta etapa </w:t>
      </w:r>
      <w:r w:rsidR="00C970D5">
        <w:rPr>
          <w:rFonts w:ascii="Arial" w:hAnsi="Arial" w:cs="Arial"/>
          <w:sz w:val="24"/>
          <w:szCs w:val="24"/>
        </w:rPr>
        <w:t>no corresponde la insistencia del gasto (</w:t>
      </w:r>
      <w:r w:rsidR="00D05874">
        <w:rPr>
          <w:rFonts w:ascii="Arial" w:hAnsi="Arial" w:cs="Arial"/>
          <w:sz w:val="24"/>
          <w:szCs w:val="24"/>
        </w:rPr>
        <w:t>R</w:t>
      </w:r>
      <w:r w:rsidR="00C970D5">
        <w:rPr>
          <w:rFonts w:ascii="Arial" w:hAnsi="Arial" w:cs="Arial"/>
          <w:sz w:val="24"/>
          <w:szCs w:val="24"/>
        </w:rPr>
        <w:t>esultando 3)</w:t>
      </w:r>
      <w:r>
        <w:rPr>
          <w:rFonts w:ascii="Arial" w:hAnsi="Arial" w:cs="Arial"/>
          <w:sz w:val="24"/>
          <w:szCs w:val="24"/>
        </w:rPr>
        <w:t xml:space="preserve"> </w:t>
      </w:r>
      <w:r w:rsidR="00C970D5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>endo que  el mismo no ha sido aú</w:t>
      </w:r>
      <w:r w:rsidR="00C970D5">
        <w:rPr>
          <w:rFonts w:ascii="Arial" w:hAnsi="Arial" w:cs="Arial"/>
          <w:sz w:val="24"/>
          <w:szCs w:val="24"/>
        </w:rPr>
        <w:t xml:space="preserve">n objeto de observación por parte de este Tribunal; </w:t>
      </w:r>
    </w:p>
    <w:p w:rsidR="00C970D5" w:rsidRDefault="00C970D5" w:rsidP="00E30C8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precedentemente;</w:t>
      </w:r>
    </w:p>
    <w:p w:rsidR="00550301" w:rsidRDefault="00550301" w:rsidP="00E30C88">
      <w:pPr>
        <w:pStyle w:val="Ttulo1"/>
        <w:jc w:val="center"/>
      </w:pPr>
    </w:p>
    <w:p w:rsidR="00550301" w:rsidRDefault="00550301" w:rsidP="00E30C88">
      <w:pPr>
        <w:pStyle w:val="Ttulo1"/>
        <w:jc w:val="center"/>
      </w:pPr>
    </w:p>
    <w:p w:rsidR="00C970D5" w:rsidRDefault="00E30C88" w:rsidP="00E30C88">
      <w:pPr>
        <w:pStyle w:val="Ttulo1"/>
        <w:jc w:val="center"/>
      </w:pPr>
      <w:r>
        <w:t>EL TRIBUNAL ACUERDA</w:t>
      </w:r>
    </w:p>
    <w:p w:rsidR="00C970D5" w:rsidRDefault="00C970D5" w:rsidP="00720D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1)</w:t>
      </w:r>
      <w:r>
        <w:rPr>
          <w:rFonts w:ascii="Arial" w:hAnsi="Arial" w:cs="Arial"/>
          <w:sz w:val="24"/>
          <w:szCs w:val="24"/>
          <w:lang w:val="es-MX"/>
        </w:rPr>
        <w:t xml:space="preserve"> Observar el gasto en razón de lo e</w:t>
      </w:r>
      <w:r w:rsidR="00913708">
        <w:rPr>
          <w:rFonts w:ascii="Arial" w:hAnsi="Arial" w:cs="Arial"/>
          <w:sz w:val="24"/>
          <w:szCs w:val="24"/>
          <w:lang w:val="es-MX"/>
        </w:rPr>
        <w:t>xpre</w:t>
      </w:r>
      <w:r w:rsidR="002755CC">
        <w:rPr>
          <w:rFonts w:ascii="Arial" w:hAnsi="Arial" w:cs="Arial"/>
          <w:sz w:val="24"/>
          <w:szCs w:val="24"/>
          <w:lang w:val="es-MX"/>
        </w:rPr>
        <w:t xml:space="preserve">sado en los  Considerandos 1) y </w:t>
      </w:r>
      <w:r w:rsidR="00913708">
        <w:rPr>
          <w:rFonts w:ascii="Arial" w:hAnsi="Arial" w:cs="Arial"/>
          <w:sz w:val="24"/>
          <w:szCs w:val="24"/>
          <w:lang w:val="es-MX"/>
        </w:rPr>
        <w:t>3</w:t>
      </w:r>
      <w:r>
        <w:rPr>
          <w:rFonts w:ascii="Arial" w:hAnsi="Arial" w:cs="Arial"/>
          <w:sz w:val="24"/>
          <w:szCs w:val="24"/>
          <w:lang w:val="es-MX"/>
        </w:rPr>
        <w:t>)</w:t>
      </w:r>
      <w:r w:rsidR="00CF3C78">
        <w:rPr>
          <w:rFonts w:ascii="Arial" w:hAnsi="Arial" w:cs="Arial"/>
          <w:sz w:val="24"/>
          <w:szCs w:val="24"/>
          <w:lang w:val="es-MX"/>
        </w:rPr>
        <w:t>;</w:t>
      </w:r>
    </w:p>
    <w:p w:rsidR="00913708" w:rsidRDefault="00C970D5" w:rsidP="00720D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2)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913708">
        <w:rPr>
          <w:rFonts w:ascii="Arial" w:hAnsi="Arial" w:cs="Arial"/>
          <w:sz w:val="24"/>
          <w:szCs w:val="24"/>
          <w:lang w:val="es-MX"/>
        </w:rPr>
        <w:t>Téngase presente lo expresado en el Considerando 4)</w:t>
      </w:r>
      <w:r w:rsidR="00CF3C78">
        <w:rPr>
          <w:rFonts w:ascii="Arial" w:hAnsi="Arial" w:cs="Arial"/>
          <w:sz w:val="24"/>
          <w:szCs w:val="24"/>
          <w:lang w:val="es-MX"/>
        </w:rPr>
        <w:t>;</w:t>
      </w:r>
      <w:bookmarkStart w:id="0" w:name="_GoBack"/>
      <w:bookmarkEnd w:id="0"/>
    </w:p>
    <w:p w:rsidR="00C970D5" w:rsidRDefault="00913708" w:rsidP="00720D5A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3) </w:t>
      </w:r>
      <w:r w:rsidR="00C970D5">
        <w:rPr>
          <w:rFonts w:ascii="Arial" w:hAnsi="Arial" w:cs="Arial"/>
          <w:sz w:val="24"/>
          <w:szCs w:val="24"/>
          <w:lang w:val="es-MX"/>
        </w:rPr>
        <w:t>Devolver las actuaciones.</w:t>
      </w:r>
    </w:p>
    <w:p w:rsidR="00550301" w:rsidRDefault="00550301" w:rsidP="00720D5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C970D5" w:rsidRPr="00720D5A" w:rsidRDefault="00720D5A" w:rsidP="00720D5A">
      <w:pPr>
        <w:spacing w:after="0"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720D5A">
        <w:rPr>
          <w:rFonts w:ascii="Arial" w:hAnsi="Arial" w:cs="Arial"/>
          <w:sz w:val="20"/>
          <w:szCs w:val="20"/>
          <w:lang w:val="es-MX"/>
        </w:rPr>
        <w:t>CLC</w:t>
      </w:r>
    </w:p>
    <w:sectPr w:rsidR="00C970D5" w:rsidRPr="00720D5A" w:rsidSect="00A55032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C88" w:rsidRDefault="00E30C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30C88" w:rsidRDefault="00E30C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88" w:rsidRDefault="00E30C88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C88" w:rsidRDefault="00E30C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E30C88" w:rsidRDefault="00E30C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C657A"/>
    <w:multiLevelType w:val="hybridMultilevel"/>
    <w:tmpl w:val="A8FE9BBE"/>
    <w:lvl w:ilvl="0" w:tplc="C05AC6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">
    <w:nsid w:val="687C1A5C"/>
    <w:multiLevelType w:val="hybridMultilevel"/>
    <w:tmpl w:val="CDB428B8"/>
    <w:lvl w:ilvl="0" w:tplc="8D428F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0D5"/>
    <w:rsid w:val="0018036D"/>
    <w:rsid w:val="002755CC"/>
    <w:rsid w:val="00550301"/>
    <w:rsid w:val="006E1279"/>
    <w:rsid w:val="00720D5A"/>
    <w:rsid w:val="007565AE"/>
    <w:rsid w:val="007C076B"/>
    <w:rsid w:val="0084706C"/>
    <w:rsid w:val="00913708"/>
    <w:rsid w:val="00A55032"/>
    <w:rsid w:val="00C233FF"/>
    <w:rsid w:val="00C970D5"/>
    <w:rsid w:val="00CF3C78"/>
    <w:rsid w:val="00D05874"/>
    <w:rsid w:val="00E30C88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spacing w:after="0" w:line="360" w:lineRule="auto"/>
      <w:jc w:val="both"/>
      <w:outlineLvl w:val="0"/>
    </w:pPr>
    <w:rPr>
      <w:rFonts w:ascii="Arial" w:hAnsi="Arial" w:cs="Arial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Arial" w:hAnsi="Arial" w:cs="Arial"/>
      <w:b/>
      <w:bCs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Sangradetextonormal">
    <w:name w:val="Body Text Indent"/>
    <w:basedOn w:val="Normal"/>
    <w:link w:val="SangradetextonormalCar"/>
    <w:uiPriority w:val="99"/>
    <w:pPr>
      <w:spacing w:after="120" w:line="240" w:lineRule="auto"/>
      <w:ind w:left="283"/>
    </w:pPr>
    <w:rPr>
      <w:rFonts w:ascii="Arial" w:hAnsi="Arial" w:cs="Arial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8718-C99B-4B3B-9DC5-0F54B661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2016-17-1-0004952</vt:lpstr>
    </vt:vector>
  </TitlesOfParts>
  <Company>Tribunal de Cuentas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2016-17-1-0004952</dc:title>
  <dc:creator>MARIA ALEJANDRA ALVAREZ LOPEZ</dc:creator>
  <cp:lastModifiedBy>Tribunal1</cp:lastModifiedBy>
  <cp:revision>15</cp:revision>
  <cp:lastPrinted>2016-09-28T20:42:00Z</cp:lastPrinted>
  <dcterms:created xsi:type="dcterms:W3CDTF">2016-09-28T13:52:00Z</dcterms:created>
  <dcterms:modified xsi:type="dcterms:W3CDTF">2016-09-28T20:42:00Z</dcterms:modified>
</cp:coreProperties>
</file>