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D8" w:rsidRPr="00786EEB" w:rsidRDefault="00B56AD8" w:rsidP="007833D4">
      <w:pPr>
        <w:tabs>
          <w:tab w:val="center" w:pos="4253"/>
        </w:tabs>
        <w:jc w:val="right"/>
        <w:rPr>
          <w:b/>
          <w:sz w:val="28"/>
          <w:szCs w:val="28"/>
          <w:lang w:val="es-ES_tradnl"/>
        </w:rPr>
      </w:pPr>
      <w:bookmarkStart w:id="0" w:name="_GoBack"/>
      <w:bookmarkEnd w:id="0"/>
      <w:r w:rsidRPr="00786EEB">
        <w:rPr>
          <w:b/>
          <w:sz w:val="28"/>
          <w:szCs w:val="28"/>
          <w:lang w:val="es-ES_tradnl"/>
        </w:rPr>
        <w:t xml:space="preserve">RES. </w:t>
      </w:r>
      <w:r w:rsidR="009D2FE8">
        <w:rPr>
          <w:b/>
          <w:sz w:val="28"/>
          <w:szCs w:val="28"/>
          <w:lang w:val="es-ES_tradnl"/>
        </w:rPr>
        <w:t>3269</w:t>
      </w:r>
      <w:r w:rsidRPr="00786EEB">
        <w:rPr>
          <w:b/>
          <w:sz w:val="28"/>
          <w:szCs w:val="28"/>
          <w:lang w:val="es-ES_tradnl"/>
        </w:rPr>
        <w:t>/16</w:t>
      </w:r>
    </w:p>
    <w:p w:rsidR="00B56AD8" w:rsidRDefault="00B56AD8" w:rsidP="00EA4011">
      <w:pPr>
        <w:tabs>
          <w:tab w:val="center" w:pos="4253"/>
        </w:tabs>
        <w:jc w:val="right"/>
        <w:rPr>
          <w:b/>
          <w:lang w:val="es-ES_tradnl"/>
        </w:rPr>
      </w:pPr>
    </w:p>
    <w:p w:rsidR="00B56AD8" w:rsidRPr="00762B34" w:rsidRDefault="00B56AD8">
      <w:pPr>
        <w:tabs>
          <w:tab w:val="center" w:pos="4253"/>
        </w:tabs>
        <w:jc w:val="center"/>
        <w:rPr>
          <w:b/>
          <w:lang w:val="es-ES_tradnl"/>
        </w:rPr>
      </w:pPr>
      <w:r w:rsidRPr="00762B34">
        <w:rPr>
          <w:b/>
          <w:lang w:val="es-ES_tradnl"/>
        </w:rPr>
        <w:t>RESOLUCION ADOPTADA POR EL</w:t>
      </w:r>
    </w:p>
    <w:p w:rsidR="00B56AD8" w:rsidRPr="00762B34" w:rsidRDefault="00B56AD8">
      <w:pPr>
        <w:tabs>
          <w:tab w:val="left" w:pos="-720"/>
        </w:tabs>
        <w:jc w:val="center"/>
        <w:rPr>
          <w:b/>
          <w:lang w:val="es-ES_tradnl"/>
        </w:rPr>
      </w:pPr>
    </w:p>
    <w:p w:rsidR="00B56AD8" w:rsidRPr="00762B34" w:rsidRDefault="00B56AD8">
      <w:pPr>
        <w:tabs>
          <w:tab w:val="center" w:pos="4253"/>
        </w:tabs>
        <w:jc w:val="center"/>
        <w:rPr>
          <w:b/>
          <w:lang w:val="es-ES_tradnl"/>
        </w:rPr>
      </w:pPr>
      <w:r w:rsidRPr="00762B34">
        <w:rPr>
          <w:b/>
          <w:lang w:val="es-ES_tradnl"/>
        </w:rPr>
        <w:t>TRIBUNAL DE CUENTAS</w:t>
      </w:r>
    </w:p>
    <w:p w:rsidR="00B56AD8" w:rsidRPr="00762B34" w:rsidRDefault="00B56AD8">
      <w:pPr>
        <w:tabs>
          <w:tab w:val="left" w:pos="-720"/>
        </w:tabs>
        <w:jc w:val="center"/>
        <w:rPr>
          <w:b/>
          <w:lang w:val="es-ES_tradnl"/>
        </w:rPr>
      </w:pPr>
    </w:p>
    <w:p w:rsidR="00B56AD8" w:rsidRPr="00762B34" w:rsidRDefault="00B56AD8">
      <w:pPr>
        <w:tabs>
          <w:tab w:val="center" w:pos="4253"/>
        </w:tabs>
        <w:jc w:val="center"/>
        <w:rPr>
          <w:b/>
          <w:lang w:val="es-ES_tradnl"/>
        </w:rPr>
      </w:pPr>
      <w:r w:rsidRPr="00762B34">
        <w:rPr>
          <w:b/>
          <w:lang w:val="es-ES_tradnl"/>
        </w:rPr>
        <w:t xml:space="preserve">EN SESION DE FECHA </w:t>
      </w:r>
      <w:r>
        <w:rPr>
          <w:rFonts w:ascii="Helvetica" w:hAnsi="Helvetica"/>
          <w:b/>
          <w:lang w:val="es-ES_tradnl"/>
        </w:rPr>
        <w:t>14 DE SETIEMBRE DE 2016</w:t>
      </w:r>
    </w:p>
    <w:p w:rsidR="00B56AD8" w:rsidRPr="00762B34" w:rsidRDefault="00B56AD8">
      <w:pPr>
        <w:tabs>
          <w:tab w:val="center" w:pos="4253"/>
        </w:tabs>
        <w:jc w:val="center"/>
        <w:rPr>
          <w:b/>
          <w:lang w:val="es-ES_tradnl"/>
        </w:rPr>
      </w:pPr>
    </w:p>
    <w:p w:rsidR="00B56AD8" w:rsidRPr="004D2343" w:rsidRDefault="00B56AD8">
      <w:pPr>
        <w:tabs>
          <w:tab w:val="center" w:pos="4253"/>
        </w:tabs>
        <w:jc w:val="center"/>
        <w:rPr>
          <w:b/>
          <w:lang w:val="es-UY"/>
        </w:rPr>
      </w:pPr>
      <w:r w:rsidRPr="004D2343">
        <w:rPr>
          <w:b/>
          <w:lang w:val="es-UY"/>
        </w:rPr>
        <w:t>(E. E. Nº</w:t>
      </w:r>
      <w:r w:rsidR="009D2FE8" w:rsidRPr="00514C32">
        <w:rPr>
          <w:b/>
          <w:bCs/>
        </w:rPr>
        <w:t xml:space="preserve"> </w:t>
      </w:r>
      <w:r w:rsidR="009D2FE8">
        <w:rPr>
          <w:b/>
        </w:rPr>
        <w:t>2016</w:t>
      </w:r>
      <w:r w:rsidR="009D2FE8" w:rsidRPr="00514C32">
        <w:rPr>
          <w:b/>
        </w:rPr>
        <w:t>-17-1-000</w:t>
      </w:r>
      <w:r w:rsidR="009D2FE8">
        <w:rPr>
          <w:b/>
        </w:rPr>
        <w:t>4397</w:t>
      </w:r>
      <w:r w:rsidRPr="004D2343">
        <w:rPr>
          <w:b/>
          <w:lang w:val="es-UY"/>
        </w:rPr>
        <w:t xml:space="preserve">, </w:t>
      </w:r>
      <w:proofErr w:type="spellStart"/>
      <w:r w:rsidRPr="004D2343">
        <w:rPr>
          <w:b/>
          <w:lang w:val="es-UY"/>
        </w:rPr>
        <w:t>Ent</w:t>
      </w:r>
      <w:proofErr w:type="spellEnd"/>
      <w:r w:rsidRPr="004D2343">
        <w:rPr>
          <w:b/>
          <w:lang w:val="es-UY"/>
        </w:rPr>
        <w:t>. N°</w:t>
      </w:r>
      <w:r w:rsidR="00EA4011">
        <w:rPr>
          <w:b/>
          <w:lang w:val="es-UY"/>
        </w:rPr>
        <w:t xml:space="preserve"> </w:t>
      </w:r>
      <w:r w:rsidR="009D2FE8">
        <w:rPr>
          <w:b/>
          <w:bCs/>
        </w:rPr>
        <w:t>3345/16</w:t>
      </w:r>
      <w:r w:rsidRPr="004D2343">
        <w:rPr>
          <w:b/>
          <w:lang w:val="es-UY"/>
        </w:rPr>
        <w:t>)</w:t>
      </w:r>
    </w:p>
    <w:p w:rsidR="00B56AD8" w:rsidRPr="004D2343" w:rsidRDefault="00B56AD8">
      <w:pPr>
        <w:tabs>
          <w:tab w:val="center" w:pos="4253"/>
        </w:tabs>
        <w:jc w:val="center"/>
        <w:rPr>
          <w:rFonts w:ascii="Helvetica" w:hAnsi="Helvetica"/>
          <w:b/>
          <w:lang w:val="es-UY"/>
        </w:rPr>
      </w:pPr>
    </w:p>
    <w:p w:rsidR="000A7E49" w:rsidRDefault="000A7E49" w:rsidP="000A7E49">
      <w:pPr>
        <w:spacing w:line="360" w:lineRule="auto"/>
        <w:jc w:val="both"/>
      </w:pPr>
    </w:p>
    <w:p w:rsidR="000A7E49" w:rsidRDefault="000A7E49" w:rsidP="009D2FE8">
      <w:pPr>
        <w:spacing w:line="360" w:lineRule="auto"/>
        <w:ind w:firstLine="851"/>
        <w:jc w:val="both"/>
      </w:pPr>
      <w:r>
        <w:rPr>
          <w:b/>
        </w:rPr>
        <w:t>VISTO:</w:t>
      </w:r>
      <w:r>
        <w:t xml:space="preserve"> la Rendición de Cuentas y Balance de Ejecución Presupuestal de la Junta Departamental de</w:t>
      </w:r>
      <w:r w:rsidR="003D3011">
        <w:t xml:space="preserve"> </w:t>
      </w:r>
      <w:r w:rsidR="00643603">
        <w:t xml:space="preserve">Cerro Largo </w:t>
      </w:r>
      <w:r w:rsidR="00B35450">
        <w:t>correspondiente al Ej</w:t>
      </w:r>
      <w:r>
        <w:t>ercicio 201</w:t>
      </w:r>
      <w:r w:rsidR="00B35450">
        <w:t>5</w:t>
      </w:r>
      <w:r w:rsidR="00EA4011">
        <w:t>;</w:t>
      </w:r>
    </w:p>
    <w:p w:rsidR="000A7E49" w:rsidRDefault="000A7E49" w:rsidP="009D2FE8">
      <w:pPr>
        <w:spacing w:line="360" w:lineRule="auto"/>
        <w:ind w:firstLine="851"/>
        <w:jc w:val="both"/>
        <w:rPr>
          <w:rFonts w:eastAsia="Arial"/>
          <w:b/>
        </w:rPr>
      </w:pPr>
      <w:r>
        <w:rPr>
          <w:b/>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0A7E49" w:rsidRDefault="000A7E49" w:rsidP="009D2FE8">
      <w:pPr>
        <w:spacing w:line="360" w:lineRule="auto"/>
        <w:ind w:firstLine="851"/>
        <w:jc w:val="both"/>
        <w:rPr>
          <w:b/>
        </w:rPr>
      </w:pPr>
      <w:r>
        <w:rPr>
          <w:b/>
        </w:rPr>
        <w:t xml:space="preserve">CONSIDERANDO: </w:t>
      </w:r>
      <w:r>
        <w:t>que las conclusiones y evidencias obtenidas son las que se expresan en el Informe de Auditoría, que incluye Dictamen e Informe a la Administración;</w:t>
      </w:r>
    </w:p>
    <w:p w:rsidR="000A7E49" w:rsidRDefault="000A7E49" w:rsidP="009D2FE8">
      <w:pPr>
        <w:spacing w:line="360" w:lineRule="auto"/>
        <w:ind w:firstLine="851"/>
        <w:jc w:val="both"/>
        <w:rPr>
          <w:b/>
          <w:bCs/>
        </w:rPr>
      </w:pPr>
      <w:r>
        <w:rPr>
          <w:b/>
        </w:rPr>
        <w:t xml:space="preserve">ATENTO: </w:t>
      </w:r>
      <w:r w:rsidR="00B35450">
        <w:t>a lo dispuesto por el Artículo 211 Literal</w:t>
      </w:r>
      <w:r>
        <w:t xml:space="preserve"> C) de la Constitución de la República;</w:t>
      </w:r>
    </w:p>
    <w:p w:rsidR="000A7E49" w:rsidRDefault="000A7E49" w:rsidP="000A7E49">
      <w:pPr>
        <w:spacing w:line="360" w:lineRule="auto"/>
        <w:jc w:val="center"/>
      </w:pPr>
      <w:r>
        <w:rPr>
          <w:b/>
          <w:bCs/>
        </w:rPr>
        <w:t>EL TRIBUNAL ACUERDA</w:t>
      </w:r>
    </w:p>
    <w:p w:rsidR="000A7E49" w:rsidRDefault="000A7E49" w:rsidP="000A7E49">
      <w:pPr>
        <w:numPr>
          <w:ilvl w:val="0"/>
          <w:numId w:val="1"/>
        </w:numPr>
        <w:spacing w:line="360" w:lineRule="auto"/>
        <w:jc w:val="both"/>
      </w:pPr>
      <w:r>
        <w:t xml:space="preserve">Expedirse respecto a la Rendición de Cuentas y Balance de Ejecución Presupuestal de la Junta Departamental de </w:t>
      </w:r>
      <w:r w:rsidR="00643603">
        <w:t xml:space="preserve">Cerro Largo </w:t>
      </w:r>
      <w:r w:rsidR="00B35450">
        <w:t>correspondiente al E</w:t>
      </w:r>
      <w:r>
        <w:t>jercicio 201</w:t>
      </w:r>
      <w:r w:rsidR="00B35450">
        <w:t>5</w:t>
      </w:r>
      <w:r>
        <w:t>, en los términos del Informe de Auditoría que se adjunta;</w:t>
      </w:r>
    </w:p>
    <w:p w:rsidR="000A7E49" w:rsidRDefault="000A7E49" w:rsidP="000A7E49">
      <w:pPr>
        <w:numPr>
          <w:ilvl w:val="0"/>
          <w:numId w:val="1"/>
        </w:numPr>
        <w:spacing w:line="360" w:lineRule="auto"/>
        <w:jc w:val="both"/>
      </w:pPr>
      <w:r>
        <w:t xml:space="preserve">Comunicar la presente Resolución a la Intendencia de </w:t>
      </w:r>
      <w:r w:rsidR="00643603">
        <w:t>Cerro Largo y a</w:t>
      </w:r>
      <w:r>
        <w:t>l Contador</w:t>
      </w:r>
      <w:r w:rsidR="00643603">
        <w:t xml:space="preserve"> Delegado</w:t>
      </w:r>
      <w:r>
        <w:t xml:space="preserve"> en la Junta Departamental;</w:t>
      </w:r>
    </w:p>
    <w:p w:rsidR="006E509F" w:rsidRPr="00CB780A" w:rsidRDefault="006E509F" w:rsidP="006E509F">
      <w:pPr>
        <w:numPr>
          <w:ilvl w:val="0"/>
          <w:numId w:val="1"/>
        </w:numPr>
        <w:spacing w:line="360" w:lineRule="auto"/>
        <w:jc w:val="both"/>
      </w:pPr>
      <w:r w:rsidRPr="00CB780A">
        <w:t>Dar cuenta a la Asamblea General</w:t>
      </w:r>
      <w:r>
        <w:t>.</w:t>
      </w:r>
    </w:p>
    <w:p w:rsidR="000A7E49" w:rsidRDefault="000A7E49" w:rsidP="000A7E49">
      <w:pPr>
        <w:spacing w:line="360" w:lineRule="auto"/>
        <w:jc w:val="both"/>
      </w:pPr>
    </w:p>
    <w:p w:rsidR="000A7E49" w:rsidRPr="007833D4" w:rsidRDefault="009D2FE8" w:rsidP="000A7E49">
      <w:pPr>
        <w:spacing w:line="360" w:lineRule="auto"/>
        <w:jc w:val="both"/>
        <w:rPr>
          <w:sz w:val="20"/>
          <w:szCs w:val="20"/>
        </w:rPr>
      </w:pPr>
      <w:r w:rsidRPr="007833D4">
        <w:rPr>
          <w:sz w:val="20"/>
          <w:szCs w:val="20"/>
        </w:rPr>
        <w:t>CLC</w:t>
      </w:r>
    </w:p>
    <w:p w:rsidR="000A7E49" w:rsidRDefault="000A7E49" w:rsidP="000A7E49">
      <w:pPr>
        <w:spacing w:line="360" w:lineRule="auto"/>
        <w:jc w:val="both"/>
      </w:pPr>
    </w:p>
    <w:p w:rsidR="004D2343" w:rsidRPr="007427F8" w:rsidRDefault="004D2343" w:rsidP="00EA4011">
      <w:pPr>
        <w:pStyle w:val="Subttulo"/>
        <w:jc w:val="center"/>
        <w:rPr>
          <w:rFonts w:ascii="Arial" w:hAnsi="Arial" w:cs="Arial"/>
        </w:rPr>
      </w:pPr>
      <w:r w:rsidRPr="007427F8">
        <w:rPr>
          <w:rFonts w:ascii="Arial" w:hAnsi="Arial" w:cs="Arial"/>
        </w:rPr>
        <w:lastRenderedPageBreak/>
        <w:t>DICTAMEN</w:t>
      </w:r>
    </w:p>
    <w:p w:rsidR="004D2343" w:rsidRDefault="004D2343" w:rsidP="00EA4011">
      <w:pPr>
        <w:pStyle w:val="Subttulo"/>
        <w:rPr>
          <w:rFonts w:ascii="Arial" w:hAnsi="Arial" w:cs="Arial"/>
          <w:b w:val="0"/>
        </w:rPr>
      </w:pPr>
    </w:p>
    <w:p w:rsidR="004D2343" w:rsidRPr="008E45C8" w:rsidRDefault="004D2343" w:rsidP="00EA4011">
      <w:pPr>
        <w:pStyle w:val="Subttulo"/>
        <w:rPr>
          <w:rFonts w:ascii="Arial" w:hAnsi="Arial" w:cs="Arial"/>
          <w:b w:val="0"/>
        </w:rPr>
      </w:pPr>
      <w:r w:rsidRPr="008E45C8">
        <w:rPr>
          <w:rFonts w:ascii="Arial" w:hAnsi="Arial" w:cs="Arial"/>
          <w:b w:val="0"/>
        </w:rPr>
        <w:t xml:space="preserve">El Tribunal de Cuentas ha examinado la Rendición de Cuentas y el Balance de Ejecución Presupuestal de la Junta Departamental de Cerro Largo, que comprende los siguientes estados: de ejecución presupuestal con relación a los créditos, de evolución de las obligaciones presupuestales impagas, de fondos indisponibles y otros estados complementarios, correspondientes al </w:t>
      </w:r>
      <w:r>
        <w:rPr>
          <w:rFonts w:ascii="Arial" w:hAnsi="Arial" w:cs="Arial"/>
          <w:b w:val="0"/>
        </w:rPr>
        <w:t>E</w:t>
      </w:r>
      <w:r w:rsidRPr="008E45C8">
        <w:rPr>
          <w:rFonts w:ascii="Arial" w:hAnsi="Arial" w:cs="Arial"/>
          <w:b w:val="0"/>
        </w:rPr>
        <w:t>j</w:t>
      </w:r>
      <w:r>
        <w:rPr>
          <w:rFonts w:ascii="Arial" w:hAnsi="Arial" w:cs="Arial"/>
          <w:b w:val="0"/>
        </w:rPr>
        <w:t>ercicio finalizado el 31/12/2015.</w:t>
      </w:r>
    </w:p>
    <w:p w:rsidR="004D2343" w:rsidRPr="008E45C8" w:rsidRDefault="004D2343" w:rsidP="00EA4011">
      <w:pPr>
        <w:pStyle w:val="Subttulo"/>
        <w:rPr>
          <w:rFonts w:ascii="Arial" w:hAnsi="Arial" w:cs="Arial"/>
          <w:b w:val="0"/>
        </w:rPr>
      </w:pPr>
      <w:r w:rsidRPr="008E45C8">
        <w:rPr>
          <w:rFonts w:ascii="Arial" w:hAnsi="Arial" w:cs="Arial"/>
          <w:b w:val="0"/>
        </w:rPr>
        <w:t>También se presentan, en caso de corresponder, los incumplimientos legales constatados por el Tribunal de Cuentas en el curso de la auditoría efectuada.</w:t>
      </w:r>
    </w:p>
    <w:p w:rsidR="004D2343" w:rsidRDefault="004D2343" w:rsidP="00EA4011">
      <w:pPr>
        <w:pStyle w:val="Subttulo"/>
        <w:rPr>
          <w:rFonts w:ascii="Arial" w:hAnsi="Arial" w:cs="Arial"/>
          <w:bCs/>
        </w:rPr>
      </w:pPr>
    </w:p>
    <w:p w:rsidR="004D2343" w:rsidRDefault="004D2343" w:rsidP="00EA4011">
      <w:pPr>
        <w:pStyle w:val="Subttulo"/>
        <w:rPr>
          <w:rFonts w:ascii="Arial" w:hAnsi="Arial" w:cs="Arial"/>
          <w:b w:val="0"/>
        </w:rPr>
      </w:pPr>
      <w:r>
        <w:rPr>
          <w:rFonts w:ascii="Arial" w:hAnsi="Arial" w:cs="Arial"/>
          <w:bCs/>
        </w:rPr>
        <w:t>Responsabilidad de la Dirección de la Junta Departamental por los es</w:t>
      </w:r>
      <w:r w:rsidR="003C6237">
        <w:rPr>
          <w:rFonts w:ascii="Arial" w:hAnsi="Arial" w:cs="Arial"/>
          <w:bCs/>
        </w:rPr>
        <w:t>tados de ejecución presupuestal</w:t>
      </w:r>
    </w:p>
    <w:p w:rsidR="004D2343" w:rsidRDefault="004D2343" w:rsidP="00EA4011">
      <w:pPr>
        <w:pStyle w:val="Subttulo"/>
        <w:rPr>
          <w:rFonts w:ascii="Arial" w:hAnsi="Arial" w:cs="Arial"/>
          <w:bCs/>
        </w:rPr>
      </w:pPr>
      <w:r>
        <w:rPr>
          <w:rFonts w:ascii="Arial" w:hAnsi="Arial" w:cs="Arial"/>
          <w:b w:val="0"/>
        </w:rPr>
        <w:t>La Dirección de la Junta Departamental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4D2343" w:rsidRDefault="004D2343" w:rsidP="00EA4011">
      <w:pPr>
        <w:pStyle w:val="Subttulo"/>
        <w:rPr>
          <w:rFonts w:ascii="Arial" w:hAnsi="Arial" w:cs="Arial"/>
          <w:bCs/>
        </w:rPr>
      </w:pPr>
    </w:p>
    <w:p w:rsidR="004D2343" w:rsidRDefault="003C6237" w:rsidP="00EA4011">
      <w:pPr>
        <w:pStyle w:val="Subttulo"/>
        <w:rPr>
          <w:rFonts w:ascii="Arial" w:hAnsi="Arial" w:cs="Arial"/>
        </w:rPr>
      </w:pPr>
      <w:r>
        <w:rPr>
          <w:rFonts w:ascii="Arial" w:hAnsi="Arial" w:cs="Arial"/>
          <w:bCs/>
        </w:rPr>
        <w:t>Responsabilidad del Auditor</w:t>
      </w:r>
    </w:p>
    <w:p w:rsidR="004D2343" w:rsidRPr="00E71BAF" w:rsidRDefault="004D2343" w:rsidP="00EA4011">
      <w:pPr>
        <w:pStyle w:val="Textonormal"/>
        <w:widowControl/>
        <w:suppressAutoHyphens w:val="0"/>
        <w:spacing w:line="360" w:lineRule="auto"/>
        <w:jc w:val="both"/>
        <w:rPr>
          <w:rFonts w:ascii="Arial" w:hAnsi="Arial" w:cs="Arial"/>
        </w:rPr>
      </w:pPr>
      <w:r>
        <w:rPr>
          <w:rFonts w:ascii="Arial" w:hAnsi="Arial" w:cs="Arial"/>
          <w:spacing w:val="0"/>
          <w:szCs w:val="20"/>
          <w:lang w:val="es-ES"/>
        </w:rPr>
        <w:t xml:space="preserve">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libres de errores significativos. </w:t>
      </w:r>
      <w:r w:rsidRPr="00E71BAF">
        <w:rPr>
          <w:rFonts w:ascii="Arial" w:hAnsi="Arial" w:cs="Arial"/>
        </w:rPr>
        <w:t xml:space="preserve">Una auditoría implica realizar procedimientos para obtener evidencia acerca de los montos y revelaciones contables. Los procedimientos seleccionados dependen del juicio profesional del </w:t>
      </w:r>
      <w:r>
        <w:rPr>
          <w:rFonts w:ascii="Arial" w:hAnsi="Arial" w:cs="Arial"/>
        </w:rPr>
        <w:t>A</w:t>
      </w:r>
      <w:r w:rsidRPr="00E71BAF">
        <w:rPr>
          <w:rFonts w:ascii="Arial" w:hAnsi="Arial" w:cs="Arial"/>
        </w:rPr>
        <w:t xml:space="preserve">uditor, incluyendo la evaluación de los riesgos de existencia de errores significativos en los estados de ejecución presupuestal, ya sea debido a fraude o error. Al efectuar la evaluación de riesgos, el </w:t>
      </w:r>
      <w:r>
        <w:rPr>
          <w:rFonts w:ascii="Arial" w:hAnsi="Arial" w:cs="Arial"/>
        </w:rPr>
        <w:t>A</w:t>
      </w:r>
      <w:r w:rsidRPr="00E71BAF">
        <w:rPr>
          <w:rFonts w:ascii="Arial" w:hAnsi="Arial" w:cs="Arial"/>
        </w:rPr>
        <w:t xml:space="preserve">uditor considera los aspectos de control interno de la </w:t>
      </w:r>
      <w:r>
        <w:rPr>
          <w:rFonts w:ascii="Arial" w:hAnsi="Arial" w:cs="Arial"/>
        </w:rPr>
        <w:t>E</w:t>
      </w:r>
      <w:r w:rsidRPr="00E71BAF">
        <w:rPr>
          <w:rFonts w:ascii="Arial" w:hAnsi="Arial" w:cs="Arial"/>
        </w:rPr>
        <w:t xml:space="preserve">ntidad relevantes para la preparación y presentación razonable de los estados, con el fin de diseñar los procedimientos de auditoría que sean apropiados en las circunstancias, pero no con el propósito de expresar una opinión acerca de la eficacia del control interno de la </w:t>
      </w:r>
      <w:r>
        <w:rPr>
          <w:rFonts w:ascii="Arial" w:hAnsi="Arial" w:cs="Arial"/>
        </w:rPr>
        <w:t>E</w:t>
      </w:r>
      <w:r w:rsidRPr="00E71BAF">
        <w:rPr>
          <w:rFonts w:ascii="Arial" w:hAnsi="Arial" w:cs="Arial"/>
        </w:rPr>
        <w:t>ntidad. Una auditoría también implica evaluar lo apropiado de las políticas contables utilizadas por la Dirección, así como evaluar la presentación general de los estados de ejecución presupuestal.</w:t>
      </w:r>
    </w:p>
    <w:p w:rsidR="004D2343" w:rsidRDefault="004D2343" w:rsidP="00EA4011">
      <w:pPr>
        <w:pStyle w:val="Subttulo"/>
        <w:rPr>
          <w:bCs/>
          <w:szCs w:val="24"/>
        </w:rPr>
      </w:pPr>
      <w:r>
        <w:rPr>
          <w:rFonts w:ascii="Arial" w:hAnsi="Arial" w:cs="Arial"/>
          <w:b w:val="0"/>
        </w:rPr>
        <w:t>Se considera que la evidencia de auditoría obtenida brinda una base suficiente y apropiada para sustentar la opinión.</w:t>
      </w:r>
    </w:p>
    <w:p w:rsidR="004D2343" w:rsidRDefault="004D2343" w:rsidP="00EA4011">
      <w:pPr>
        <w:pStyle w:val="Textoindependiente"/>
        <w:spacing w:after="0" w:line="360" w:lineRule="auto"/>
        <w:rPr>
          <w:b/>
          <w:bCs/>
          <w:szCs w:val="24"/>
          <w:lang w:val="es-ES"/>
        </w:rPr>
      </w:pPr>
    </w:p>
    <w:p w:rsidR="004D2343" w:rsidRDefault="004D2343" w:rsidP="00EA4011">
      <w:pPr>
        <w:pStyle w:val="Textoindependiente"/>
        <w:spacing w:after="0" w:line="360" w:lineRule="auto"/>
        <w:rPr>
          <w:szCs w:val="24"/>
          <w:lang w:val="es-ES"/>
        </w:rPr>
      </w:pPr>
      <w:r>
        <w:rPr>
          <w:b/>
          <w:bCs/>
          <w:szCs w:val="24"/>
          <w:lang w:val="es-ES"/>
        </w:rPr>
        <w:t>Opinión</w:t>
      </w:r>
    </w:p>
    <w:p w:rsidR="004D2343" w:rsidRDefault="004D2343" w:rsidP="00EA4011">
      <w:pPr>
        <w:pStyle w:val="Textoindependiente"/>
        <w:spacing w:after="0" w:line="360" w:lineRule="auto"/>
      </w:pPr>
      <w:r>
        <w:rPr>
          <w:szCs w:val="24"/>
          <w:lang w:val="es-ES"/>
        </w:rPr>
        <w:t>En opinión del Tribunal de Cuentas, el Balance de Ejecución Presupuestal mencionado presenta razonablemente, en todos sus aspectos importantes, la ejecución presupuestal de la Junta Departamental de Cerro Largo  correspondiente al Ejercicio finalizado el 31/12/2015, de acuerdo con las normas del TOCAF y a la Resolución de este Tribunal de 28/01/04.</w:t>
      </w:r>
    </w:p>
    <w:p w:rsidR="004D2343" w:rsidRDefault="004D2343" w:rsidP="00EA4011">
      <w:pPr>
        <w:spacing w:line="360" w:lineRule="auto"/>
        <w:jc w:val="both"/>
      </w:pPr>
      <w:r>
        <w:t>Con relación a la normativa vigente, en el curso de la auditoría realizada se ha constatado que:</w:t>
      </w:r>
    </w:p>
    <w:p w:rsidR="004D2343" w:rsidRDefault="004D2343" w:rsidP="00EA4011">
      <w:pPr>
        <w:suppressAutoHyphens w:val="0"/>
        <w:spacing w:line="360" w:lineRule="auto"/>
        <w:jc w:val="both"/>
        <w:rPr>
          <w:rFonts w:eastAsia="Lucida Sans Unicode"/>
          <w:bCs/>
          <w:kern w:val="1"/>
          <w:lang w:val="es-ES_tradnl" w:eastAsia="x-none"/>
        </w:rPr>
      </w:pPr>
    </w:p>
    <w:p w:rsidR="004D2343" w:rsidRPr="00395F5C" w:rsidRDefault="004D2343" w:rsidP="00EA4011">
      <w:pPr>
        <w:suppressAutoHyphens w:val="0"/>
        <w:spacing w:line="360" w:lineRule="auto"/>
        <w:jc w:val="both"/>
        <w:rPr>
          <w:rFonts w:eastAsia="Lucida Sans Unicode" w:cs="F"/>
          <w:b/>
          <w:kern w:val="1"/>
          <w:szCs w:val="22"/>
          <w:lang w:val="es-UY" w:eastAsia="en-US"/>
        </w:rPr>
      </w:pPr>
      <w:r>
        <w:rPr>
          <w:rFonts w:eastAsia="Lucida Sans Unicode" w:cs="F"/>
          <w:b/>
          <w:kern w:val="1"/>
          <w:szCs w:val="22"/>
          <w:lang w:val="es-UY" w:eastAsia="en-US"/>
        </w:rPr>
        <w:t>1</w:t>
      </w:r>
      <w:r w:rsidRPr="00395F5C">
        <w:rPr>
          <w:rFonts w:eastAsia="Lucida Sans Unicode" w:cs="F"/>
          <w:b/>
          <w:kern w:val="1"/>
          <w:szCs w:val="22"/>
          <w:lang w:val="es-UY" w:eastAsia="en-US"/>
        </w:rPr>
        <w:t xml:space="preserve"> Artículos 14 y 23 del TOCAF</w:t>
      </w:r>
    </w:p>
    <w:p w:rsidR="004D2343" w:rsidRPr="0057419C" w:rsidRDefault="004D2343" w:rsidP="00EA4011">
      <w:pPr>
        <w:tabs>
          <w:tab w:val="left" w:pos="360"/>
          <w:tab w:val="left" w:pos="567"/>
          <w:tab w:val="left" w:pos="1560"/>
          <w:tab w:val="right" w:pos="5387"/>
          <w:tab w:val="right" w:pos="7513"/>
        </w:tabs>
        <w:spacing w:line="360" w:lineRule="auto"/>
        <w:jc w:val="both"/>
        <w:textAlignment w:val="baseline"/>
        <w:rPr>
          <w:kern w:val="1"/>
          <w:szCs w:val="20"/>
          <w:lang w:val="es-ES_tradnl" w:eastAsia="x-none"/>
        </w:rPr>
      </w:pPr>
      <w:r w:rsidRPr="0057419C">
        <w:rPr>
          <w:kern w:val="1"/>
          <w:szCs w:val="20"/>
          <w:lang w:val="es-ES_tradnl" w:eastAsia="x-none"/>
        </w:rPr>
        <w:t>Al igual que en el ejercicio anterior</w:t>
      </w:r>
      <w:r>
        <w:rPr>
          <w:kern w:val="1"/>
          <w:szCs w:val="20"/>
          <w:lang w:val="es-ES_tradnl" w:eastAsia="x-none"/>
        </w:rPr>
        <w:t xml:space="preserve">, </w:t>
      </w:r>
      <w:r w:rsidRPr="0057419C">
        <w:rPr>
          <w:kern w:val="1"/>
          <w:szCs w:val="20"/>
          <w:lang w:val="es-ES_tradnl" w:eastAsia="x-none"/>
        </w:rPr>
        <w:t xml:space="preserve">se detectaron pagos que no cumplieron con </w:t>
      </w:r>
      <w:r>
        <w:rPr>
          <w:kern w:val="1"/>
          <w:szCs w:val="20"/>
          <w:lang w:val="es-ES_tradnl" w:eastAsia="x-none"/>
        </w:rPr>
        <w:t xml:space="preserve">la normativa referente al </w:t>
      </w:r>
      <w:r w:rsidRPr="0057419C">
        <w:rPr>
          <w:kern w:val="1"/>
          <w:szCs w:val="20"/>
          <w:lang w:val="es-ES_tradnl" w:eastAsia="x-none"/>
        </w:rPr>
        <w:t>proceso del gasto</w:t>
      </w:r>
      <w:r>
        <w:rPr>
          <w:kern w:val="1"/>
          <w:szCs w:val="20"/>
          <w:lang w:val="es-ES_tradnl" w:eastAsia="x-none"/>
        </w:rPr>
        <w:t>,</w:t>
      </w:r>
      <w:r w:rsidRPr="0057419C">
        <w:rPr>
          <w:kern w:val="1"/>
          <w:szCs w:val="20"/>
          <w:lang w:val="es-ES_tradnl" w:eastAsia="x-none"/>
        </w:rPr>
        <w:t xml:space="preserve"> ya que los actos administrativos no fueron  dictados previamente por la autoridad competente como lo establece el Artículo 14 del TOCAF. Además, en  algunos casos las órdenes de pago no cuentan con los requisitos mínimos establecidos por el Artículo 23 del TOCAF (origen de la obligación, financiación, objeto del gasto, etc.).</w:t>
      </w:r>
    </w:p>
    <w:p w:rsidR="004D2343" w:rsidRPr="0057419C" w:rsidRDefault="004D2343" w:rsidP="00EA4011">
      <w:pPr>
        <w:tabs>
          <w:tab w:val="left" w:pos="360"/>
          <w:tab w:val="left" w:pos="567"/>
          <w:tab w:val="left" w:pos="1560"/>
          <w:tab w:val="right" w:pos="5387"/>
          <w:tab w:val="right" w:pos="7513"/>
        </w:tabs>
        <w:spacing w:line="360" w:lineRule="auto"/>
        <w:jc w:val="both"/>
        <w:textAlignment w:val="baseline"/>
        <w:rPr>
          <w:kern w:val="1"/>
          <w:szCs w:val="20"/>
          <w:lang w:eastAsia="en-US"/>
        </w:rPr>
      </w:pPr>
      <w:r w:rsidRPr="0057419C">
        <w:rPr>
          <w:kern w:val="1"/>
          <w:szCs w:val="20"/>
          <w:lang w:val="es-ES_tradnl" w:eastAsia="x-none"/>
        </w:rPr>
        <w:t xml:space="preserve">En la mayoría de los casos no se deja constancia en las órdenes de pago, de la fecha de actuación por </w:t>
      </w:r>
      <w:r w:rsidRPr="0057419C">
        <w:rPr>
          <w:kern w:val="1"/>
          <w:szCs w:val="20"/>
          <w:lang w:val="x-none" w:eastAsia="en-US"/>
        </w:rPr>
        <w:t>parte del Tesorero</w:t>
      </w:r>
      <w:r w:rsidRPr="0057419C">
        <w:rPr>
          <w:kern w:val="1"/>
          <w:szCs w:val="20"/>
          <w:lang w:eastAsia="en-US"/>
        </w:rPr>
        <w:t xml:space="preserve">, </w:t>
      </w:r>
      <w:r>
        <w:rPr>
          <w:kern w:val="1"/>
          <w:szCs w:val="20"/>
          <w:lang w:eastAsia="en-US"/>
        </w:rPr>
        <w:t xml:space="preserve">del </w:t>
      </w:r>
      <w:r w:rsidRPr="0057419C">
        <w:rPr>
          <w:kern w:val="1"/>
          <w:szCs w:val="20"/>
          <w:lang w:val="x-none" w:eastAsia="en-US"/>
        </w:rPr>
        <w:t>Ordenador</w:t>
      </w:r>
      <w:r w:rsidRPr="0057419C">
        <w:rPr>
          <w:kern w:val="1"/>
          <w:szCs w:val="20"/>
          <w:lang w:eastAsia="en-US"/>
        </w:rPr>
        <w:t xml:space="preserve"> y </w:t>
      </w:r>
      <w:r>
        <w:rPr>
          <w:kern w:val="1"/>
          <w:szCs w:val="20"/>
          <w:lang w:eastAsia="en-US"/>
        </w:rPr>
        <w:t xml:space="preserve">del Contador </w:t>
      </w:r>
      <w:r w:rsidRPr="0057419C">
        <w:rPr>
          <w:kern w:val="1"/>
          <w:szCs w:val="20"/>
          <w:lang w:eastAsia="en-US"/>
        </w:rPr>
        <w:t xml:space="preserve">Delegado, </w:t>
      </w:r>
      <w:r w:rsidRPr="0057419C">
        <w:rPr>
          <w:kern w:val="1"/>
          <w:szCs w:val="20"/>
          <w:lang w:val="x-none" w:eastAsia="en-US"/>
        </w:rPr>
        <w:t xml:space="preserve">por lo </w:t>
      </w:r>
      <w:r>
        <w:rPr>
          <w:kern w:val="1"/>
          <w:szCs w:val="20"/>
          <w:lang w:val="es-UY" w:eastAsia="en-US"/>
        </w:rPr>
        <w:t xml:space="preserve">que </w:t>
      </w:r>
      <w:r w:rsidRPr="0057419C">
        <w:rPr>
          <w:kern w:val="1"/>
          <w:szCs w:val="20"/>
          <w:lang w:val="x-none" w:eastAsia="en-US"/>
        </w:rPr>
        <w:t xml:space="preserve">no es posible verificar si existen pagos </w:t>
      </w:r>
      <w:r>
        <w:rPr>
          <w:kern w:val="1"/>
          <w:szCs w:val="20"/>
          <w:lang w:val="es-UY" w:eastAsia="en-US"/>
        </w:rPr>
        <w:t xml:space="preserve">realizados con anterioridad </w:t>
      </w:r>
      <w:r w:rsidRPr="0057419C">
        <w:rPr>
          <w:kern w:val="1"/>
          <w:szCs w:val="20"/>
          <w:lang w:val="x-none" w:eastAsia="en-US"/>
        </w:rPr>
        <w:t xml:space="preserve"> a la intervención de</w:t>
      </w:r>
      <w:r w:rsidRPr="0057419C">
        <w:rPr>
          <w:kern w:val="1"/>
          <w:szCs w:val="20"/>
          <w:lang w:eastAsia="en-US"/>
        </w:rPr>
        <w:t xml:space="preserve"> </w:t>
      </w:r>
      <w:r>
        <w:rPr>
          <w:kern w:val="1"/>
          <w:szCs w:val="20"/>
          <w:lang w:eastAsia="en-US"/>
        </w:rPr>
        <w:t>e</w:t>
      </w:r>
      <w:r w:rsidRPr="0057419C">
        <w:rPr>
          <w:kern w:val="1"/>
          <w:szCs w:val="20"/>
          <w:lang w:eastAsia="en-US"/>
        </w:rPr>
        <w:t>ste</w:t>
      </w:r>
      <w:r>
        <w:rPr>
          <w:kern w:val="1"/>
          <w:szCs w:val="20"/>
          <w:lang w:eastAsia="en-US"/>
        </w:rPr>
        <w:t xml:space="preserve"> </w:t>
      </w:r>
      <w:r w:rsidRPr="0057419C">
        <w:rPr>
          <w:kern w:val="1"/>
          <w:szCs w:val="20"/>
          <w:lang w:eastAsia="en-US"/>
        </w:rPr>
        <w:t>último</w:t>
      </w:r>
      <w:r w:rsidRPr="0057419C">
        <w:rPr>
          <w:kern w:val="1"/>
          <w:szCs w:val="20"/>
          <w:lang w:val="x-none" w:eastAsia="en-US"/>
        </w:rPr>
        <w:t>.</w:t>
      </w:r>
    </w:p>
    <w:p w:rsidR="004D2343" w:rsidRPr="00E56CE0" w:rsidRDefault="004D2343" w:rsidP="00EA4011">
      <w:pPr>
        <w:suppressAutoHyphens w:val="0"/>
        <w:spacing w:line="360" w:lineRule="auto"/>
        <w:jc w:val="both"/>
        <w:rPr>
          <w:rFonts w:eastAsia="Lucida Sans Unicode" w:cs="F"/>
          <w:b/>
          <w:kern w:val="1"/>
          <w:szCs w:val="22"/>
          <w:lang w:val="es-UY" w:eastAsia="en-US"/>
        </w:rPr>
      </w:pPr>
      <w:r>
        <w:rPr>
          <w:rFonts w:eastAsia="Lucida Sans Unicode" w:cs="F"/>
          <w:b/>
          <w:kern w:val="1"/>
          <w:szCs w:val="22"/>
          <w:lang w:val="es-UY" w:eastAsia="en-US"/>
        </w:rPr>
        <w:t xml:space="preserve">2 </w:t>
      </w:r>
      <w:r w:rsidRPr="00E56CE0">
        <w:rPr>
          <w:rFonts w:eastAsia="Lucida Sans Unicode" w:cs="F"/>
          <w:b/>
          <w:kern w:val="1"/>
          <w:szCs w:val="22"/>
          <w:lang w:val="es-UY" w:eastAsia="en-US"/>
        </w:rPr>
        <w:t>Artículo 94 del TOCAF y Ordenanza N° 81 del Tribunal de Cuentas</w:t>
      </w:r>
    </w:p>
    <w:p w:rsidR="004D2343" w:rsidRDefault="004D2343" w:rsidP="00EA4011">
      <w:pPr>
        <w:suppressAutoHyphens w:val="0"/>
        <w:spacing w:line="360" w:lineRule="auto"/>
        <w:jc w:val="both"/>
        <w:rPr>
          <w:rFonts w:eastAsia="Lucida Sans Unicode" w:cs="F"/>
          <w:kern w:val="1"/>
          <w:szCs w:val="22"/>
          <w:lang w:val="es-UY" w:eastAsia="en-US"/>
        </w:rPr>
      </w:pPr>
      <w:r w:rsidRPr="00395F5C">
        <w:rPr>
          <w:rFonts w:eastAsia="Lucida Sans Unicode" w:cs="F"/>
          <w:kern w:val="1"/>
          <w:szCs w:val="22"/>
          <w:lang w:val="es-UY" w:eastAsia="en-US"/>
        </w:rPr>
        <w:t>La Junta Departamental no cuenta con un sistema contable que le permita cumplir con lo establecido por las mencionadas normas en lo referente a su</w:t>
      </w:r>
      <w:r w:rsidRPr="00E56CE0">
        <w:rPr>
          <w:rFonts w:eastAsia="Lucida Sans Unicode" w:cs="F"/>
          <w:kern w:val="1"/>
          <w:szCs w:val="22"/>
          <w:lang w:val="es-UY" w:eastAsia="en-US"/>
        </w:rPr>
        <w:t xml:space="preserve"> gestión patrimonial.</w:t>
      </w:r>
    </w:p>
    <w:p w:rsidR="004D2343" w:rsidRDefault="004D2343" w:rsidP="00DA418B">
      <w:pPr>
        <w:suppressAutoHyphens w:val="0"/>
        <w:spacing w:line="360" w:lineRule="auto"/>
        <w:jc w:val="right"/>
        <w:rPr>
          <w:color w:val="000000"/>
        </w:rPr>
      </w:pPr>
      <w:r w:rsidRPr="009C5A0C">
        <w:rPr>
          <w:rFonts w:eastAsia="Lucida Sans Unicode" w:cs="F"/>
          <w:color w:val="FF0000"/>
          <w:kern w:val="1"/>
          <w:szCs w:val="22"/>
          <w:lang w:val="es-UY" w:eastAsia="en-US"/>
        </w:rPr>
        <w:t xml:space="preserve">           </w:t>
      </w:r>
      <w:r w:rsidRPr="00714270">
        <w:rPr>
          <w:color w:val="000000"/>
        </w:rPr>
        <w:t>Montevideo,</w:t>
      </w:r>
      <w:r>
        <w:rPr>
          <w:color w:val="000000"/>
        </w:rPr>
        <w:t xml:space="preserve"> 22</w:t>
      </w:r>
      <w:r w:rsidRPr="00714270">
        <w:rPr>
          <w:color w:val="000000"/>
        </w:rPr>
        <w:t xml:space="preserve"> de </w:t>
      </w:r>
      <w:r>
        <w:rPr>
          <w:color w:val="000000"/>
        </w:rPr>
        <w:t xml:space="preserve">agosto </w:t>
      </w:r>
      <w:r w:rsidRPr="00714270">
        <w:rPr>
          <w:color w:val="000000"/>
        </w:rPr>
        <w:t>de 201</w:t>
      </w:r>
      <w:r w:rsidR="00DA418B">
        <w:rPr>
          <w:color w:val="000000"/>
        </w:rPr>
        <w:t>6</w:t>
      </w:r>
    </w:p>
    <w:p w:rsidR="00DA418B" w:rsidRDefault="00DA418B" w:rsidP="00DA418B">
      <w:pPr>
        <w:suppressAutoHyphens w:val="0"/>
        <w:spacing w:line="360" w:lineRule="auto"/>
        <w:jc w:val="right"/>
        <w:rPr>
          <w:color w:val="000000"/>
        </w:rPr>
      </w:pPr>
    </w:p>
    <w:p w:rsidR="00DA418B" w:rsidRDefault="00DA418B" w:rsidP="00DA418B">
      <w:pPr>
        <w:suppressAutoHyphens w:val="0"/>
        <w:spacing w:line="360" w:lineRule="auto"/>
        <w:jc w:val="right"/>
        <w:rPr>
          <w:color w:val="000000"/>
        </w:rPr>
      </w:pPr>
    </w:p>
    <w:p w:rsidR="0076247F" w:rsidRDefault="0076247F" w:rsidP="00DA418B">
      <w:pPr>
        <w:suppressAutoHyphens w:val="0"/>
        <w:spacing w:line="360" w:lineRule="auto"/>
        <w:jc w:val="right"/>
        <w:rPr>
          <w:color w:val="000000"/>
        </w:rPr>
      </w:pPr>
    </w:p>
    <w:p w:rsidR="00702EDD" w:rsidRPr="00714270" w:rsidRDefault="00702EDD" w:rsidP="00DA418B">
      <w:pPr>
        <w:suppressAutoHyphens w:val="0"/>
        <w:spacing w:line="360" w:lineRule="auto"/>
        <w:jc w:val="right"/>
        <w:rPr>
          <w:color w:val="000000"/>
        </w:rPr>
      </w:pPr>
    </w:p>
    <w:p w:rsidR="004D2343" w:rsidRPr="007427F8" w:rsidRDefault="004D2343" w:rsidP="00EA4011">
      <w:pPr>
        <w:suppressAutoHyphens w:val="0"/>
        <w:jc w:val="center"/>
        <w:rPr>
          <w:b/>
        </w:rPr>
      </w:pPr>
      <w:bookmarkStart w:id="1" w:name="_Toc426459832"/>
      <w:bookmarkStart w:id="2" w:name="OLE_LINK1"/>
      <w:bookmarkStart w:id="3" w:name="OLE_LINK2"/>
      <w:r w:rsidRPr="007427F8">
        <w:rPr>
          <w:b/>
        </w:rPr>
        <w:t>INFORME A LA ADMINISTRACIÓN</w:t>
      </w:r>
      <w:bookmarkEnd w:id="1"/>
    </w:p>
    <w:bookmarkEnd w:id="2"/>
    <w:bookmarkEnd w:id="3"/>
    <w:p w:rsidR="004D2343" w:rsidRDefault="004D2343" w:rsidP="00EA4011">
      <w:pPr>
        <w:pStyle w:val="Subttulo"/>
        <w:rPr>
          <w:rFonts w:ascii="Arial" w:hAnsi="Arial" w:cs="Arial"/>
          <w:b w:val="0"/>
        </w:rPr>
      </w:pPr>
    </w:p>
    <w:p w:rsidR="0076247F" w:rsidRPr="0076247F" w:rsidRDefault="0076247F" w:rsidP="0076247F">
      <w:pPr>
        <w:pStyle w:val="Textoindependiente"/>
        <w:rPr>
          <w:lang w:val="es-ES"/>
        </w:rPr>
      </w:pPr>
    </w:p>
    <w:p w:rsidR="004D2343" w:rsidRDefault="004D2343" w:rsidP="00EA4011">
      <w:pPr>
        <w:pStyle w:val="Subttulo"/>
        <w:rPr>
          <w:rFonts w:cs="Arial"/>
        </w:rPr>
      </w:pPr>
      <w:r>
        <w:rPr>
          <w:rFonts w:ascii="Arial" w:hAnsi="Arial" w:cs="Arial"/>
          <w:b w:val="0"/>
        </w:rPr>
        <w:t>El Tribunal de Cuentas ha examinado la Rendición de Cuentas y Balance de Ejecución Presupuestal correspondiente al Ejercicio 2015 y ha emitido su correspondiente Dictamen.</w:t>
      </w:r>
    </w:p>
    <w:p w:rsidR="004D2343" w:rsidRDefault="004D2343" w:rsidP="00EA4011">
      <w:pPr>
        <w:widowControl w:val="0"/>
        <w:spacing w:after="120" w:line="360" w:lineRule="auto"/>
        <w:jc w:val="both"/>
      </w:pPr>
      <w:r>
        <w:t xml:space="preserve">Como consecuencia del examen practicado, se incluyen en este informe comentarios que se ha entendido conveniente exponer, relacionados con la situación de determinados capítulos y rubros de los estados examinados, obligaciones a </w:t>
      </w:r>
      <w:r w:rsidRPr="008F694A">
        <w:t>cumplir</w:t>
      </w:r>
      <w:r>
        <w:t>, así como recomendaciones que deberá atender el Organismo. Se incluye además una evaluación de la forma de cumplimiento de las recomendaciones presentadas en el informe de auditoría correspondiente al Ejercicio anterior.</w:t>
      </w:r>
    </w:p>
    <w:p w:rsidR="0076247F" w:rsidRDefault="0076247F" w:rsidP="00EA4011">
      <w:pPr>
        <w:widowControl w:val="0"/>
        <w:spacing w:after="120" w:line="360" w:lineRule="auto"/>
        <w:jc w:val="both"/>
      </w:pPr>
    </w:p>
    <w:p w:rsidR="004D2343" w:rsidRPr="007427F8" w:rsidRDefault="004D2343" w:rsidP="00EA4011">
      <w:pPr>
        <w:rPr>
          <w:b/>
        </w:rPr>
      </w:pPr>
      <w:bookmarkStart w:id="4" w:name="_Toc426459840"/>
      <w:r w:rsidRPr="007427F8">
        <w:rPr>
          <w:b/>
        </w:rPr>
        <w:t>1 Situación en materia de fondos</w:t>
      </w:r>
    </w:p>
    <w:p w:rsidR="004D2343" w:rsidRDefault="004D2343" w:rsidP="00EA4011"/>
    <w:p w:rsidR="004D2343" w:rsidRPr="00F85858" w:rsidRDefault="004D2343" w:rsidP="00EA4011">
      <w:pPr>
        <w:spacing w:line="360" w:lineRule="auto"/>
        <w:jc w:val="both"/>
        <w:rPr>
          <w:sz w:val="22"/>
          <w:szCs w:val="22"/>
        </w:rPr>
      </w:pPr>
      <w:r w:rsidRPr="00F85858">
        <w:rPr>
          <w:sz w:val="22"/>
          <w:szCs w:val="22"/>
        </w:rPr>
        <w:t>Disponibilidades</w:t>
      </w:r>
      <w:r w:rsidRPr="00F85858">
        <w:rPr>
          <w:sz w:val="22"/>
          <w:szCs w:val="22"/>
        </w:rPr>
        <w:tab/>
      </w:r>
      <w:r w:rsidRPr="00F85858">
        <w:rPr>
          <w:sz w:val="22"/>
          <w:szCs w:val="22"/>
        </w:rPr>
        <w:tab/>
      </w:r>
      <w:r w:rsidRPr="00F85858">
        <w:rPr>
          <w:sz w:val="22"/>
          <w:szCs w:val="22"/>
        </w:rPr>
        <w:tab/>
        <w:t xml:space="preserve">             </w:t>
      </w:r>
      <w:r w:rsidRPr="00F85858">
        <w:rPr>
          <w:sz w:val="22"/>
          <w:szCs w:val="22"/>
        </w:rPr>
        <w:tab/>
      </w:r>
      <w:r w:rsidRPr="00F85858">
        <w:rPr>
          <w:sz w:val="22"/>
          <w:szCs w:val="22"/>
        </w:rPr>
        <w:tab/>
        <w:t xml:space="preserve">              1:511.773</w:t>
      </w:r>
    </w:p>
    <w:p w:rsidR="004D2343" w:rsidRPr="00F85858" w:rsidRDefault="004D2343" w:rsidP="00EA4011">
      <w:pPr>
        <w:spacing w:line="360" w:lineRule="auto"/>
        <w:jc w:val="both"/>
        <w:rPr>
          <w:sz w:val="22"/>
          <w:szCs w:val="22"/>
        </w:rPr>
      </w:pPr>
      <w:r w:rsidRPr="00F85858">
        <w:rPr>
          <w:sz w:val="22"/>
          <w:szCs w:val="22"/>
        </w:rPr>
        <w:t>M</w:t>
      </w:r>
      <w:r>
        <w:rPr>
          <w:sz w:val="22"/>
          <w:szCs w:val="22"/>
        </w:rPr>
        <w:t>á</w:t>
      </w:r>
      <w:r w:rsidRPr="00F85858">
        <w:rPr>
          <w:sz w:val="22"/>
          <w:szCs w:val="22"/>
        </w:rPr>
        <w:t>s:</w:t>
      </w:r>
    </w:p>
    <w:p w:rsidR="004D2343" w:rsidRPr="008140D1" w:rsidRDefault="004D2343" w:rsidP="00EA4011">
      <w:pPr>
        <w:spacing w:line="360" w:lineRule="auto"/>
        <w:jc w:val="both"/>
        <w:rPr>
          <w:b/>
          <w:sz w:val="22"/>
          <w:szCs w:val="22"/>
        </w:rPr>
      </w:pPr>
      <w:proofErr w:type="spellStart"/>
      <w:r w:rsidRPr="00EF786A">
        <w:rPr>
          <w:sz w:val="22"/>
          <w:szCs w:val="22"/>
        </w:rPr>
        <w:t>Extrapresupuesto</w:t>
      </w:r>
      <w:proofErr w:type="spellEnd"/>
      <w:r w:rsidRPr="00EF786A">
        <w:rPr>
          <w:sz w:val="22"/>
          <w:szCs w:val="22"/>
        </w:rPr>
        <w:t xml:space="preserve"> a cobrar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EF786A">
        <w:rPr>
          <w:sz w:val="22"/>
          <w:szCs w:val="22"/>
        </w:rPr>
        <w:t>11.843</w:t>
      </w:r>
    </w:p>
    <w:p w:rsidR="004D2343" w:rsidRPr="00F85858" w:rsidRDefault="004D2343" w:rsidP="00EA4011">
      <w:pPr>
        <w:spacing w:line="360" w:lineRule="auto"/>
        <w:jc w:val="both"/>
        <w:rPr>
          <w:sz w:val="22"/>
          <w:szCs w:val="22"/>
        </w:rPr>
      </w:pPr>
      <w:r w:rsidRPr="00F85858">
        <w:rPr>
          <w:sz w:val="22"/>
          <w:szCs w:val="22"/>
        </w:rPr>
        <w:t>Menos:</w:t>
      </w:r>
      <w:r w:rsidRPr="00F85858">
        <w:rPr>
          <w:sz w:val="22"/>
          <w:szCs w:val="22"/>
        </w:rPr>
        <w:tab/>
      </w:r>
    </w:p>
    <w:p w:rsidR="004D2343" w:rsidRPr="008140D1" w:rsidRDefault="004D2343" w:rsidP="00EA4011">
      <w:pPr>
        <w:spacing w:line="360" w:lineRule="auto"/>
        <w:rPr>
          <w:sz w:val="22"/>
          <w:szCs w:val="22"/>
        </w:rPr>
      </w:pPr>
      <w:proofErr w:type="spellStart"/>
      <w:r w:rsidRPr="008140D1">
        <w:rPr>
          <w:sz w:val="22"/>
          <w:szCs w:val="22"/>
        </w:rPr>
        <w:t>Oblig</w:t>
      </w:r>
      <w:proofErr w:type="spellEnd"/>
      <w:r w:rsidRPr="008140D1">
        <w:rPr>
          <w:sz w:val="22"/>
          <w:szCs w:val="22"/>
        </w:rPr>
        <w:t>. Presupuestales Impagas</w:t>
      </w:r>
      <w:r w:rsidRPr="008140D1">
        <w:rPr>
          <w:sz w:val="22"/>
          <w:szCs w:val="22"/>
        </w:rPr>
        <w:tab/>
      </w:r>
      <w:r w:rsidRPr="008140D1">
        <w:rPr>
          <w:sz w:val="22"/>
          <w:szCs w:val="22"/>
        </w:rPr>
        <w:tab/>
        <w:t xml:space="preserve">   </w:t>
      </w:r>
      <w:r>
        <w:rPr>
          <w:sz w:val="22"/>
          <w:szCs w:val="22"/>
        </w:rPr>
        <w:t>483</w:t>
      </w:r>
      <w:r w:rsidRPr="008140D1">
        <w:rPr>
          <w:sz w:val="22"/>
          <w:szCs w:val="22"/>
        </w:rPr>
        <w:t>.</w:t>
      </w:r>
      <w:r>
        <w:rPr>
          <w:sz w:val="22"/>
          <w:szCs w:val="22"/>
        </w:rPr>
        <w:t>351</w:t>
      </w:r>
    </w:p>
    <w:p w:rsidR="004D2343" w:rsidRPr="008140D1" w:rsidRDefault="004D2343" w:rsidP="00EA4011">
      <w:pPr>
        <w:spacing w:line="360" w:lineRule="auto"/>
        <w:jc w:val="both"/>
        <w:rPr>
          <w:sz w:val="22"/>
          <w:szCs w:val="22"/>
        </w:rPr>
      </w:pPr>
      <w:r w:rsidRPr="008140D1">
        <w:rPr>
          <w:sz w:val="22"/>
          <w:szCs w:val="22"/>
        </w:rPr>
        <w:t xml:space="preserve">Indisponibles     </w:t>
      </w:r>
      <w:r w:rsidRPr="008140D1">
        <w:rPr>
          <w:sz w:val="22"/>
          <w:szCs w:val="22"/>
        </w:rPr>
        <w:tab/>
      </w:r>
      <w:r w:rsidRPr="008140D1">
        <w:rPr>
          <w:sz w:val="22"/>
          <w:szCs w:val="22"/>
        </w:rPr>
        <w:tab/>
      </w:r>
      <w:r w:rsidRPr="008140D1">
        <w:rPr>
          <w:sz w:val="22"/>
          <w:szCs w:val="22"/>
        </w:rPr>
        <w:tab/>
      </w:r>
      <w:r w:rsidRPr="008140D1">
        <w:rPr>
          <w:sz w:val="22"/>
          <w:szCs w:val="22"/>
        </w:rPr>
        <w:tab/>
      </w:r>
      <w:r w:rsidRPr="00460D79">
        <w:rPr>
          <w:sz w:val="22"/>
          <w:szCs w:val="22"/>
          <w:u w:val="single"/>
        </w:rPr>
        <w:t>1:481.650</w:t>
      </w:r>
      <w:r>
        <w:rPr>
          <w:sz w:val="22"/>
          <w:szCs w:val="22"/>
        </w:rPr>
        <w:t xml:space="preserve">                     (</w:t>
      </w:r>
      <w:r w:rsidRPr="00460D79">
        <w:rPr>
          <w:sz w:val="22"/>
          <w:szCs w:val="22"/>
          <w:u w:val="single"/>
        </w:rPr>
        <w:t>1:965.001)</w:t>
      </w:r>
      <w:r w:rsidRPr="008140D1">
        <w:rPr>
          <w:sz w:val="22"/>
          <w:szCs w:val="22"/>
        </w:rPr>
        <w:tab/>
      </w:r>
    </w:p>
    <w:p w:rsidR="004D2343" w:rsidRDefault="004D2343" w:rsidP="00EA4011">
      <w:pPr>
        <w:spacing w:line="360" w:lineRule="auto"/>
        <w:jc w:val="both"/>
        <w:rPr>
          <w:sz w:val="22"/>
          <w:szCs w:val="22"/>
        </w:rPr>
      </w:pPr>
      <w:r w:rsidRPr="00F85858">
        <w:rPr>
          <w:sz w:val="22"/>
          <w:szCs w:val="22"/>
        </w:rPr>
        <w:t>Saldo a favor de la Junta</w:t>
      </w:r>
      <w:r>
        <w:rPr>
          <w:b/>
          <w:sz w:val="22"/>
          <w:szCs w:val="22"/>
        </w:rPr>
        <w:tab/>
      </w:r>
      <w:r w:rsidRPr="008140D1">
        <w:rPr>
          <w:b/>
          <w:sz w:val="22"/>
          <w:szCs w:val="22"/>
        </w:rPr>
        <w:tab/>
      </w:r>
      <w:r w:rsidRPr="008140D1">
        <w:rPr>
          <w:b/>
          <w:sz w:val="22"/>
          <w:szCs w:val="22"/>
        </w:rPr>
        <w:tab/>
      </w:r>
      <w:r w:rsidRPr="008140D1">
        <w:rPr>
          <w:b/>
          <w:sz w:val="22"/>
          <w:szCs w:val="22"/>
        </w:rPr>
        <w:tab/>
      </w:r>
      <w:r w:rsidRPr="008140D1">
        <w:rPr>
          <w:b/>
          <w:sz w:val="22"/>
          <w:szCs w:val="22"/>
        </w:rPr>
        <w:tab/>
      </w:r>
      <w:r w:rsidRPr="008140D1">
        <w:rPr>
          <w:b/>
          <w:sz w:val="22"/>
          <w:szCs w:val="22"/>
        </w:rPr>
        <w:tab/>
        <w:t xml:space="preserve">   </w:t>
      </w:r>
      <w:r>
        <w:rPr>
          <w:b/>
          <w:sz w:val="22"/>
          <w:szCs w:val="22"/>
        </w:rPr>
        <w:t xml:space="preserve">   </w:t>
      </w:r>
      <w:r w:rsidRPr="00F85858">
        <w:rPr>
          <w:sz w:val="22"/>
          <w:szCs w:val="22"/>
        </w:rPr>
        <w:t>465.071</w:t>
      </w:r>
    </w:p>
    <w:p w:rsidR="004D2343" w:rsidRDefault="004D2343" w:rsidP="00EA4011">
      <w:pPr>
        <w:spacing w:line="360" w:lineRule="auto"/>
        <w:jc w:val="both"/>
        <w:rPr>
          <w:sz w:val="22"/>
          <w:szCs w:val="22"/>
        </w:rPr>
      </w:pPr>
    </w:p>
    <w:p w:rsidR="004D2343" w:rsidRDefault="004D2343" w:rsidP="00EA4011">
      <w:pPr>
        <w:spacing w:line="360" w:lineRule="auto"/>
        <w:jc w:val="both"/>
        <w:rPr>
          <w:b/>
        </w:rPr>
      </w:pPr>
      <w:r w:rsidRPr="007427F8">
        <w:rPr>
          <w:b/>
        </w:rPr>
        <w:t xml:space="preserve">2 </w:t>
      </w:r>
      <w:r>
        <w:rPr>
          <w:b/>
        </w:rPr>
        <w:t xml:space="preserve"> </w:t>
      </w:r>
      <w:r w:rsidRPr="007427F8">
        <w:rPr>
          <w:b/>
        </w:rPr>
        <w:t>Otras Constataciones</w:t>
      </w:r>
      <w:bookmarkEnd w:id="4"/>
    </w:p>
    <w:p w:rsidR="004D2343" w:rsidRPr="007427F8" w:rsidRDefault="004D2343" w:rsidP="004D2343">
      <w:pPr>
        <w:pStyle w:val="Prrafodelista"/>
        <w:numPr>
          <w:ilvl w:val="1"/>
          <w:numId w:val="3"/>
        </w:numPr>
        <w:spacing w:line="360" w:lineRule="auto"/>
        <w:jc w:val="both"/>
        <w:rPr>
          <w:b/>
          <w:sz w:val="22"/>
          <w:szCs w:val="22"/>
        </w:rPr>
      </w:pPr>
      <w:proofErr w:type="spellStart"/>
      <w:r w:rsidRPr="007427F8">
        <w:rPr>
          <w:b/>
        </w:rPr>
        <w:t>Disponiblidades</w:t>
      </w:r>
      <w:proofErr w:type="spellEnd"/>
    </w:p>
    <w:p w:rsidR="004D2343" w:rsidRDefault="004D2343" w:rsidP="00EA4011">
      <w:pPr>
        <w:spacing w:line="360" w:lineRule="auto"/>
        <w:jc w:val="both"/>
        <w:rPr>
          <w:kern w:val="22"/>
        </w:rPr>
      </w:pPr>
      <w:bookmarkStart w:id="5" w:name="_Toc426459843"/>
      <w:r w:rsidRPr="007427F8">
        <w:rPr>
          <w:b/>
          <w:kern w:val="22"/>
        </w:rPr>
        <w:t>2.1.1</w:t>
      </w:r>
      <w:r w:rsidRPr="00A27CE4">
        <w:rPr>
          <w:kern w:val="22"/>
        </w:rPr>
        <w:t xml:space="preserve"> Al igual que en </w:t>
      </w:r>
      <w:r>
        <w:rPr>
          <w:kern w:val="22"/>
        </w:rPr>
        <w:t>E</w:t>
      </w:r>
      <w:r w:rsidRPr="00A27CE4">
        <w:rPr>
          <w:kern w:val="22"/>
        </w:rPr>
        <w:t>jercicios anteriores, los arqueos de fondos no se realizan en forma sorpresiva.</w:t>
      </w:r>
    </w:p>
    <w:p w:rsidR="004D2343" w:rsidRDefault="004D2343" w:rsidP="00EA4011">
      <w:pPr>
        <w:spacing w:line="360" w:lineRule="auto"/>
        <w:jc w:val="both"/>
        <w:rPr>
          <w:kern w:val="22"/>
        </w:rPr>
      </w:pPr>
      <w:r w:rsidRPr="00940DC5">
        <w:rPr>
          <w:b/>
          <w:kern w:val="22"/>
        </w:rPr>
        <w:t>2.1.2</w:t>
      </w:r>
      <w:r>
        <w:rPr>
          <w:kern w:val="22"/>
        </w:rPr>
        <w:t xml:space="preserve"> Respecto al manejo de fondos, la Junta Departamental no utiliza el sistema de pagos mediante la modalidad de Caja Chica, para efectuar pagos de gastos menores.</w:t>
      </w:r>
    </w:p>
    <w:p w:rsidR="004D2343" w:rsidRDefault="004D2343" w:rsidP="00EA4011">
      <w:pPr>
        <w:spacing w:line="360" w:lineRule="auto"/>
        <w:jc w:val="both"/>
        <w:rPr>
          <w:rFonts w:eastAsia="Lucida Sans Unicode"/>
          <w:b/>
          <w:szCs w:val="22"/>
          <w:lang w:val="es-UY" w:eastAsia="en-US"/>
        </w:rPr>
      </w:pPr>
      <w:r w:rsidRPr="007427F8">
        <w:rPr>
          <w:b/>
        </w:rPr>
        <w:t>2.</w:t>
      </w:r>
      <w:r w:rsidRPr="00155F5D">
        <w:rPr>
          <w:b/>
        </w:rPr>
        <w:t>2</w:t>
      </w:r>
      <w:r w:rsidRPr="00155F5D">
        <w:rPr>
          <w:rFonts w:eastAsia="Lucida Sans Unicode"/>
          <w:b/>
          <w:szCs w:val="22"/>
          <w:lang w:val="es-UY" w:eastAsia="en-US"/>
        </w:rPr>
        <w:t xml:space="preserve"> Ajuste de asignaciones presupuestales</w:t>
      </w:r>
      <w:bookmarkEnd w:id="5"/>
    </w:p>
    <w:p w:rsidR="004D2343" w:rsidRDefault="004D2343" w:rsidP="00EA4011">
      <w:pPr>
        <w:spacing w:line="360" w:lineRule="auto"/>
        <w:jc w:val="both"/>
      </w:pPr>
      <w:r w:rsidRPr="00A27CE4">
        <w:t>El importe referente a la indexación de los objetos presupuestales no se expone en el Estado respectivo como lo establece el Instructivo del Tribunal de Cuentas</w:t>
      </w:r>
      <w:r w:rsidRPr="0060014D">
        <w:t xml:space="preserve"> de fecha 28/01/2004.</w:t>
      </w:r>
    </w:p>
    <w:p w:rsidR="004D2343" w:rsidRDefault="004D2343" w:rsidP="00EA4011">
      <w:pPr>
        <w:spacing w:line="360" w:lineRule="auto"/>
        <w:jc w:val="both"/>
        <w:rPr>
          <w:b/>
        </w:rPr>
      </w:pPr>
    </w:p>
    <w:p w:rsidR="004D2343" w:rsidRDefault="004D2343" w:rsidP="00EA4011">
      <w:pPr>
        <w:spacing w:line="360" w:lineRule="auto"/>
        <w:jc w:val="both"/>
        <w:rPr>
          <w:b/>
        </w:rPr>
      </w:pPr>
      <w:r w:rsidRPr="007427F8">
        <w:rPr>
          <w:b/>
        </w:rPr>
        <w:t>2 Recomendaciones</w:t>
      </w:r>
    </w:p>
    <w:p w:rsidR="004D2343" w:rsidRDefault="004D2343" w:rsidP="00EA4011">
      <w:pPr>
        <w:spacing w:line="360" w:lineRule="auto"/>
        <w:jc w:val="both"/>
        <w:rPr>
          <w:b/>
        </w:rPr>
      </w:pPr>
      <w:r>
        <w:rPr>
          <w:b/>
        </w:rPr>
        <w:t>2.</w:t>
      </w:r>
      <w:r w:rsidRPr="007427F8">
        <w:rPr>
          <w:b/>
        </w:rPr>
        <w:t xml:space="preserve">1 Recomendaciones del </w:t>
      </w:r>
      <w:r>
        <w:rPr>
          <w:b/>
        </w:rPr>
        <w:t>E</w:t>
      </w:r>
      <w:r w:rsidRPr="007427F8">
        <w:rPr>
          <w:b/>
        </w:rPr>
        <w:t>jercicio anterior cumplidas</w:t>
      </w:r>
      <w:bookmarkStart w:id="6" w:name="_Toc426459847"/>
    </w:p>
    <w:p w:rsidR="004D2343" w:rsidRPr="00131B75" w:rsidRDefault="004D2343" w:rsidP="00EA4011">
      <w:pPr>
        <w:suppressAutoHyphens w:val="0"/>
        <w:spacing w:line="360" w:lineRule="auto"/>
        <w:jc w:val="both"/>
        <w:rPr>
          <w:rFonts w:eastAsia="Lucida Sans Unicode" w:cs="F"/>
          <w:b/>
          <w:kern w:val="1"/>
          <w:szCs w:val="22"/>
          <w:lang w:val="es-UY" w:eastAsia="en-US"/>
        </w:rPr>
      </w:pPr>
      <w:bookmarkStart w:id="7" w:name="_Toc398125331"/>
      <w:bookmarkStart w:id="8" w:name="_Toc333331541"/>
      <w:bookmarkStart w:id="9" w:name="_Toc55043942"/>
      <w:bookmarkEnd w:id="6"/>
      <w:r w:rsidRPr="00131B75">
        <w:rPr>
          <w:b/>
        </w:rPr>
        <w:t>2</w:t>
      </w:r>
      <w:r w:rsidRPr="00131B75">
        <w:rPr>
          <w:b/>
          <w:lang w:val="es-ES_tradnl"/>
        </w:rPr>
        <w:t xml:space="preserve">.1.1 </w:t>
      </w:r>
      <w:r w:rsidRPr="00131B75">
        <w:rPr>
          <w:rFonts w:eastAsia="Lucida Sans Unicode" w:cs="F"/>
          <w:b/>
          <w:kern w:val="1"/>
          <w:szCs w:val="22"/>
          <w:lang w:val="es-UY" w:eastAsia="en-US"/>
        </w:rPr>
        <w:t>Artículo 32</w:t>
      </w:r>
      <w:r w:rsidRPr="00131B75">
        <w:rPr>
          <w:b/>
        </w:rPr>
        <w:t xml:space="preserve"> de la </w:t>
      </w:r>
      <w:r w:rsidRPr="00131B75">
        <w:rPr>
          <w:rFonts w:eastAsia="Lucida Sans Unicode" w:cs="F"/>
          <w:b/>
          <w:kern w:val="1"/>
          <w:szCs w:val="22"/>
          <w:lang w:val="es-UY" w:eastAsia="en-US"/>
        </w:rPr>
        <w:t>Ley Nº 11.923</w:t>
      </w:r>
    </w:p>
    <w:p w:rsidR="004D2343" w:rsidRDefault="004D2343" w:rsidP="00EA4011">
      <w:pPr>
        <w:spacing w:line="360" w:lineRule="auto"/>
        <w:jc w:val="both"/>
        <w:rPr>
          <w:rFonts w:eastAsia="Lucida Sans Unicode"/>
          <w:bCs/>
          <w:kern w:val="1"/>
          <w:lang w:val="es-ES_tradnl" w:eastAsia="x-none"/>
        </w:rPr>
      </w:pPr>
      <w:r>
        <w:rPr>
          <w:rFonts w:eastAsia="Lucida Sans Unicode"/>
          <w:bCs/>
          <w:kern w:val="1"/>
          <w:lang w:val="es-UY" w:eastAsia="x-none"/>
        </w:rPr>
        <w:t xml:space="preserve">La Junta Departamental implementó </w:t>
      </w:r>
      <w:r w:rsidRPr="00131B75">
        <w:rPr>
          <w:rFonts w:eastAsia="Lucida Sans Unicode"/>
          <w:bCs/>
          <w:kern w:val="1"/>
          <w:lang w:val="es-ES_tradnl" w:eastAsia="x-none"/>
        </w:rPr>
        <w:t>procedimientos a efectos de verificar que los funcionarios dependientes no perciban otro ingreso de origen público</w:t>
      </w:r>
      <w:r>
        <w:rPr>
          <w:rFonts w:eastAsia="Lucida Sans Unicode"/>
          <w:bCs/>
          <w:kern w:val="1"/>
          <w:lang w:val="es-ES_tradnl" w:eastAsia="x-none"/>
        </w:rPr>
        <w:t>.</w:t>
      </w:r>
    </w:p>
    <w:p w:rsidR="004D2343" w:rsidRPr="008B279D" w:rsidRDefault="004D2343" w:rsidP="002D40FB">
      <w:pPr>
        <w:pStyle w:val="Prrafodelista"/>
        <w:numPr>
          <w:ilvl w:val="2"/>
          <w:numId w:val="6"/>
        </w:numPr>
        <w:spacing w:line="360" w:lineRule="auto"/>
        <w:rPr>
          <w:rFonts w:eastAsia="Lucida Sans Unicode"/>
          <w:b/>
          <w:bCs/>
          <w:kern w:val="1"/>
          <w:lang w:val="es-ES_tradnl" w:eastAsia="x-none"/>
        </w:rPr>
      </w:pPr>
      <w:r w:rsidRPr="008B279D">
        <w:rPr>
          <w:rFonts w:eastAsia="Lucida Sans Unicode"/>
          <w:b/>
          <w:bCs/>
          <w:kern w:val="1"/>
          <w:lang w:val="es-ES_tradnl" w:eastAsia="x-none"/>
        </w:rPr>
        <w:t>Conciliación de saldos</w:t>
      </w:r>
    </w:p>
    <w:p w:rsidR="004D2343" w:rsidRDefault="004D2343" w:rsidP="00EA4011">
      <w:pPr>
        <w:spacing w:line="360" w:lineRule="auto"/>
        <w:jc w:val="both"/>
        <w:rPr>
          <w:rFonts w:eastAsia="Lucida Sans Unicode"/>
          <w:bCs/>
          <w:kern w:val="1"/>
          <w:lang w:val="es-ES_tradnl" w:eastAsia="x-none"/>
        </w:rPr>
      </w:pPr>
      <w:r w:rsidRPr="0057419C">
        <w:rPr>
          <w:rFonts w:eastAsia="Lucida Sans Unicode"/>
          <w:bCs/>
          <w:kern w:val="1"/>
          <w:lang w:val="es-ES_tradnl" w:eastAsia="x-none"/>
        </w:rPr>
        <w:t xml:space="preserve">La Junta Departamental </w:t>
      </w:r>
      <w:r>
        <w:rPr>
          <w:rFonts w:eastAsia="Lucida Sans Unicode"/>
          <w:bCs/>
          <w:kern w:val="1"/>
          <w:lang w:val="es-ES_tradnl" w:eastAsia="x-none"/>
        </w:rPr>
        <w:t>realizó un seguimiento de sus ingresos con los duodécimos informados por parte de la Intendencia, no constatándose diferencias significativas.</w:t>
      </w:r>
      <w:bookmarkStart w:id="10" w:name="_Toc398125325"/>
      <w:bookmarkStart w:id="11" w:name="_Toc426459848"/>
      <w:bookmarkEnd w:id="7"/>
    </w:p>
    <w:p w:rsidR="004D2343" w:rsidRPr="007427F8" w:rsidRDefault="004D2343" w:rsidP="00EA4011">
      <w:pPr>
        <w:suppressAutoHyphens w:val="0"/>
        <w:spacing w:line="360" w:lineRule="auto"/>
        <w:jc w:val="both"/>
        <w:rPr>
          <w:b/>
        </w:rPr>
      </w:pPr>
      <w:r w:rsidRPr="007427F8">
        <w:rPr>
          <w:b/>
        </w:rPr>
        <w:t xml:space="preserve">3.2. Recomendaciones del </w:t>
      </w:r>
      <w:r>
        <w:rPr>
          <w:b/>
        </w:rPr>
        <w:t>E</w:t>
      </w:r>
      <w:r w:rsidRPr="007427F8">
        <w:rPr>
          <w:b/>
        </w:rPr>
        <w:t>jercicio anterior no cumplidas</w:t>
      </w:r>
      <w:bookmarkEnd w:id="8"/>
      <w:bookmarkEnd w:id="10"/>
      <w:bookmarkEnd w:id="11"/>
    </w:p>
    <w:p w:rsidR="004D2343" w:rsidRDefault="004D2343" w:rsidP="00EA4011">
      <w:pPr>
        <w:suppressAutoHyphens w:val="0"/>
        <w:spacing w:line="360" w:lineRule="auto"/>
        <w:jc w:val="both"/>
        <w:rPr>
          <w:b/>
          <w:kern w:val="1"/>
          <w:szCs w:val="20"/>
          <w:lang w:val="es-ES_tradnl" w:eastAsia="x-none"/>
        </w:rPr>
      </w:pPr>
      <w:bookmarkStart w:id="12" w:name="_Toc333331542"/>
      <w:bookmarkStart w:id="13" w:name="_Toc398125326"/>
      <w:r>
        <w:rPr>
          <w:b/>
        </w:rPr>
        <w:t>3</w:t>
      </w:r>
      <w:r w:rsidRPr="00636423">
        <w:rPr>
          <w:b/>
        </w:rPr>
        <w:t xml:space="preserve">.2.1 </w:t>
      </w:r>
      <w:bookmarkStart w:id="14" w:name="_Toc202002156"/>
      <w:bookmarkStart w:id="15" w:name="_Toc333331544"/>
      <w:bookmarkStart w:id="16" w:name="_Toc398125327"/>
      <w:bookmarkEnd w:id="12"/>
      <w:bookmarkEnd w:id="13"/>
      <w:r w:rsidRPr="00E56CE0">
        <w:rPr>
          <w:b/>
          <w:kern w:val="1"/>
          <w:szCs w:val="20"/>
          <w:lang w:val="es-ES_tradnl" w:eastAsia="x-none"/>
        </w:rPr>
        <w:t>Artículo</w:t>
      </w:r>
      <w:r>
        <w:rPr>
          <w:b/>
          <w:kern w:val="1"/>
          <w:szCs w:val="20"/>
          <w:lang w:val="es-ES_tradnl" w:eastAsia="x-none"/>
        </w:rPr>
        <w:t>s 14 y</w:t>
      </w:r>
      <w:r w:rsidRPr="00E56CE0">
        <w:rPr>
          <w:b/>
          <w:kern w:val="1"/>
          <w:szCs w:val="20"/>
          <w:lang w:val="es-ES_tradnl" w:eastAsia="x-none"/>
        </w:rPr>
        <w:t xml:space="preserve"> 23 del TOCAF</w:t>
      </w:r>
    </w:p>
    <w:p w:rsidR="004D2343" w:rsidRDefault="004D2343" w:rsidP="00EA4011">
      <w:pPr>
        <w:tabs>
          <w:tab w:val="left" w:pos="360"/>
          <w:tab w:val="left" w:pos="567"/>
          <w:tab w:val="left" w:pos="1560"/>
          <w:tab w:val="right" w:pos="5387"/>
          <w:tab w:val="right" w:pos="7513"/>
        </w:tabs>
        <w:spacing w:after="200" w:line="360" w:lineRule="auto"/>
        <w:jc w:val="both"/>
        <w:textAlignment w:val="baseline"/>
        <w:rPr>
          <w:kern w:val="1"/>
          <w:szCs w:val="20"/>
          <w:lang w:val="es-ES_tradnl" w:eastAsia="x-none"/>
        </w:rPr>
      </w:pPr>
      <w:r>
        <w:rPr>
          <w:kern w:val="1"/>
          <w:szCs w:val="20"/>
          <w:lang w:val="es-ES_tradnl" w:eastAsia="x-none"/>
        </w:rPr>
        <w:t>La Junta Departamental deberá aplicar la citada normativa para un adecuado cumplimiento del proceso del gasto.</w:t>
      </w:r>
    </w:p>
    <w:p w:rsidR="004D2343" w:rsidRPr="007427F8" w:rsidRDefault="004D2343" w:rsidP="004D2343">
      <w:pPr>
        <w:pStyle w:val="Prrafodelista"/>
        <w:numPr>
          <w:ilvl w:val="2"/>
          <w:numId w:val="4"/>
        </w:numPr>
        <w:spacing w:line="360" w:lineRule="auto"/>
        <w:rPr>
          <w:b/>
        </w:rPr>
      </w:pPr>
      <w:r w:rsidRPr="007427F8">
        <w:rPr>
          <w:b/>
        </w:rPr>
        <w:t>Artículo 94 del TOCAF y Ordenanza 81 del Tribunal de Cuentas</w:t>
      </w:r>
      <w:bookmarkEnd w:id="14"/>
      <w:bookmarkEnd w:id="15"/>
      <w:bookmarkEnd w:id="16"/>
    </w:p>
    <w:p w:rsidR="004D2343" w:rsidRDefault="004D2343" w:rsidP="00EA4011">
      <w:pPr>
        <w:spacing w:line="360" w:lineRule="auto"/>
        <w:jc w:val="both"/>
        <w:rPr>
          <w:kern w:val="18"/>
          <w:szCs w:val="20"/>
          <w:lang w:val="es-ES_tradnl"/>
        </w:rPr>
      </w:pPr>
      <w:r>
        <w:rPr>
          <w:kern w:val="18"/>
          <w:szCs w:val="20"/>
          <w:lang w:val="es-ES_tradnl"/>
        </w:rPr>
        <w:t>Se deberá implementar un sistema de contabilidad patrimonial a efectos de cumplir con lo establecido en el Artículo 94 del TOCAF y la Ordenanza 81 de este Tribunal.</w:t>
      </w:r>
      <w:bookmarkStart w:id="17" w:name="_Toc398125332"/>
      <w:bookmarkStart w:id="18" w:name="_Toc426459849"/>
    </w:p>
    <w:p w:rsidR="004D2343" w:rsidRDefault="004D2343" w:rsidP="00EA4011">
      <w:pPr>
        <w:spacing w:line="360" w:lineRule="auto"/>
        <w:rPr>
          <w:b/>
          <w:lang w:val="es-ES_tradnl"/>
        </w:rPr>
      </w:pPr>
    </w:p>
    <w:p w:rsidR="004D2343" w:rsidRPr="007427F8" w:rsidRDefault="008257A8" w:rsidP="00EA4011">
      <w:pPr>
        <w:spacing w:line="360" w:lineRule="auto"/>
        <w:rPr>
          <w:b/>
        </w:rPr>
      </w:pPr>
      <w:r>
        <w:rPr>
          <w:b/>
          <w:lang w:val="es-ES_tradnl"/>
        </w:rPr>
        <w:t>3.3</w:t>
      </w:r>
      <w:r w:rsidR="004D2343" w:rsidRPr="007427F8">
        <w:rPr>
          <w:b/>
          <w:lang w:val="es-ES_tradnl"/>
        </w:rPr>
        <w:t xml:space="preserve"> Recomendaciones del </w:t>
      </w:r>
      <w:r w:rsidR="004D2343">
        <w:rPr>
          <w:b/>
          <w:lang w:val="es-ES_tradnl"/>
        </w:rPr>
        <w:t>E</w:t>
      </w:r>
      <w:r w:rsidR="004D2343" w:rsidRPr="007427F8">
        <w:rPr>
          <w:b/>
          <w:lang w:val="es-ES_tradnl"/>
        </w:rPr>
        <w:t>jercicio</w:t>
      </w:r>
      <w:bookmarkEnd w:id="17"/>
      <w:bookmarkEnd w:id="18"/>
    </w:p>
    <w:p w:rsidR="004D2343" w:rsidRDefault="004D2343" w:rsidP="00EA4011">
      <w:pPr>
        <w:keepNext/>
        <w:widowControl w:val="0"/>
        <w:tabs>
          <w:tab w:val="left" w:pos="1695"/>
        </w:tabs>
        <w:spacing w:after="240" w:line="360" w:lineRule="auto"/>
        <w:jc w:val="both"/>
        <w:rPr>
          <w:kern w:val="18"/>
          <w:szCs w:val="20"/>
          <w:lang w:val="es-ES_tradnl"/>
        </w:rPr>
      </w:pPr>
      <w:r>
        <w:rPr>
          <w:kern w:val="18"/>
          <w:szCs w:val="20"/>
          <w:lang w:val="es-ES_tradnl"/>
        </w:rPr>
        <w:t>Se reiteran las recomendaciones del P</w:t>
      </w:r>
      <w:r w:rsidRPr="00131B75">
        <w:rPr>
          <w:kern w:val="18"/>
          <w:szCs w:val="20"/>
          <w:lang w:val="es-ES_tradnl"/>
        </w:rPr>
        <w:t>árrafo 3.2</w:t>
      </w:r>
      <w:r>
        <w:rPr>
          <w:kern w:val="18"/>
          <w:szCs w:val="20"/>
          <w:lang w:val="es-ES_tradnl"/>
        </w:rPr>
        <w:t>.</w:t>
      </w:r>
    </w:p>
    <w:bookmarkEnd w:id="9"/>
    <w:p w:rsidR="004D2343" w:rsidRDefault="004D2343" w:rsidP="00EA4011">
      <w:pPr>
        <w:keepNext/>
        <w:widowControl w:val="0"/>
        <w:spacing w:line="360" w:lineRule="auto"/>
        <w:jc w:val="right"/>
        <w:rPr>
          <w:kern w:val="18"/>
          <w:szCs w:val="20"/>
          <w:lang w:val="es-ES_tradnl"/>
        </w:rPr>
      </w:pPr>
      <w:r>
        <w:rPr>
          <w:kern w:val="18"/>
          <w:szCs w:val="20"/>
          <w:lang w:val="es-ES_tradnl"/>
        </w:rPr>
        <w:t>Montevideo, 22 de agosto de 2016</w:t>
      </w:r>
    </w:p>
    <w:p w:rsidR="00FF1F27" w:rsidRPr="00167D54" w:rsidRDefault="00167D54">
      <w:pPr>
        <w:rPr>
          <w:sz w:val="20"/>
          <w:szCs w:val="20"/>
        </w:rPr>
      </w:pPr>
      <w:r>
        <w:rPr>
          <w:sz w:val="20"/>
          <w:szCs w:val="20"/>
        </w:rPr>
        <w:t>CLC</w:t>
      </w:r>
    </w:p>
    <w:sectPr w:rsidR="00FF1F27" w:rsidRPr="00167D54" w:rsidSect="007833D4">
      <w:pgSz w:w="11906" w:h="16838" w:code="9"/>
      <w:pgMar w:top="3402" w:right="1701" w:bottom="1134" w:left="1701"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num" w:pos="360"/>
        </w:tabs>
        <w:ind w:left="360" w:hanging="360"/>
      </w:pPr>
      <w:rPr>
        <w:b/>
      </w:rPr>
    </w:lvl>
  </w:abstractNum>
  <w:abstractNum w:abstractNumId="1">
    <w:nsid w:val="49975FDE"/>
    <w:multiLevelType w:val="multilevel"/>
    <w:tmpl w:val="4686165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C98374D"/>
    <w:multiLevelType w:val="multilevel"/>
    <w:tmpl w:val="A2868D9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F03308F"/>
    <w:multiLevelType w:val="multilevel"/>
    <w:tmpl w:val="424EFD4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AFF066D"/>
    <w:multiLevelType w:val="multilevel"/>
    <w:tmpl w:val="78E8E46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AB01758"/>
    <w:multiLevelType w:val="multilevel"/>
    <w:tmpl w:val="82D47CCE"/>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49"/>
    <w:rsid w:val="000A7E49"/>
    <w:rsid w:val="00167D54"/>
    <w:rsid w:val="002D40FB"/>
    <w:rsid w:val="003C3F9C"/>
    <w:rsid w:val="003C6237"/>
    <w:rsid w:val="003D3011"/>
    <w:rsid w:val="004D2343"/>
    <w:rsid w:val="00506ABC"/>
    <w:rsid w:val="005B1F64"/>
    <w:rsid w:val="006047EF"/>
    <w:rsid w:val="00643603"/>
    <w:rsid w:val="006C7D62"/>
    <w:rsid w:val="006E509F"/>
    <w:rsid w:val="00702EDD"/>
    <w:rsid w:val="0076247F"/>
    <w:rsid w:val="00766BAC"/>
    <w:rsid w:val="007672E6"/>
    <w:rsid w:val="007833D4"/>
    <w:rsid w:val="007D1306"/>
    <w:rsid w:val="008257A8"/>
    <w:rsid w:val="00870FBA"/>
    <w:rsid w:val="008B279D"/>
    <w:rsid w:val="008D4BA6"/>
    <w:rsid w:val="00942C02"/>
    <w:rsid w:val="009D216B"/>
    <w:rsid w:val="009D2FE8"/>
    <w:rsid w:val="00B26C38"/>
    <w:rsid w:val="00B35450"/>
    <w:rsid w:val="00B56AD8"/>
    <w:rsid w:val="00BB3678"/>
    <w:rsid w:val="00D67427"/>
    <w:rsid w:val="00DA418B"/>
    <w:rsid w:val="00EA4011"/>
    <w:rsid w:val="00F93274"/>
    <w:rsid w:val="00FF1F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pPr>
    <w:rPr>
      <w:rFonts w:ascii="Arial" w:eastAsia="Times New Roman" w:hAnsi="Arial" w:cs="Arial"/>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link w:val="Textoindependiente"/>
    <w:rsid w:val="000A7E49"/>
    <w:rPr>
      <w:rFonts w:ascii="Arial" w:eastAsia="Times New Roman" w:hAnsi="Arial" w:cs="Arial"/>
      <w:kern w:val="1"/>
      <w:sz w:val="24"/>
      <w:szCs w:val="20"/>
      <w:lang w:val="es-ES_tradnl" w:eastAsia="zh-CN"/>
    </w:rPr>
  </w:style>
  <w:style w:type="paragraph" w:styleId="Subttulo">
    <w:name w:val="Subtitle"/>
    <w:basedOn w:val="Normal"/>
    <w:next w:val="Textoindependiente"/>
    <w:link w:val="SubttuloCar"/>
    <w:qFormat/>
    <w:rsid w:val="004D2343"/>
    <w:pPr>
      <w:spacing w:line="360" w:lineRule="auto"/>
      <w:jc w:val="both"/>
    </w:pPr>
    <w:rPr>
      <w:rFonts w:ascii="Bookman Old Style" w:hAnsi="Bookman Old Style" w:cs="Bookman Old Style"/>
      <w:b/>
      <w:kern w:val="1"/>
      <w:szCs w:val="20"/>
    </w:rPr>
  </w:style>
  <w:style w:type="character" w:customStyle="1" w:styleId="SubttuloCar">
    <w:name w:val="Subtítulo Car"/>
    <w:basedOn w:val="Fuentedeprrafopredeter"/>
    <w:link w:val="Subttulo"/>
    <w:rsid w:val="004D2343"/>
    <w:rPr>
      <w:rFonts w:ascii="Bookman Old Style" w:eastAsia="Times New Roman" w:hAnsi="Bookman Old Style" w:cs="Bookman Old Style"/>
      <w:b/>
      <w:kern w:val="1"/>
      <w:sz w:val="24"/>
      <w:lang w:val="es-ES" w:eastAsia="zh-CN"/>
    </w:rPr>
  </w:style>
  <w:style w:type="paragraph" w:styleId="Encabezado">
    <w:name w:val="header"/>
    <w:basedOn w:val="Normal"/>
    <w:link w:val="EncabezadoCar"/>
    <w:rsid w:val="004D2343"/>
    <w:pPr>
      <w:tabs>
        <w:tab w:val="center" w:pos="4419"/>
        <w:tab w:val="right" w:pos="8838"/>
      </w:tabs>
    </w:pPr>
  </w:style>
  <w:style w:type="character" w:customStyle="1" w:styleId="EncabezadoCar">
    <w:name w:val="Encabezado Car"/>
    <w:basedOn w:val="Fuentedeprrafopredeter"/>
    <w:link w:val="Encabezado"/>
    <w:rsid w:val="004D2343"/>
    <w:rPr>
      <w:rFonts w:ascii="Arial" w:eastAsia="Times New Roman" w:hAnsi="Arial" w:cs="Arial"/>
      <w:sz w:val="24"/>
      <w:szCs w:val="24"/>
      <w:lang w:val="es-ES" w:eastAsia="zh-CN"/>
    </w:rPr>
  </w:style>
  <w:style w:type="paragraph" w:customStyle="1" w:styleId="Textonormal">
    <w:name w:val="Texto normal"/>
    <w:basedOn w:val="Textoindependiente"/>
    <w:rsid w:val="004D2343"/>
    <w:pPr>
      <w:widowControl w:val="0"/>
      <w:tabs>
        <w:tab w:val="left" w:pos="-720"/>
      </w:tabs>
      <w:spacing w:after="0" w:line="480" w:lineRule="auto"/>
      <w:jc w:val="left"/>
    </w:pPr>
    <w:rPr>
      <w:rFonts w:ascii="Courier" w:hAnsi="Courier" w:cs="Courier"/>
      <w:spacing w:val="-3"/>
      <w:szCs w:val="24"/>
    </w:rPr>
  </w:style>
  <w:style w:type="paragraph" w:styleId="Prrafodelista">
    <w:name w:val="List Paragraph"/>
    <w:basedOn w:val="Normal"/>
    <w:uiPriority w:val="34"/>
    <w:qFormat/>
    <w:rsid w:val="004D2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pPr>
    <w:rPr>
      <w:rFonts w:ascii="Arial" w:eastAsia="Times New Roman" w:hAnsi="Arial" w:cs="Arial"/>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link w:val="Textoindependiente"/>
    <w:rsid w:val="000A7E49"/>
    <w:rPr>
      <w:rFonts w:ascii="Arial" w:eastAsia="Times New Roman" w:hAnsi="Arial" w:cs="Arial"/>
      <w:kern w:val="1"/>
      <w:sz w:val="24"/>
      <w:szCs w:val="20"/>
      <w:lang w:val="es-ES_tradnl" w:eastAsia="zh-CN"/>
    </w:rPr>
  </w:style>
  <w:style w:type="paragraph" w:styleId="Subttulo">
    <w:name w:val="Subtitle"/>
    <w:basedOn w:val="Normal"/>
    <w:next w:val="Textoindependiente"/>
    <w:link w:val="SubttuloCar"/>
    <w:qFormat/>
    <w:rsid w:val="004D2343"/>
    <w:pPr>
      <w:spacing w:line="360" w:lineRule="auto"/>
      <w:jc w:val="both"/>
    </w:pPr>
    <w:rPr>
      <w:rFonts w:ascii="Bookman Old Style" w:hAnsi="Bookman Old Style" w:cs="Bookman Old Style"/>
      <w:b/>
      <w:kern w:val="1"/>
      <w:szCs w:val="20"/>
    </w:rPr>
  </w:style>
  <w:style w:type="character" w:customStyle="1" w:styleId="SubttuloCar">
    <w:name w:val="Subtítulo Car"/>
    <w:basedOn w:val="Fuentedeprrafopredeter"/>
    <w:link w:val="Subttulo"/>
    <w:rsid w:val="004D2343"/>
    <w:rPr>
      <w:rFonts w:ascii="Bookman Old Style" w:eastAsia="Times New Roman" w:hAnsi="Bookman Old Style" w:cs="Bookman Old Style"/>
      <w:b/>
      <w:kern w:val="1"/>
      <w:sz w:val="24"/>
      <w:lang w:val="es-ES" w:eastAsia="zh-CN"/>
    </w:rPr>
  </w:style>
  <w:style w:type="paragraph" w:styleId="Encabezado">
    <w:name w:val="header"/>
    <w:basedOn w:val="Normal"/>
    <w:link w:val="EncabezadoCar"/>
    <w:rsid w:val="004D2343"/>
    <w:pPr>
      <w:tabs>
        <w:tab w:val="center" w:pos="4419"/>
        <w:tab w:val="right" w:pos="8838"/>
      </w:tabs>
    </w:pPr>
  </w:style>
  <w:style w:type="character" w:customStyle="1" w:styleId="EncabezadoCar">
    <w:name w:val="Encabezado Car"/>
    <w:basedOn w:val="Fuentedeprrafopredeter"/>
    <w:link w:val="Encabezado"/>
    <w:rsid w:val="004D2343"/>
    <w:rPr>
      <w:rFonts w:ascii="Arial" w:eastAsia="Times New Roman" w:hAnsi="Arial" w:cs="Arial"/>
      <w:sz w:val="24"/>
      <w:szCs w:val="24"/>
      <w:lang w:val="es-ES" w:eastAsia="zh-CN"/>
    </w:rPr>
  </w:style>
  <w:style w:type="paragraph" w:customStyle="1" w:styleId="Textonormal">
    <w:name w:val="Texto normal"/>
    <w:basedOn w:val="Textoindependiente"/>
    <w:rsid w:val="004D2343"/>
    <w:pPr>
      <w:widowControl w:val="0"/>
      <w:tabs>
        <w:tab w:val="left" w:pos="-720"/>
      </w:tabs>
      <w:spacing w:after="0" w:line="480" w:lineRule="auto"/>
      <w:jc w:val="left"/>
    </w:pPr>
    <w:rPr>
      <w:rFonts w:ascii="Courier" w:hAnsi="Courier" w:cs="Courier"/>
      <w:spacing w:val="-3"/>
      <w:szCs w:val="24"/>
    </w:rPr>
  </w:style>
  <w:style w:type="paragraph" w:styleId="Prrafodelista">
    <w:name w:val="List Paragraph"/>
    <w:basedOn w:val="Normal"/>
    <w:uiPriority w:val="34"/>
    <w:qFormat/>
    <w:rsid w:val="004D2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1255</Words>
  <Characters>6905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Hernandez</dc:creator>
  <cp:lastModifiedBy> </cp:lastModifiedBy>
  <cp:revision>8</cp:revision>
  <cp:lastPrinted>2016-09-20T17:49:00Z</cp:lastPrinted>
  <dcterms:created xsi:type="dcterms:W3CDTF">2016-09-20T16:58:00Z</dcterms:created>
  <dcterms:modified xsi:type="dcterms:W3CDTF">2017-01-27T15:48:00Z</dcterms:modified>
</cp:coreProperties>
</file>