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6D0" w:rsidRPr="00E626D0" w:rsidRDefault="00E626D0" w:rsidP="00E626D0">
      <w:pPr>
        <w:tabs>
          <w:tab w:val="center" w:pos="4253"/>
        </w:tab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3129/16</w:t>
      </w:r>
    </w:p>
    <w:p w:rsidR="00E626D0" w:rsidRPr="00E626D0" w:rsidRDefault="00E626D0" w:rsidP="00E626D0">
      <w:pPr>
        <w:tabs>
          <w:tab w:val="center" w:pos="4253"/>
        </w:tabs>
        <w:jc w:val="center"/>
        <w:rPr>
          <w:rFonts w:ascii="Arial" w:hAnsi="Arial" w:cs="Arial"/>
          <w:b/>
          <w:sz w:val="24"/>
          <w:szCs w:val="24"/>
          <w:lang w:val="es-ES_tradnl"/>
        </w:rPr>
      </w:pPr>
      <w:r w:rsidRPr="00E626D0">
        <w:rPr>
          <w:rFonts w:ascii="Arial" w:hAnsi="Arial" w:cs="Arial"/>
          <w:b/>
          <w:sz w:val="24"/>
          <w:szCs w:val="24"/>
          <w:lang w:val="es-ES_tradnl"/>
        </w:rPr>
        <w:t>RESOLUCION ADOPTADA POR EL</w:t>
      </w:r>
    </w:p>
    <w:p w:rsidR="00E626D0" w:rsidRPr="00E626D0" w:rsidRDefault="00E626D0" w:rsidP="00E626D0">
      <w:pPr>
        <w:tabs>
          <w:tab w:val="center" w:pos="4253"/>
        </w:tabs>
        <w:jc w:val="center"/>
        <w:rPr>
          <w:rFonts w:ascii="Arial" w:hAnsi="Arial" w:cs="Arial"/>
          <w:b/>
          <w:sz w:val="24"/>
          <w:szCs w:val="24"/>
          <w:lang w:val="es-ES_tradnl"/>
        </w:rPr>
      </w:pPr>
      <w:r>
        <w:rPr>
          <w:rFonts w:ascii="Arial" w:hAnsi="Arial" w:cs="Arial"/>
          <w:b/>
          <w:sz w:val="24"/>
          <w:szCs w:val="24"/>
          <w:lang w:val="es-ES_tradnl"/>
        </w:rPr>
        <w:t>TRIBUNAL DE CUENTAS</w:t>
      </w:r>
    </w:p>
    <w:p w:rsidR="00E626D0" w:rsidRPr="00E626D0" w:rsidRDefault="00E626D0" w:rsidP="00E626D0">
      <w:pPr>
        <w:tabs>
          <w:tab w:val="center" w:pos="4253"/>
        </w:tabs>
        <w:jc w:val="center"/>
        <w:rPr>
          <w:rFonts w:ascii="Arial" w:hAnsi="Arial" w:cs="Arial"/>
          <w:b/>
          <w:sz w:val="24"/>
          <w:szCs w:val="24"/>
          <w:lang w:val="es-ES_tradnl"/>
        </w:rPr>
      </w:pPr>
      <w:r w:rsidRPr="00E626D0">
        <w:rPr>
          <w:rFonts w:ascii="Arial" w:hAnsi="Arial" w:cs="Arial"/>
          <w:b/>
          <w:sz w:val="24"/>
          <w:szCs w:val="24"/>
          <w:lang w:val="es-ES_tradnl"/>
        </w:rPr>
        <w:t>EN SESION DE FECHA 7 DE SEPTIEMBRE DE 2016</w:t>
      </w:r>
    </w:p>
    <w:p w:rsidR="00E626D0" w:rsidRPr="004E4FB6" w:rsidRDefault="00E626D0" w:rsidP="00E626D0">
      <w:pPr>
        <w:tabs>
          <w:tab w:val="center" w:pos="4253"/>
        </w:tabs>
        <w:jc w:val="center"/>
        <w:rPr>
          <w:rFonts w:ascii="Arial" w:hAnsi="Arial" w:cs="Arial"/>
          <w:b/>
          <w:sz w:val="24"/>
          <w:szCs w:val="24"/>
        </w:rPr>
      </w:pPr>
      <w:r w:rsidRPr="004E4FB6">
        <w:rPr>
          <w:rFonts w:ascii="Arial" w:hAnsi="Arial" w:cs="Arial"/>
          <w:b/>
          <w:sz w:val="24"/>
          <w:szCs w:val="24"/>
        </w:rPr>
        <w:t xml:space="preserve">(E. E. Nº 2016-17-1-0002064, </w:t>
      </w:r>
      <w:proofErr w:type="spellStart"/>
      <w:r w:rsidRPr="004E4FB6">
        <w:rPr>
          <w:rFonts w:ascii="Arial" w:hAnsi="Arial" w:cs="Arial"/>
          <w:b/>
          <w:sz w:val="24"/>
          <w:szCs w:val="24"/>
        </w:rPr>
        <w:t>Ent</w:t>
      </w:r>
      <w:proofErr w:type="spellEnd"/>
      <w:r w:rsidRPr="004E4FB6">
        <w:rPr>
          <w:rFonts w:ascii="Arial" w:hAnsi="Arial" w:cs="Arial"/>
          <w:b/>
          <w:sz w:val="24"/>
          <w:szCs w:val="24"/>
        </w:rPr>
        <w:t>. N° 1552/16)</w:t>
      </w:r>
    </w:p>
    <w:p w:rsidR="004001A8" w:rsidRPr="004F32E7" w:rsidRDefault="004001A8" w:rsidP="00E626D0">
      <w:pPr>
        <w:tabs>
          <w:tab w:val="center" w:pos="4253"/>
        </w:tabs>
        <w:spacing w:after="0" w:line="240" w:lineRule="auto"/>
        <w:rPr>
          <w:rFonts w:ascii="Arial" w:hAnsi="Arial" w:cs="Arial"/>
          <w:spacing w:val="-3"/>
          <w:sz w:val="24"/>
          <w:szCs w:val="24"/>
          <w:lang w:val="es-ES_tradnl"/>
        </w:rPr>
      </w:pP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VISTO:</w:t>
      </w:r>
      <w:r w:rsidRPr="00E551F0">
        <w:rPr>
          <w:rFonts w:ascii="Arial" w:hAnsi="Arial" w:cs="Arial"/>
          <w:sz w:val="24"/>
          <w:szCs w:val="24"/>
        </w:rPr>
        <w:t xml:space="preserve"> que este Tribunal ha examinado los </w:t>
      </w:r>
      <w:r>
        <w:rPr>
          <w:rFonts w:ascii="Arial" w:hAnsi="Arial" w:cs="Arial"/>
          <w:sz w:val="24"/>
          <w:szCs w:val="24"/>
        </w:rPr>
        <w:t>E</w:t>
      </w:r>
      <w:r w:rsidRPr="00E551F0">
        <w:rPr>
          <w:rFonts w:ascii="Arial" w:hAnsi="Arial" w:cs="Arial"/>
          <w:sz w:val="24"/>
          <w:szCs w:val="24"/>
        </w:rPr>
        <w:t xml:space="preserve">stados </w:t>
      </w:r>
      <w:r>
        <w:rPr>
          <w:rFonts w:ascii="Arial" w:hAnsi="Arial" w:cs="Arial"/>
          <w:sz w:val="24"/>
          <w:szCs w:val="24"/>
        </w:rPr>
        <w:t>F</w:t>
      </w:r>
      <w:r w:rsidRPr="00E551F0">
        <w:rPr>
          <w:rFonts w:ascii="Arial" w:hAnsi="Arial" w:cs="Arial"/>
          <w:sz w:val="24"/>
          <w:szCs w:val="24"/>
        </w:rPr>
        <w:t xml:space="preserve">inancieros de la Junta Departamental </w:t>
      </w:r>
      <w:r w:rsidR="00E626D0">
        <w:rPr>
          <w:rFonts w:ascii="Arial" w:hAnsi="Arial" w:cs="Arial"/>
          <w:sz w:val="24"/>
          <w:szCs w:val="24"/>
        </w:rPr>
        <w:t>de Florida correspondientes al E</w:t>
      </w:r>
      <w:r w:rsidRPr="00E551F0">
        <w:rPr>
          <w:rFonts w:ascii="Arial" w:hAnsi="Arial" w:cs="Arial"/>
          <w:sz w:val="24"/>
          <w:szCs w:val="24"/>
        </w:rPr>
        <w:t>jercicio 201</w:t>
      </w:r>
      <w:r>
        <w:rPr>
          <w:rFonts w:ascii="Arial" w:hAnsi="Arial" w:cs="Arial"/>
          <w:sz w:val="24"/>
          <w:szCs w:val="24"/>
        </w:rPr>
        <w:t>5</w:t>
      </w:r>
      <w:r w:rsidRPr="00E551F0">
        <w:rPr>
          <w:rFonts w:ascii="Arial" w:hAnsi="Arial" w:cs="Arial"/>
          <w:sz w:val="24"/>
          <w:szCs w:val="24"/>
        </w:rPr>
        <w:t>;</w:t>
      </w: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 xml:space="preserve">RESULTANDO: </w:t>
      </w:r>
      <w:r w:rsidRPr="00E551F0">
        <w:rPr>
          <w:rFonts w:ascii="Arial" w:hAnsi="Arial" w:cs="Arial"/>
          <w:sz w:val="24"/>
          <w:szCs w:val="24"/>
        </w:rPr>
        <w:t xml:space="preserve">que el examen se efectuó de acuerdo con los Principios Fundamentales de Auditoría (ISSAI 100 y 200) y las Directrices de Auditoría Financiera (ISSAI </w:t>
      </w:r>
      <w:smartTag w:uri="urn:schemas-microsoft-com:office:smarttags" w:element="metricconverter">
        <w:smartTagPr>
          <w:attr w:name="ProductID" w:val="1000 a"/>
        </w:smartTagPr>
        <w:r w:rsidRPr="00E551F0">
          <w:rPr>
            <w:rFonts w:ascii="Arial" w:hAnsi="Arial" w:cs="Arial"/>
            <w:sz w:val="24"/>
            <w:szCs w:val="24"/>
          </w:rPr>
          <w:t>1000 a</w:t>
        </w:r>
      </w:smartTag>
      <w:r w:rsidRPr="00E551F0">
        <w:rPr>
          <w:rFonts w:ascii="Arial" w:hAnsi="Arial" w:cs="Arial"/>
          <w:sz w:val="24"/>
          <w:szCs w:val="24"/>
        </w:rPr>
        <w:t xml:space="preserve"> 1810) de la Organización Internacional de Entidades Fiscalizadoras Superiores (INTOSAI), habiéndose llevado a cabo los procedimientos considerados necesarios en las circunstancias;</w:t>
      </w: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 xml:space="preserve">CONSIDERANDO: </w:t>
      </w:r>
      <w:r w:rsidRPr="00E551F0">
        <w:rPr>
          <w:rFonts w:ascii="Arial" w:hAnsi="Arial" w:cs="Arial"/>
          <w:sz w:val="24"/>
          <w:szCs w:val="24"/>
        </w:rPr>
        <w:t xml:space="preserve">que las conclusiones y evidencias obtenidas son las que se expresan en el </w:t>
      </w:r>
      <w:r>
        <w:rPr>
          <w:rFonts w:ascii="Arial" w:hAnsi="Arial" w:cs="Arial"/>
          <w:sz w:val="24"/>
          <w:szCs w:val="24"/>
        </w:rPr>
        <w:t>Informe de Auditoría que se adjunta, que incluye Dictamen e Informe a la Administración</w:t>
      </w:r>
      <w:r w:rsidRPr="00E551F0">
        <w:rPr>
          <w:rFonts w:ascii="Arial" w:hAnsi="Arial" w:cs="Arial"/>
          <w:sz w:val="24"/>
          <w:szCs w:val="24"/>
        </w:rPr>
        <w:t>;</w:t>
      </w: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 xml:space="preserve">ATENTO: </w:t>
      </w:r>
      <w:r w:rsidRPr="00E551F0">
        <w:rPr>
          <w:rFonts w:ascii="Arial" w:hAnsi="Arial" w:cs="Arial"/>
          <w:sz w:val="24"/>
          <w:szCs w:val="24"/>
        </w:rPr>
        <w:t>a lo dispuesto por el Artículo 211 Literal C) de la Constitución de la República;</w:t>
      </w:r>
    </w:p>
    <w:p w:rsidR="004001A8" w:rsidRPr="00E551F0" w:rsidRDefault="004001A8" w:rsidP="004001A8">
      <w:pPr>
        <w:pStyle w:val="Ttulo1"/>
        <w:spacing w:before="0" w:after="0" w:line="360" w:lineRule="auto"/>
        <w:jc w:val="center"/>
        <w:rPr>
          <w:sz w:val="24"/>
          <w:szCs w:val="24"/>
        </w:rPr>
      </w:pPr>
      <w:r w:rsidRPr="00E551F0">
        <w:rPr>
          <w:sz w:val="24"/>
          <w:szCs w:val="24"/>
        </w:rPr>
        <w:t>EL TRIBUNAL ACUERDA</w:t>
      </w:r>
    </w:p>
    <w:p w:rsidR="004001A8" w:rsidRPr="00E551F0" w:rsidRDefault="004001A8" w:rsidP="004001A8">
      <w:pPr>
        <w:numPr>
          <w:ilvl w:val="0"/>
          <w:numId w:val="1"/>
        </w:numPr>
        <w:tabs>
          <w:tab w:val="clear" w:pos="360"/>
          <w:tab w:val="num" w:pos="284"/>
        </w:tabs>
        <w:suppressAutoHyphens w:val="0"/>
        <w:spacing w:after="0" w:line="360" w:lineRule="auto"/>
        <w:ind w:left="284" w:hanging="284"/>
        <w:jc w:val="both"/>
        <w:textAlignment w:val="auto"/>
        <w:rPr>
          <w:rFonts w:ascii="Arial" w:hAnsi="Arial" w:cs="Arial"/>
          <w:sz w:val="24"/>
          <w:szCs w:val="24"/>
        </w:rPr>
      </w:pPr>
      <w:r w:rsidRPr="00E551F0">
        <w:rPr>
          <w:rFonts w:ascii="Arial" w:hAnsi="Arial" w:cs="Arial"/>
          <w:sz w:val="24"/>
          <w:szCs w:val="24"/>
        </w:rPr>
        <w:t xml:space="preserve">Expedirse respecto de los </w:t>
      </w:r>
      <w:r>
        <w:rPr>
          <w:rFonts w:ascii="Arial" w:hAnsi="Arial" w:cs="Arial"/>
          <w:sz w:val="24"/>
          <w:szCs w:val="24"/>
        </w:rPr>
        <w:t>Estados Financieros</w:t>
      </w:r>
      <w:r w:rsidRPr="00E551F0">
        <w:rPr>
          <w:rFonts w:ascii="Arial" w:hAnsi="Arial" w:cs="Arial"/>
          <w:sz w:val="24"/>
          <w:szCs w:val="24"/>
        </w:rPr>
        <w:t xml:space="preserve"> de la Junta Departamental de Florida correspondientes al </w:t>
      </w:r>
      <w:r w:rsidR="00E626D0">
        <w:rPr>
          <w:rFonts w:ascii="Arial" w:hAnsi="Arial" w:cs="Arial"/>
          <w:sz w:val="24"/>
          <w:szCs w:val="24"/>
        </w:rPr>
        <w:t>E</w:t>
      </w:r>
      <w:r w:rsidRPr="00E551F0">
        <w:rPr>
          <w:rFonts w:ascii="Arial" w:hAnsi="Arial" w:cs="Arial"/>
          <w:sz w:val="24"/>
          <w:szCs w:val="24"/>
        </w:rPr>
        <w:t>jercicio</w:t>
      </w:r>
      <w:r>
        <w:rPr>
          <w:rFonts w:ascii="Arial" w:hAnsi="Arial" w:cs="Arial"/>
          <w:sz w:val="24"/>
          <w:szCs w:val="24"/>
        </w:rPr>
        <w:t xml:space="preserve"> 2015</w:t>
      </w:r>
      <w:r w:rsidRPr="00E551F0">
        <w:rPr>
          <w:rFonts w:ascii="Arial" w:hAnsi="Arial" w:cs="Arial"/>
          <w:sz w:val="24"/>
          <w:szCs w:val="24"/>
        </w:rPr>
        <w:t xml:space="preserve">, en los términos del </w:t>
      </w:r>
      <w:r>
        <w:rPr>
          <w:rFonts w:ascii="Arial" w:hAnsi="Arial" w:cs="Arial"/>
          <w:sz w:val="24"/>
          <w:szCs w:val="24"/>
        </w:rPr>
        <w:t xml:space="preserve">Informe de Auditoría </w:t>
      </w:r>
      <w:r w:rsidRPr="00E551F0">
        <w:rPr>
          <w:rFonts w:ascii="Arial" w:hAnsi="Arial" w:cs="Arial"/>
          <w:sz w:val="24"/>
          <w:szCs w:val="24"/>
        </w:rPr>
        <w:t>referido;</w:t>
      </w:r>
    </w:p>
    <w:p w:rsidR="004001A8" w:rsidRPr="00E551F0" w:rsidRDefault="004001A8" w:rsidP="004001A8">
      <w:pPr>
        <w:numPr>
          <w:ilvl w:val="0"/>
          <w:numId w:val="1"/>
        </w:numPr>
        <w:tabs>
          <w:tab w:val="clear" w:pos="360"/>
          <w:tab w:val="num" w:pos="284"/>
        </w:tabs>
        <w:suppressAutoHyphens w:val="0"/>
        <w:spacing w:after="0" w:line="360" w:lineRule="auto"/>
        <w:ind w:left="284" w:hanging="284"/>
        <w:jc w:val="both"/>
        <w:textAlignment w:val="auto"/>
        <w:rPr>
          <w:rFonts w:ascii="Arial" w:hAnsi="Arial" w:cs="Arial"/>
          <w:sz w:val="24"/>
          <w:szCs w:val="24"/>
        </w:rPr>
      </w:pPr>
      <w:r w:rsidRPr="00E551F0">
        <w:rPr>
          <w:rFonts w:ascii="Arial" w:hAnsi="Arial" w:cs="Arial"/>
          <w:sz w:val="24"/>
          <w:szCs w:val="24"/>
        </w:rPr>
        <w:t xml:space="preserve">Comunicar la presente Resolución a la Junta Departamental de Florida y a la </w:t>
      </w:r>
      <w:r>
        <w:rPr>
          <w:rFonts w:ascii="Arial" w:hAnsi="Arial" w:cs="Arial"/>
          <w:sz w:val="24"/>
          <w:szCs w:val="24"/>
        </w:rPr>
        <w:t xml:space="preserve">    </w:t>
      </w:r>
      <w:r w:rsidRPr="00E551F0">
        <w:rPr>
          <w:rFonts w:ascii="Arial" w:hAnsi="Arial" w:cs="Arial"/>
          <w:sz w:val="24"/>
          <w:szCs w:val="24"/>
        </w:rPr>
        <w:t>Contadora Delegada;</w:t>
      </w:r>
    </w:p>
    <w:p w:rsidR="004001A8" w:rsidRDefault="004001A8" w:rsidP="004001A8">
      <w:pPr>
        <w:numPr>
          <w:ilvl w:val="0"/>
          <w:numId w:val="1"/>
        </w:numPr>
        <w:tabs>
          <w:tab w:val="clear" w:pos="360"/>
          <w:tab w:val="num" w:pos="284"/>
        </w:tabs>
        <w:suppressAutoHyphens w:val="0"/>
        <w:spacing w:after="0" w:line="360" w:lineRule="auto"/>
        <w:ind w:left="0" w:firstLine="0"/>
        <w:jc w:val="both"/>
        <w:textAlignment w:val="auto"/>
        <w:rPr>
          <w:rFonts w:ascii="Arial" w:hAnsi="Arial" w:cs="Arial"/>
          <w:sz w:val="24"/>
          <w:szCs w:val="24"/>
        </w:rPr>
      </w:pPr>
      <w:r w:rsidRPr="00E551F0">
        <w:rPr>
          <w:rFonts w:ascii="Arial" w:hAnsi="Arial" w:cs="Arial"/>
          <w:sz w:val="24"/>
          <w:szCs w:val="24"/>
        </w:rPr>
        <w:t>Dar cuenta a la Asamblea Genera</w:t>
      </w:r>
      <w:r w:rsidR="00E626D0">
        <w:rPr>
          <w:rFonts w:ascii="Arial" w:hAnsi="Arial" w:cs="Arial"/>
          <w:sz w:val="24"/>
          <w:szCs w:val="24"/>
        </w:rPr>
        <w:t>l</w:t>
      </w:r>
      <w:r w:rsidR="00A8055D">
        <w:rPr>
          <w:rFonts w:ascii="Arial" w:hAnsi="Arial" w:cs="Arial"/>
          <w:sz w:val="24"/>
          <w:szCs w:val="24"/>
        </w:rPr>
        <w:t>;</w:t>
      </w:r>
      <w:r w:rsidR="00E626D0">
        <w:rPr>
          <w:rFonts w:ascii="Arial" w:hAnsi="Arial" w:cs="Arial"/>
          <w:sz w:val="24"/>
          <w:szCs w:val="24"/>
        </w:rPr>
        <w:t xml:space="preserve"> y</w:t>
      </w:r>
    </w:p>
    <w:p w:rsidR="00BB54E4" w:rsidRPr="00E551F0" w:rsidRDefault="00BB54E4" w:rsidP="004001A8">
      <w:pPr>
        <w:numPr>
          <w:ilvl w:val="0"/>
          <w:numId w:val="1"/>
        </w:numPr>
        <w:tabs>
          <w:tab w:val="clear" w:pos="360"/>
          <w:tab w:val="num" w:pos="284"/>
        </w:tabs>
        <w:suppressAutoHyphens w:val="0"/>
        <w:spacing w:after="0" w:line="360" w:lineRule="auto"/>
        <w:ind w:left="0" w:firstLine="0"/>
        <w:jc w:val="both"/>
        <w:textAlignment w:val="auto"/>
        <w:rPr>
          <w:rFonts w:ascii="Arial" w:hAnsi="Arial" w:cs="Arial"/>
          <w:sz w:val="24"/>
          <w:szCs w:val="24"/>
        </w:rPr>
      </w:pPr>
      <w:r>
        <w:rPr>
          <w:rFonts w:ascii="Arial" w:hAnsi="Arial" w:cs="Arial"/>
          <w:sz w:val="24"/>
          <w:szCs w:val="24"/>
        </w:rPr>
        <w:t>Devolver los antecedentes.</w:t>
      </w:r>
    </w:p>
    <w:p w:rsidR="00A908A0" w:rsidRDefault="00A908A0"/>
    <w:p w:rsidR="00506329" w:rsidRDefault="00E626D0">
      <w:pPr>
        <w:rPr>
          <w:rFonts w:ascii="Arial" w:hAnsi="Arial" w:cs="Arial"/>
          <w:sz w:val="24"/>
          <w:szCs w:val="24"/>
        </w:rPr>
      </w:pPr>
      <w:proofErr w:type="spellStart"/>
      <w:proofErr w:type="gramStart"/>
      <w:r w:rsidRPr="004E4FB6">
        <w:rPr>
          <w:rFonts w:ascii="Arial" w:hAnsi="Arial" w:cs="Arial"/>
          <w:sz w:val="24"/>
          <w:szCs w:val="24"/>
        </w:rPr>
        <w:t>mp</w:t>
      </w:r>
      <w:proofErr w:type="spellEnd"/>
      <w:proofErr w:type="gramEnd"/>
    </w:p>
    <w:p w:rsidR="004E4FB6" w:rsidRDefault="004E4FB6" w:rsidP="00A8055D">
      <w:pPr>
        <w:keepNext/>
        <w:spacing w:after="0" w:line="360" w:lineRule="auto"/>
        <w:jc w:val="center"/>
        <w:outlineLvl w:val="0"/>
        <w:rPr>
          <w:rFonts w:ascii="Arial" w:hAnsi="Arial" w:cs="Arial"/>
          <w:b/>
          <w:bCs/>
          <w:kern w:val="32"/>
          <w:sz w:val="24"/>
          <w:szCs w:val="24"/>
        </w:rPr>
      </w:pPr>
      <w:r>
        <w:rPr>
          <w:rFonts w:ascii="Arial" w:hAnsi="Arial" w:cs="Arial"/>
          <w:b/>
          <w:bCs/>
          <w:kern w:val="32"/>
          <w:sz w:val="24"/>
          <w:szCs w:val="24"/>
        </w:rPr>
        <w:lastRenderedPageBreak/>
        <w:t>DICTAMEN</w:t>
      </w:r>
    </w:p>
    <w:p w:rsidR="004E4FB6" w:rsidRDefault="004E4FB6" w:rsidP="00A8055D">
      <w:pPr>
        <w:keepNext/>
        <w:spacing w:after="0" w:line="360" w:lineRule="auto"/>
        <w:jc w:val="center"/>
        <w:outlineLvl w:val="0"/>
        <w:rPr>
          <w:rFonts w:ascii="Arial" w:hAnsi="Arial" w:cs="Arial"/>
          <w:b/>
          <w:bCs/>
          <w:kern w:val="32"/>
          <w:sz w:val="24"/>
          <w:szCs w:val="24"/>
        </w:rPr>
      </w:pPr>
    </w:p>
    <w:p w:rsidR="004E4FB6" w:rsidRPr="0003075A" w:rsidRDefault="004E4FB6" w:rsidP="00A8055D">
      <w:pPr>
        <w:spacing w:after="0" w:line="360" w:lineRule="auto"/>
        <w:ind w:firstLine="851"/>
        <w:jc w:val="both"/>
        <w:rPr>
          <w:rFonts w:ascii="Arial" w:eastAsia="Times New Roman" w:hAnsi="Arial" w:cs="Arial"/>
          <w:kern w:val="18"/>
          <w:sz w:val="24"/>
          <w:szCs w:val="24"/>
          <w:lang w:eastAsia="es-ES"/>
        </w:rPr>
      </w:pPr>
      <w:r w:rsidRPr="0003075A">
        <w:rPr>
          <w:rFonts w:ascii="Arial" w:eastAsia="Times New Roman" w:hAnsi="Arial" w:cs="Arial"/>
          <w:kern w:val="18"/>
          <w:sz w:val="24"/>
          <w:szCs w:val="24"/>
          <w:lang w:eastAsia="es-ES"/>
        </w:rPr>
        <w:t xml:space="preserve">El Tribunal de Cuentas ha examinado los Estados Financieros de la Junta Departamental de Florida, que comprenden los siguientes Estados: el </w:t>
      </w:r>
      <w:r w:rsidRPr="0003075A">
        <w:rPr>
          <w:rFonts w:ascii="Arial" w:eastAsia="Times New Roman" w:hAnsi="Arial" w:cs="Arial"/>
          <w:kern w:val="18"/>
          <w:sz w:val="24"/>
          <w:szCs w:val="24"/>
          <w:lang w:val="es-MX" w:eastAsia="es-ES"/>
        </w:rPr>
        <w:t xml:space="preserve">Estado de Situación Patrimonial al 31 de diciembre de 2015, Estado de Resultados, Estado de Origen y Aplicación de Fondos, Estado de Evolución del Patrimonio, Cuadro de bienes de uso e </w:t>
      </w:r>
      <w:r w:rsidRPr="0003075A">
        <w:rPr>
          <w:rFonts w:ascii="Arial" w:eastAsia="Times New Roman" w:hAnsi="Arial" w:cs="Arial"/>
          <w:kern w:val="18"/>
          <w:sz w:val="24"/>
          <w:szCs w:val="24"/>
          <w:lang w:eastAsia="es-ES"/>
        </w:rPr>
        <w:t>intangibles y las respectivas Notas a los Estados.</w:t>
      </w:r>
    </w:p>
    <w:p w:rsidR="004E4FB6" w:rsidRDefault="004E4FB6" w:rsidP="00A8055D">
      <w:pPr>
        <w:spacing w:after="0" w:line="360" w:lineRule="auto"/>
        <w:ind w:firstLine="851"/>
        <w:jc w:val="both"/>
        <w:rPr>
          <w:rFonts w:ascii="Arial" w:hAnsi="Arial" w:cs="Arial"/>
          <w:sz w:val="24"/>
          <w:szCs w:val="24"/>
          <w:lang w:eastAsia="zh-CN"/>
        </w:rPr>
      </w:pPr>
      <w:r w:rsidRPr="0003075A">
        <w:rPr>
          <w:rFonts w:ascii="Arial" w:hAnsi="Arial" w:cs="Arial"/>
          <w:sz w:val="24"/>
          <w:szCs w:val="24"/>
          <w:lang w:eastAsia="zh-CN"/>
        </w:rPr>
        <w:t>También se presentan, en caso de corresponder, los incumplimientos legales constatados por el Tribunal de Cuentas en el curso de la auditoría efectuada.</w:t>
      </w:r>
    </w:p>
    <w:p w:rsidR="00A8055D" w:rsidRPr="0003075A" w:rsidRDefault="00A8055D" w:rsidP="00A8055D">
      <w:pPr>
        <w:spacing w:after="0" w:line="360" w:lineRule="auto"/>
        <w:ind w:firstLine="851"/>
        <w:jc w:val="both"/>
        <w:rPr>
          <w:rFonts w:ascii="Arial" w:hAnsi="Arial" w:cs="Arial"/>
          <w:sz w:val="24"/>
          <w:szCs w:val="24"/>
          <w:lang w:eastAsia="zh-CN"/>
        </w:rPr>
      </w:pPr>
    </w:p>
    <w:p w:rsidR="004E4FB6" w:rsidRPr="0003075A" w:rsidRDefault="004E4FB6" w:rsidP="00A8055D">
      <w:pPr>
        <w:spacing w:after="0" w:line="360" w:lineRule="auto"/>
        <w:jc w:val="both"/>
        <w:rPr>
          <w:rFonts w:ascii="Arial" w:eastAsia="Times New Roman" w:hAnsi="Arial" w:cs="Arial"/>
          <w:b/>
          <w:bCs/>
          <w:kern w:val="18"/>
          <w:sz w:val="24"/>
          <w:szCs w:val="24"/>
          <w:lang w:eastAsia="es-ES"/>
        </w:rPr>
      </w:pPr>
      <w:r w:rsidRPr="0003075A">
        <w:rPr>
          <w:rFonts w:ascii="Arial" w:eastAsia="Times New Roman" w:hAnsi="Arial" w:cs="Arial"/>
          <w:b/>
          <w:bCs/>
          <w:kern w:val="18"/>
          <w:sz w:val="24"/>
          <w:szCs w:val="24"/>
          <w:lang w:eastAsia="es-ES"/>
        </w:rPr>
        <w:t>Responsabilidad de la Dirección de la Junta Departamental por los Estados de Ejecución Presupuestal</w:t>
      </w:r>
    </w:p>
    <w:p w:rsidR="004E4FB6" w:rsidRDefault="004E4FB6" w:rsidP="00A8055D">
      <w:pPr>
        <w:spacing w:after="0" w:line="360" w:lineRule="auto"/>
        <w:ind w:firstLine="851"/>
        <w:jc w:val="both"/>
        <w:rPr>
          <w:rFonts w:ascii="Arial" w:eastAsia="Times New Roman" w:hAnsi="Arial" w:cs="Arial"/>
          <w:kern w:val="18"/>
          <w:sz w:val="24"/>
          <w:szCs w:val="24"/>
          <w:lang w:eastAsia="es-ES"/>
        </w:rPr>
      </w:pPr>
      <w:r w:rsidRPr="0003075A">
        <w:rPr>
          <w:rFonts w:ascii="Arial" w:eastAsia="Times New Roman" w:hAnsi="Arial" w:cs="Arial"/>
          <w:kern w:val="18"/>
          <w:sz w:val="24"/>
          <w:szCs w:val="24"/>
          <w:lang w:eastAsia="es-ES"/>
        </w:rPr>
        <w:t>La Dirección de la Junta Departamental es responsable por la preparación y la razonable presentación de estos estados financieros de acuerdo con la normativa vigente y con la Ordenanza Nº 81 de este Tribunal. Esta responsabilidad incluye diseñar, implementar y mantener un sistema de control interno adecuado para la preparación y presentación razonable de estos estados que estén libres de errores significativos, ya sea debido a fraude o error, y seleccionar y aplicar políticas contables apropiadas.</w:t>
      </w:r>
    </w:p>
    <w:p w:rsidR="00A8055D" w:rsidRPr="0003075A" w:rsidRDefault="00A8055D" w:rsidP="00A8055D">
      <w:pPr>
        <w:spacing w:after="0" w:line="360" w:lineRule="auto"/>
        <w:ind w:firstLine="851"/>
        <w:jc w:val="both"/>
        <w:rPr>
          <w:rFonts w:ascii="Arial" w:eastAsia="Times New Roman" w:hAnsi="Arial" w:cs="Arial"/>
          <w:kern w:val="18"/>
          <w:sz w:val="24"/>
          <w:szCs w:val="24"/>
          <w:lang w:eastAsia="es-ES"/>
        </w:rPr>
      </w:pPr>
    </w:p>
    <w:p w:rsidR="004E4FB6" w:rsidRPr="0003075A" w:rsidRDefault="004E4FB6" w:rsidP="00A8055D">
      <w:pPr>
        <w:spacing w:after="0" w:line="360" w:lineRule="auto"/>
        <w:jc w:val="both"/>
        <w:rPr>
          <w:rFonts w:ascii="Arial" w:eastAsia="Times New Roman" w:hAnsi="Arial" w:cs="Arial"/>
          <w:b/>
          <w:bCs/>
          <w:kern w:val="18"/>
          <w:sz w:val="24"/>
          <w:szCs w:val="24"/>
          <w:lang w:eastAsia="es-ES"/>
        </w:rPr>
      </w:pPr>
      <w:r w:rsidRPr="0003075A">
        <w:rPr>
          <w:rFonts w:ascii="Arial" w:eastAsia="Times New Roman" w:hAnsi="Arial" w:cs="Arial"/>
          <w:b/>
          <w:bCs/>
          <w:kern w:val="18"/>
          <w:sz w:val="24"/>
          <w:szCs w:val="24"/>
          <w:lang w:eastAsia="es-ES"/>
        </w:rPr>
        <w:t>Responsabilidad del auditor</w:t>
      </w:r>
    </w:p>
    <w:p w:rsidR="004E4FB6" w:rsidRPr="0003075A" w:rsidRDefault="004E4FB6" w:rsidP="00A8055D">
      <w:pPr>
        <w:spacing w:after="0" w:line="360" w:lineRule="auto"/>
        <w:ind w:firstLine="851"/>
        <w:jc w:val="both"/>
        <w:rPr>
          <w:rFonts w:ascii="Arial" w:eastAsia="Times New Roman" w:hAnsi="Arial" w:cs="Arial"/>
          <w:kern w:val="18"/>
          <w:sz w:val="24"/>
          <w:szCs w:val="24"/>
          <w:lang w:eastAsia="es-ES"/>
        </w:rPr>
      </w:pPr>
      <w:r w:rsidRPr="0003075A">
        <w:rPr>
          <w:rFonts w:ascii="Arial" w:eastAsia="Times New Roman" w:hAnsi="Arial" w:cs="Arial"/>
          <w:kern w:val="18"/>
          <w:sz w:val="24"/>
          <w:szCs w:val="24"/>
          <w:lang w:eastAsia="es-ES"/>
        </w:rPr>
        <w:t xml:space="preserve">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w:t>
      </w:r>
      <w:smartTag w:uri="urn:schemas-microsoft-com:office:smarttags" w:element="metricconverter">
        <w:smartTagPr>
          <w:attr w:name="ProductID" w:val="1000 a"/>
        </w:smartTagPr>
        <w:r w:rsidRPr="0003075A">
          <w:rPr>
            <w:rFonts w:ascii="Arial" w:eastAsia="Times New Roman" w:hAnsi="Arial" w:cs="Arial"/>
            <w:kern w:val="18"/>
            <w:sz w:val="24"/>
            <w:szCs w:val="24"/>
            <w:lang w:eastAsia="es-ES"/>
          </w:rPr>
          <w:t>1000 a</w:t>
        </w:r>
      </w:smartTag>
      <w:r w:rsidRPr="0003075A">
        <w:rPr>
          <w:rFonts w:ascii="Arial" w:eastAsia="Times New Roman" w:hAnsi="Arial" w:cs="Arial"/>
          <w:kern w:val="18"/>
          <w:sz w:val="24"/>
          <w:szCs w:val="24"/>
          <w:lang w:eastAsia="es-ES"/>
        </w:rPr>
        <w:t xml:space="preserve"> 1810)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4E4FB6" w:rsidRPr="0003075A" w:rsidRDefault="004E4FB6" w:rsidP="00A8055D">
      <w:pPr>
        <w:spacing w:after="0" w:line="360" w:lineRule="auto"/>
        <w:ind w:firstLine="851"/>
        <w:jc w:val="both"/>
        <w:rPr>
          <w:rFonts w:ascii="Arial" w:eastAsia="Times New Roman" w:hAnsi="Arial" w:cs="Arial"/>
          <w:kern w:val="18"/>
          <w:sz w:val="24"/>
          <w:szCs w:val="24"/>
          <w:lang w:eastAsia="es-ES"/>
        </w:rPr>
      </w:pPr>
      <w:r w:rsidRPr="0003075A">
        <w:rPr>
          <w:rFonts w:ascii="Arial" w:eastAsia="Times New Roman" w:hAnsi="Arial" w:cs="Arial"/>
          <w:kern w:val="18"/>
          <w:sz w:val="24"/>
          <w:szCs w:val="24"/>
          <w:lang w:eastAsia="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Financieros.</w:t>
      </w:r>
    </w:p>
    <w:p w:rsidR="004E4FB6" w:rsidRPr="0003075A" w:rsidRDefault="004E4FB6" w:rsidP="00A8055D">
      <w:pPr>
        <w:spacing w:after="0" w:line="360" w:lineRule="auto"/>
        <w:ind w:firstLine="851"/>
        <w:jc w:val="both"/>
        <w:rPr>
          <w:rFonts w:ascii="Arial" w:eastAsia="Times New Roman" w:hAnsi="Arial" w:cs="Arial"/>
          <w:kern w:val="18"/>
          <w:sz w:val="24"/>
          <w:szCs w:val="24"/>
          <w:lang w:eastAsia="es-ES"/>
        </w:rPr>
      </w:pPr>
      <w:r w:rsidRPr="0003075A">
        <w:rPr>
          <w:rFonts w:ascii="Arial" w:eastAsia="Times New Roman" w:hAnsi="Arial" w:cs="Arial"/>
          <w:kern w:val="18"/>
          <w:sz w:val="24"/>
          <w:szCs w:val="24"/>
          <w:lang w:eastAsia="es-ES"/>
        </w:rPr>
        <w:t>Se considera que la evidencia de auditoría obtenida brinda una base suficiente y apropiada para sustentar la opinión.</w:t>
      </w:r>
    </w:p>
    <w:p w:rsidR="004E4FB6" w:rsidRPr="0003075A" w:rsidRDefault="004E4FB6" w:rsidP="00A8055D">
      <w:pPr>
        <w:spacing w:after="0" w:line="360" w:lineRule="auto"/>
        <w:jc w:val="both"/>
        <w:rPr>
          <w:rFonts w:ascii="Arial" w:eastAsia="Times New Roman" w:hAnsi="Arial" w:cs="Arial"/>
          <w:kern w:val="18"/>
          <w:sz w:val="24"/>
          <w:szCs w:val="24"/>
          <w:lang w:eastAsia="es-ES"/>
        </w:rPr>
      </w:pPr>
    </w:p>
    <w:p w:rsidR="004E4FB6" w:rsidRPr="0003075A" w:rsidRDefault="004E4FB6" w:rsidP="00A8055D">
      <w:pPr>
        <w:keepNext/>
        <w:keepLines/>
        <w:numPr>
          <w:ilvl w:val="2"/>
          <w:numId w:val="0"/>
        </w:numPr>
        <w:tabs>
          <w:tab w:val="num" w:pos="720"/>
        </w:tabs>
        <w:spacing w:after="0" w:line="360" w:lineRule="auto"/>
        <w:jc w:val="both"/>
        <w:outlineLvl w:val="2"/>
        <w:rPr>
          <w:rFonts w:ascii="Arial" w:hAnsi="Arial" w:cs="Arial"/>
          <w:b/>
          <w:bCs/>
          <w:sz w:val="24"/>
          <w:szCs w:val="24"/>
        </w:rPr>
      </w:pPr>
      <w:bookmarkStart w:id="1" w:name="_Toc422915239"/>
      <w:r w:rsidRPr="0003075A">
        <w:rPr>
          <w:rFonts w:ascii="Arial" w:hAnsi="Arial" w:cs="Arial"/>
          <w:b/>
          <w:bCs/>
          <w:sz w:val="24"/>
          <w:szCs w:val="24"/>
        </w:rPr>
        <w:t>Opinión</w:t>
      </w:r>
      <w:bookmarkEnd w:id="1"/>
    </w:p>
    <w:p w:rsidR="004E4FB6" w:rsidRPr="0003075A" w:rsidRDefault="004E4FB6" w:rsidP="00A8055D">
      <w:pPr>
        <w:spacing w:after="0" w:line="360" w:lineRule="auto"/>
        <w:ind w:firstLine="851"/>
        <w:jc w:val="both"/>
        <w:rPr>
          <w:rFonts w:ascii="Arial" w:hAnsi="Arial" w:cs="Arial"/>
          <w:sz w:val="24"/>
          <w:szCs w:val="24"/>
        </w:rPr>
      </w:pPr>
      <w:r w:rsidRPr="0003075A">
        <w:rPr>
          <w:rFonts w:ascii="Arial" w:hAnsi="Arial" w:cs="Arial"/>
          <w:sz w:val="24"/>
          <w:szCs w:val="24"/>
        </w:rPr>
        <w:t>En opinión del Tribunal de Cuentas, los estados financieros referidos precedentemente presentan razonablemente, en todos sus aspectos importantes, la situación patrimonial de la Junta Departamental de Florida correspondiente al Ejercicio finalizado el 31/12/2015, los resultados de sus operaciones y los flujos de efectivo correspondientes al Ejercicio anual terminado a esa fecha, de acuerdo con la Ordenanza 81 del Tribunal de Cuentas.</w:t>
      </w:r>
    </w:p>
    <w:p w:rsidR="004E4FB6" w:rsidRPr="0003075A" w:rsidRDefault="004E4FB6" w:rsidP="00A8055D">
      <w:pPr>
        <w:spacing w:line="360" w:lineRule="auto"/>
        <w:ind w:firstLine="851"/>
        <w:jc w:val="both"/>
        <w:rPr>
          <w:rFonts w:ascii="Arial" w:hAnsi="Arial" w:cs="Arial"/>
          <w:sz w:val="24"/>
          <w:lang w:eastAsia="ar-SA"/>
        </w:rPr>
      </w:pPr>
      <w:r w:rsidRPr="0003075A">
        <w:rPr>
          <w:rFonts w:ascii="Arial" w:hAnsi="Arial" w:cs="Arial"/>
          <w:sz w:val="24"/>
          <w:lang w:eastAsia="ar-SA"/>
        </w:rPr>
        <w:t>Con relación al cumplimiento de las disposiciones legales y reglamentarias que fueron objeto de examen, en opinión del Tribunal de Cuentas no se ha dado cumplimiento a la siguiente norma:</w:t>
      </w:r>
    </w:p>
    <w:p w:rsidR="004E4FB6" w:rsidRPr="00610690" w:rsidRDefault="004E4FB6" w:rsidP="00A8055D">
      <w:pPr>
        <w:spacing w:line="360" w:lineRule="auto"/>
        <w:jc w:val="both"/>
        <w:rPr>
          <w:rFonts w:ascii="Arial" w:hAnsi="Arial" w:cs="Arial"/>
          <w:sz w:val="24"/>
          <w:lang w:eastAsia="ar-SA"/>
        </w:rPr>
      </w:pPr>
      <w:r w:rsidRPr="0003075A">
        <w:rPr>
          <w:rFonts w:ascii="Arial" w:hAnsi="Arial" w:cs="Arial"/>
          <w:b/>
          <w:sz w:val="24"/>
          <w:lang w:eastAsia="ar-SA"/>
        </w:rPr>
        <w:t xml:space="preserve">Artículo 5 de la Ordenanza 81 del Tribunal de Cuentas: </w:t>
      </w:r>
      <w:r w:rsidRPr="0003075A">
        <w:rPr>
          <w:rFonts w:ascii="Arial" w:hAnsi="Arial" w:cs="Arial"/>
          <w:sz w:val="24"/>
          <w:lang w:eastAsia="ar-SA"/>
        </w:rPr>
        <w:t xml:space="preserve">para los ingresos se aplicó el criterio de lo percibido en vez de aplicarse el criterio de lo devengado, como lo establece </w:t>
      </w:r>
      <w:r>
        <w:rPr>
          <w:rFonts w:ascii="Arial" w:hAnsi="Arial" w:cs="Arial"/>
          <w:sz w:val="24"/>
          <w:lang w:eastAsia="ar-SA"/>
        </w:rPr>
        <w:t>la citada norma.</w:t>
      </w:r>
    </w:p>
    <w:p w:rsidR="004E4FB6" w:rsidRPr="0003075A" w:rsidRDefault="004E4FB6" w:rsidP="00A8055D">
      <w:pPr>
        <w:spacing w:after="0" w:line="360" w:lineRule="auto"/>
        <w:ind w:firstLine="357"/>
        <w:jc w:val="right"/>
        <w:rPr>
          <w:rFonts w:ascii="Arial" w:hAnsi="Arial" w:cs="Arial"/>
          <w:sz w:val="24"/>
          <w:szCs w:val="24"/>
        </w:rPr>
      </w:pPr>
      <w:r w:rsidRPr="0003075A">
        <w:rPr>
          <w:rFonts w:ascii="Arial" w:hAnsi="Arial" w:cs="Arial"/>
          <w:sz w:val="24"/>
          <w:szCs w:val="24"/>
        </w:rPr>
        <w:t>M</w:t>
      </w:r>
      <w:r w:rsidR="00A8055D">
        <w:rPr>
          <w:rFonts w:ascii="Arial" w:hAnsi="Arial" w:cs="Arial"/>
          <w:sz w:val="24"/>
          <w:szCs w:val="24"/>
        </w:rPr>
        <w:t>ontevideo, 23 de agosto de 2016</w:t>
      </w:r>
    </w:p>
    <w:p w:rsidR="004E4FB6" w:rsidRPr="0003075A" w:rsidRDefault="004E4FB6" w:rsidP="00A8055D">
      <w:pPr>
        <w:spacing w:after="0" w:line="360" w:lineRule="auto"/>
        <w:ind w:firstLine="357"/>
        <w:jc w:val="right"/>
        <w:rPr>
          <w:rFonts w:ascii="Arial" w:hAnsi="Arial" w:cs="Arial"/>
          <w:sz w:val="24"/>
          <w:szCs w:val="24"/>
        </w:rPr>
      </w:pPr>
    </w:p>
    <w:p w:rsidR="004E4FB6" w:rsidRDefault="004E4FB6"/>
    <w:p w:rsidR="004E4FB6" w:rsidRDefault="004E4FB6" w:rsidP="00A8055D">
      <w:pPr>
        <w:spacing w:after="0" w:line="360" w:lineRule="auto"/>
        <w:rPr>
          <w:rFonts w:ascii="Arial" w:hAnsi="Arial" w:cs="Arial"/>
          <w:sz w:val="24"/>
          <w:szCs w:val="24"/>
        </w:rPr>
      </w:pPr>
    </w:p>
    <w:p w:rsidR="004E4FB6" w:rsidRDefault="004E4FB6" w:rsidP="00A8055D">
      <w:pPr>
        <w:pStyle w:val="Ttulo1"/>
        <w:spacing w:before="0" w:after="0" w:line="360" w:lineRule="auto"/>
        <w:jc w:val="center"/>
        <w:rPr>
          <w:sz w:val="24"/>
          <w:szCs w:val="24"/>
        </w:rPr>
      </w:pPr>
      <w:bookmarkStart w:id="2" w:name="_Toc267318788"/>
      <w:bookmarkStart w:id="3" w:name="_Toc422915241"/>
      <w:r w:rsidRPr="005456C1">
        <w:rPr>
          <w:sz w:val="24"/>
          <w:szCs w:val="24"/>
        </w:rPr>
        <w:t>INFORME A LA ADMINISTRACIÓN</w:t>
      </w:r>
      <w:bookmarkEnd w:id="2"/>
      <w:bookmarkEnd w:id="3"/>
    </w:p>
    <w:p w:rsidR="004E4FB6" w:rsidRPr="00D83C16" w:rsidRDefault="004E4FB6" w:rsidP="00A8055D"/>
    <w:p w:rsidR="004E4FB6" w:rsidRPr="009D1B19" w:rsidRDefault="004E4FB6" w:rsidP="00A8055D">
      <w:pPr>
        <w:pStyle w:val="Textoindependiente2"/>
        <w:spacing w:after="0" w:line="360" w:lineRule="auto"/>
        <w:ind w:firstLine="851"/>
        <w:jc w:val="both"/>
        <w:rPr>
          <w:rFonts w:ascii="Arial" w:hAnsi="Arial" w:cs="Arial"/>
          <w:sz w:val="24"/>
          <w:szCs w:val="24"/>
        </w:rPr>
      </w:pPr>
      <w:r w:rsidRPr="009D1B19">
        <w:rPr>
          <w:rFonts w:ascii="Arial" w:hAnsi="Arial" w:cs="Arial"/>
          <w:sz w:val="24"/>
          <w:szCs w:val="24"/>
        </w:rPr>
        <w:t>El Tribunal de Cuentas ha examinado los Estados Financieros de la Junta Departamental de Florida correspondientes al Ejercicio finalizado el 31 de diciembre de 2015 y ha emitido su Dictamen.</w:t>
      </w:r>
    </w:p>
    <w:p w:rsidR="004E4FB6" w:rsidRPr="009D1B19" w:rsidRDefault="004E4FB6" w:rsidP="00A8055D">
      <w:pPr>
        <w:pStyle w:val="Textoindependiente2"/>
        <w:spacing w:after="0" w:line="360" w:lineRule="auto"/>
        <w:ind w:firstLine="851"/>
        <w:jc w:val="both"/>
        <w:rPr>
          <w:rFonts w:ascii="Arial" w:hAnsi="Arial" w:cs="Arial"/>
          <w:sz w:val="24"/>
          <w:szCs w:val="24"/>
        </w:rPr>
      </w:pPr>
      <w:r w:rsidRPr="009D1B19">
        <w:rPr>
          <w:rFonts w:ascii="Arial" w:hAnsi="Arial" w:cs="Arial"/>
          <w:sz w:val="24"/>
          <w:szCs w:val="24"/>
        </w:rPr>
        <w:t>Como consecuencia del examen practi</w:t>
      </w:r>
      <w:r>
        <w:rPr>
          <w:rFonts w:ascii="Arial" w:hAnsi="Arial" w:cs="Arial"/>
          <w:sz w:val="24"/>
          <w:szCs w:val="24"/>
        </w:rPr>
        <w:t>cado, se incluyen en este I</w:t>
      </w:r>
      <w:r w:rsidRPr="009D1B19">
        <w:rPr>
          <w:rFonts w:ascii="Arial" w:hAnsi="Arial" w:cs="Arial"/>
          <w:sz w:val="24"/>
          <w:szCs w:val="24"/>
        </w:rPr>
        <w:t>nforme comentarios que se ha entendido conveniente exponer, relacionados a la situación de determinados capítulos y rubros de los Estados Financieros examinados, obligaciones a cumplir, así como recomendaciones que deberá atender el Organismo.</w:t>
      </w:r>
    </w:p>
    <w:p w:rsidR="004E4FB6" w:rsidRPr="009D1B19" w:rsidRDefault="004E4FB6" w:rsidP="004E4FB6">
      <w:pPr>
        <w:pStyle w:val="Ttulo2"/>
        <w:numPr>
          <w:ilvl w:val="1"/>
          <w:numId w:val="2"/>
        </w:numPr>
        <w:spacing w:line="360" w:lineRule="auto"/>
        <w:ind w:left="0"/>
        <w:jc w:val="both"/>
        <w:rPr>
          <w:rFonts w:ascii="Arial" w:hAnsi="Arial" w:cs="Arial"/>
          <w:i/>
          <w:sz w:val="24"/>
          <w:szCs w:val="24"/>
        </w:rPr>
      </w:pPr>
    </w:p>
    <w:p w:rsidR="004E4FB6" w:rsidRDefault="004E4FB6" w:rsidP="004E4FB6">
      <w:pPr>
        <w:pStyle w:val="Ttulo2"/>
        <w:numPr>
          <w:ilvl w:val="1"/>
          <w:numId w:val="2"/>
        </w:numPr>
        <w:spacing w:line="360" w:lineRule="auto"/>
        <w:ind w:left="0" w:firstLine="0"/>
        <w:jc w:val="both"/>
        <w:rPr>
          <w:rFonts w:ascii="Arial" w:hAnsi="Arial" w:cs="Arial"/>
          <w:sz w:val="24"/>
          <w:szCs w:val="24"/>
        </w:rPr>
      </w:pPr>
      <w:r w:rsidRPr="009D1B19">
        <w:rPr>
          <w:rFonts w:ascii="Arial" w:hAnsi="Arial" w:cs="Arial"/>
          <w:sz w:val="24"/>
          <w:szCs w:val="24"/>
        </w:rPr>
        <w:t>1. Constataciones que no afectan la opinión</w:t>
      </w:r>
    </w:p>
    <w:p w:rsidR="004E4FB6" w:rsidRPr="003D7E10" w:rsidRDefault="004E4FB6" w:rsidP="00A8055D">
      <w:pPr>
        <w:pStyle w:val="Textoindependiente"/>
        <w:rPr>
          <w:lang w:val="es-UY" w:eastAsia="es-UY"/>
        </w:rPr>
      </w:pPr>
    </w:p>
    <w:p w:rsidR="004E4FB6" w:rsidRPr="009D1B19" w:rsidRDefault="004E4FB6" w:rsidP="004E4FB6">
      <w:pPr>
        <w:pStyle w:val="Ttulo2"/>
        <w:numPr>
          <w:ilvl w:val="1"/>
          <w:numId w:val="2"/>
        </w:numPr>
        <w:spacing w:line="360" w:lineRule="auto"/>
        <w:ind w:left="0" w:firstLine="0"/>
        <w:jc w:val="both"/>
        <w:rPr>
          <w:rFonts w:ascii="Arial" w:hAnsi="Arial" w:cs="Arial"/>
          <w:sz w:val="24"/>
          <w:szCs w:val="24"/>
        </w:rPr>
      </w:pPr>
      <w:r>
        <w:rPr>
          <w:rFonts w:ascii="Arial" w:hAnsi="Arial" w:cs="Arial"/>
          <w:kern w:val="18"/>
          <w:sz w:val="24"/>
          <w:szCs w:val="20"/>
          <w:lang w:val="es-ES" w:eastAsia="es-ES"/>
        </w:rPr>
        <w:t xml:space="preserve">1.1 </w:t>
      </w:r>
      <w:r w:rsidRPr="009D1B19">
        <w:rPr>
          <w:rFonts w:ascii="Arial" w:hAnsi="Arial" w:cs="Arial"/>
          <w:kern w:val="18"/>
          <w:sz w:val="24"/>
          <w:szCs w:val="20"/>
          <w:lang w:val="es-ES" w:eastAsia="es-ES"/>
        </w:rPr>
        <w:t>Gastos de reintegro a los Señores Ediles no contabilizados</w:t>
      </w:r>
    </w:p>
    <w:p w:rsidR="004E4FB6" w:rsidRPr="009D1B19" w:rsidRDefault="004E4FB6" w:rsidP="00A8055D">
      <w:pPr>
        <w:suppressAutoHyphens w:val="0"/>
        <w:spacing w:after="0" w:line="360" w:lineRule="auto"/>
        <w:jc w:val="both"/>
        <w:textAlignment w:val="auto"/>
        <w:rPr>
          <w:rFonts w:ascii="Arial" w:eastAsia="Times New Roman" w:hAnsi="Arial" w:cs="Arial"/>
          <w:kern w:val="18"/>
          <w:sz w:val="24"/>
          <w:szCs w:val="20"/>
          <w:lang w:val="es-ES" w:eastAsia="es-ES"/>
        </w:rPr>
      </w:pPr>
      <w:r w:rsidRPr="009D1B19">
        <w:rPr>
          <w:rFonts w:ascii="Arial" w:eastAsia="Times New Roman" w:hAnsi="Arial" w:cs="Arial"/>
          <w:kern w:val="18"/>
          <w:sz w:val="24"/>
          <w:szCs w:val="20"/>
          <w:lang w:val="es-ES" w:eastAsia="es-ES"/>
        </w:rPr>
        <w:t>Se constató</w:t>
      </w:r>
      <w:r>
        <w:rPr>
          <w:rFonts w:ascii="Arial" w:eastAsia="Times New Roman" w:hAnsi="Arial" w:cs="Arial"/>
          <w:kern w:val="18"/>
          <w:sz w:val="24"/>
          <w:szCs w:val="20"/>
          <w:lang w:val="es-ES" w:eastAsia="es-ES"/>
        </w:rPr>
        <w:t xml:space="preserve"> que no fueron imputados en el E</w:t>
      </w:r>
      <w:r w:rsidRPr="009D1B19">
        <w:rPr>
          <w:rFonts w:ascii="Arial" w:eastAsia="Times New Roman" w:hAnsi="Arial" w:cs="Arial"/>
          <w:kern w:val="18"/>
          <w:sz w:val="24"/>
          <w:szCs w:val="20"/>
          <w:lang w:val="es-ES" w:eastAsia="es-ES"/>
        </w:rPr>
        <w:t>jercicio 2015, gastos ejecutados en concepto de reintegros a los Señores Ediles por un importe de $ 962.799, lo que implica q</w:t>
      </w:r>
      <w:r>
        <w:rPr>
          <w:rFonts w:ascii="Arial" w:eastAsia="Times New Roman" w:hAnsi="Arial" w:cs="Arial"/>
          <w:kern w:val="18"/>
          <w:sz w:val="24"/>
          <w:szCs w:val="20"/>
          <w:lang w:val="es-ES" w:eastAsia="es-ES"/>
        </w:rPr>
        <w:t>ue, se aumenten los gastos del E</w:t>
      </w:r>
      <w:r w:rsidRPr="009D1B19">
        <w:rPr>
          <w:rFonts w:ascii="Arial" w:eastAsia="Times New Roman" w:hAnsi="Arial" w:cs="Arial"/>
          <w:kern w:val="18"/>
          <w:sz w:val="24"/>
          <w:szCs w:val="20"/>
          <w:lang w:val="es-ES" w:eastAsia="es-ES"/>
        </w:rPr>
        <w:t>jercicio en el mencionado importe, de la misma manera ya expuesta para la Rendición de Cuentas.</w:t>
      </w:r>
    </w:p>
    <w:p w:rsidR="004E4FB6" w:rsidRDefault="004E4FB6" w:rsidP="00A8055D">
      <w:pPr>
        <w:suppressAutoHyphens w:val="0"/>
        <w:spacing w:after="0" w:line="360" w:lineRule="auto"/>
        <w:jc w:val="both"/>
        <w:textAlignment w:val="auto"/>
        <w:rPr>
          <w:rFonts w:ascii="Arial" w:eastAsia="Times New Roman" w:hAnsi="Arial" w:cs="Arial"/>
          <w:kern w:val="18"/>
          <w:sz w:val="24"/>
          <w:szCs w:val="20"/>
          <w:lang w:val="es-ES" w:eastAsia="es-ES"/>
        </w:rPr>
      </w:pPr>
    </w:p>
    <w:p w:rsidR="00A8055D" w:rsidRDefault="00A8055D" w:rsidP="00A8055D">
      <w:pPr>
        <w:suppressAutoHyphens w:val="0"/>
        <w:spacing w:after="0" w:line="360" w:lineRule="auto"/>
        <w:jc w:val="both"/>
        <w:textAlignment w:val="auto"/>
        <w:rPr>
          <w:rFonts w:ascii="Arial" w:eastAsia="Times New Roman" w:hAnsi="Arial" w:cs="Arial"/>
          <w:kern w:val="18"/>
          <w:sz w:val="24"/>
          <w:szCs w:val="20"/>
          <w:lang w:val="es-ES" w:eastAsia="es-ES"/>
        </w:rPr>
      </w:pPr>
    </w:p>
    <w:p w:rsidR="00A8055D" w:rsidRPr="009D1B19" w:rsidRDefault="00A8055D" w:rsidP="00A8055D">
      <w:pPr>
        <w:suppressAutoHyphens w:val="0"/>
        <w:spacing w:after="0" w:line="360" w:lineRule="auto"/>
        <w:jc w:val="both"/>
        <w:textAlignment w:val="auto"/>
        <w:rPr>
          <w:rFonts w:ascii="Arial" w:eastAsia="Times New Roman" w:hAnsi="Arial" w:cs="Arial"/>
          <w:kern w:val="18"/>
          <w:sz w:val="24"/>
          <w:szCs w:val="20"/>
          <w:lang w:val="es-ES" w:eastAsia="es-ES"/>
        </w:rPr>
      </w:pPr>
    </w:p>
    <w:p w:rsidR="004E4FB6" w:rsidRPr="009D1B19" w:rsidRDefault="004E4FB6" w:rsidP="004E4FB6">
      <w:pPr>
        <w:numPr>
          <w:ilvl w:val="1"/>
          <w:numId w:val="9"/>
        </w:numPr>
        <w:tabs>
          <w:tab w:val="left" w:pos="284"/>
          <w:tab w:val="left" w:pos="567"/>
        </w:tabs>
        <w:suppressAutoHyphens w:val="0"/>
        <w:spacing w:after="240" w:line="240" w:lineRule="atLeast"/>
        <w:jc w:val="both"/>
        <w:textAlignment w:val="auto"/>
        <w:rPr>
          <w:rFonts w:ascii="Arial" w:eastAsia="Times New Roman" w:hAnsi="Arial" w:cs="Arial"/>
          <w:b/>
          <w:kern w:val="18"/>
          <w:sz w:val="24"/>
          <w:szCs w:val="20"/>
          <w:lang w:val="es-ES" w:eastAsia="es-ES"/>
        </w:rPr>
      </w:pPr>
      <w:r w:rsidRPr="009D1B19">
        <w:rPr>
          <w:rFonts w:ascii="Arial" w:eastAsia="Times New Roman" w:hAnsi="Arial" w:cs="Arial"/>
          <w:b/>
          <w:kern w:val="18"/>
          <w:sz w:val="24"/>
          <w:szCs w:val="20"/>
          <w:lang w:val="es-ES" w:eastAsia="es-ES"/>
        </w:rPr>
        <w:t xml:space="preserve">Pagos de cuotas por adquisición en el 2008 del </w:t>
      </w:r>
      <w:r w:rsidR="00A8055D">
        <w:rPr>
          <w:rFonts w:ascii="Arial" w:eastAsia="Times New Roman" w:hAnsi="Arial" w:cs="Arial"/>
          <w:b/>
          <w:kern w:val="18"/>
          <w:sz w:val="24"/>
          <w:szCs w:val="20"/>
          <w:lang w:val="es-ES" w:eastAsia="es-ES"/>
        </w:rPr>
        <w:t>inmueble sede del organismo</w:t>
      </w:r>
    </w:p>
    <w:p w:rsidR="004E4FB6" w:rsidRDefault="004E4FB6" w:rsidP="00A8055D">
      <w:pPr>
        <w:suppressAutoHyphens w:val="0"/>
        <w:spacing w:after="0" w:line="360" w:lineRule="auto"/>
        <w:jc w:val="both"/>
        <w:textAlignment w:val="auto"/>
        <w:rPr>
          <w:rFonts w:ascii="Arial" w:eastAsia="Times New Roman" w:hAnsi="Arial" w:cs="Arial"/>
          <w:kern w:val="18"/>
          <w:sz w:val="24"/>
          <w:szCs w:val="20"/>
          <w:lang w:val="es-ES" w:eastAsia="es-ES"/>
        </w:rPr>
      </w:pPr>
      <w:r w:rsidRPr="009D1B19">
        <w:rPr>
          <w:rFonts w:ascii="Arial" w:eastAsia="Times New Roman" w:hAnsi="Arial" w:cs="Arial"/>
          <w:kern w:val="18"/>
          <w:sz w:val="24"/>
          <w:szCs w:val="20"/>
          <w:lang w:val="es-ES" w:eastAsia="es-ES"/>
        </w:rPr>
        <w:t>Al igual que en la Rendición de Cuentas, se consideraron como</w:t>
      </w:r>
      <w:r>
        <w:rPr>
          <w:rFonts w:ascii="Arial" w:eastAsia="Times New Roman" w:hAnsi="Arial" w:cs="Arial"/>
          <w:kern w:val="18"/>
          <w:sz w:val="24"/>
          <w:szCs w:val="20"/>
          <w:lang w:val="es-ES" w:eastAsia="es-ES"/>
        </w:rPr>
        <w:t xml:space="preserve"> pérdida del E</w:t>
      </w:r>
      <w:r w:rsidRPr="009D1B19">
        <w:rPr>
          <w:rFonts w:ascii="Arial" w:eastAsia="Times New Roman" w:hAnsi="Arial" w:cs="Arial"/>
          <w:kern w:val="18"/>
          <w:sz w:val="24"/>
          <w:szCs w:val="20"/>
          <w:lang w:val="es-ES" w:eastAsia="es-ES"/>
        </w:rPr>
        <w:t xml:space="preserve">jercicio, los pagos que se efectuaron a cuenta de la deuda contraída con el BPS en el 2008 por la adquisición </w:t>
      </w:r>
      <w:proofErr w:type="gramStart"/>
      <w:r w:rsidRPr="009D1B19">
        <w:rPr>
          <w:rFonts w:ascii="Arial" w:eastAsia="Times New Roman" w:hAnsi="Arial" w:cs="Arial"/>
          <w:kern w:val="18"/>
          <w:sz w:val="24"/>
          <w:szCs w:val="20"/>
          <w:lang w:val="es-ES" w:eastAsia="es-ES"/>
        </w:rPr>
        <w:t>del</w:t>
      </w:r>
      <w:proofErr w:type="gramEnd"/>
      <w:r w:rsidRPr="009D1B19">
        <w:rPr>
          <w:rFonts w:ascii="Arial" w:eastAsia="Times New Roman" w:hAnsi="Arial" w:cs="Arial"/>
          <w:kern w:val="18"/>
          <w:sz w:val="24"/>
          <w:szCs w:val="20"/>
          <w:lang w:val="es-ES" w:eastAsia="es-ES"/>
        </w:rPr>
        <w:t xml:space="preserve"> inmueble sede de la Junta Departamental.  </w:t>
      </w:r>
      <w:r>
        <w:rPr>
          <w:rFonts w:ascii="Arial" w:eastAsia="Times New Roman" w:hAnsi="Arial" w:cs="Arial"/>
          <w:kern w:val="18"/>
          <w:sz w:val="24"/>
          <w:szCs w:val="20"/>
          <w:lang w:val="es-ES" w:eastAsia="es-ES"/>
        </w:rPr>
        <w:t>En el E</w:t>
      </w:r>
      <w:r w:rsidRPr="009D1B19">
        <w:rPr>
          <w:rFonts w:ascii="Arial" w:eastAsia="Times New Roman" w:hAnsi="Arial" w:cs="Arial"/>
          <w:kern w:val="18"/>
          <w:sz w:val="24"/>
          <w:szCs w:val="20"/>
          <w:lang w:val="es-ES" w:eastAsia="es-ES"/>
        </w:rPr>
        <w:t xml:space="preserve">jercicio 2015, se pagaron 12 cuotas de UR 108.92 cada una, lo que a la cotización respectiva ascendió a $ 1.060.254. Los referidos pagos debieron darse de baja del pasivo respectivo, y sólo reconocerse como </w:t>
      </w:r>
      <w:r>
        <w:rPr>
          <w:rFonts w:ascii="Arial" w:eastAsia="Times New Roman" w:hAnsi="Arial" w:cs="Arial"/>
          <w:kern w:val="18"/>
          <w:sz w:val="24"/>
          <w:szCs w:val="20"/>
          <w:lang w:val="es-ES" w:eastAsia="es-ES"/>
        </w:rPr>
        <w:t>gastos del E</w:t>
      </w:r>
      <w:r w:rsidRPr="009D1B19">
        <w:rPr>
          <w:rFonts w:ascii="Arial" w:eastAsia="Times New Roman" w:hAnsi="Arial" w:cs="Arial"/>
          <w:kern w:val="18"/>
          <w:sz w:val="24"/>
          <w:szCs w:val="20"/>
          <w:lang w:val="es-ES" w:eastAsia="es-ES"/>
        </w:rPr>
        <w:t>jercicio, la diferencia de cotización de $ 238.520, lo que implica que</w:t>
      </w:r>
      <w:r>
        <w:rPr>
          <w:rFonts w:ascii="Arial" w:eastAsia="Times New Roman" w:hAnsi="Arial" w:cs="Arial"/>
          <w:kern w:val="18"/>
          <w:sz w:val="24"/>
          <w:szCs w:val="20"/>
          <w:lang w:val="es-ES" w:eastAsia="es-ES"/>
        </w:rPr>
        <w:t xml:space="preserve"> los gastos del E</w:t>
      </w:r>
      <w:r w:rsidRPr="009D1B19">
        <w:rPr>
          <w:rFonts w:ascii="Arial" w:eastAsia="Times New Roman" w:hAnsi="Arial" w:cs="Arial"/>
          <w:kern w:val="18"/>
          <w:sz w:val="24"/>
          <w:szCs w:val="20"/>
          <w:lang w:val="es-ES" w:eastAsia="es-ES"/>
        </w:rPr>
        <w:t>jercicio están sobrevaluados en $ 821.734.</w:t>
      </w:r>
    </w:p>
    <w:p w:rsidR="004E4FB6" w:rsidRPr="003D7E10" w:rsidRDefault="004E4FB6" w:rsidP="00A8055D">
      <w:pPr>
        <w:suppressAutoHyphens w:val="0"/>
        <w:spacing w:after="0" w:line="360" w:lineRule="auto"/>
        <w:jc w:val="both"/>
        <w:textAlignment w:val="auto"/>
        <w:rPr>
          <w:rFonts w:ascii="Arial" w:eastAsia="Times New Roman" w:hAnsi="Arial" w:cs="Arial"/>
          <w:kern w:val="18"/>
          <w:sz w:val="24"/>
          <w:szCs w:val="20"/>
          <w:lang w:val="es-ES" w:eastAsia="es-ES"/>
        </w:rPr>
      </w:pPr>
    </w:p>
    <w:p w:rsidR="004E4FB6" w:rsidRPr="009D1B19" w:rsidRDefault="004E4FB6" w:rsidP="00A8055D">
      <w:pPr>
        <w:tabs>
          <w:tab w:val="left" w:pos="284"/>
        </w:tabs>
        <w:suppressAutoHyphens w:val="0"/>
        <w:spacing w:after="240" w:line="240" w:lineRule="atLeast"/>
        <w:jc w:val="both"/>
        <w:textAlignment w:val="auto"/>
        <w:rPr>
          <w:rFonts w:ascii="Arial" w:eastAsia="Times New Roman" w:hAnsi="Arial" w:cs="Arial"/>
          <w:b/>
          <w:kern w:val="18"/>
          <w:sz w:val="24"/>
          <w:szCs w:val="20"/>
          <w:lang w:val="es-ES" w:eastAsia="es-ES"/>
        </w:rPr>
      </w:pPr>
      <w:r>
        <w:rPr>
          <w:rFonts w:ascii="Arial" w:eastAsia="Times New Roman" w:hAnsi="Arial" w:cs="Arial"/>
          <w:b/>
          <w:kern w:val="18"/>
          <w:sz w:val="24"/>
          <w:szCs w:val="20"/>
          <w:lang w:val="es-ES" w:eastAsia="es-ES"/>
        </w:rPr>
        <w:t xml:space="preserve">1.3 </w:t>
      </w:r>
      <w:r w:rsidRPr="009D1B19">
        <w:rPr>
          <w:rFonts w:ascii="Arial" w:eastAsia="Times New Roman" w:hAnsi="Arial" w:cs="Arial"/>
          <w:b/>
          <w:kern w:val="18"/>
          <w:sz w:val="24"/>
          <w:szCs w:val="20"/>
          <w:lang w:val="es-ES" w:eastAsia="es-ES"/>
        </w:rPr>
        <w:t>Bienes de uso cargados a pérdidas</w:t>
      </w:r>
    </w:p>
    <w:p w:rsidR="004E4FB6" w:rsidRPr="009D1B19" w:rsidRDefault="004E4FB6" w:rsidP="00A8055D">
      <w:pPr>
        <w:tabs>
          <w:tab w:val="left" w:pos="284"/>
        </w:tabs>
        <w:suppressAutoHyphens w:val="0"/>
        <w:spacing w:after="0" w:line="360" w:lineRule="auto"/>
        <w:jc w:val="both"/>
        <w:textAlignment w:val="auto"/>
        <w:rPr>
          <w:rFonts w:ascii="Arial" w:eastAsia="Times New Roman" w:hAnsi="Arial" w:cs="Arial"/>
          <w:kern w:val="18"/>
          <w:sz w:val="24"/>
          <w:szCs w:val="20"/>
          <w:lang w:val="es-ES" w:eastAsia="es-ES"/>
        </w:rPr>
      </w:pPr>
      <w:r w:rsidRPr="009D1B19">
        <w:rPr>
          <w:rFonts w:ascii="Arial" w:eastAsia="Times New Roman" w:hAnsi="Arial" w:cs="Arial"/>
          <w:kern w:val="18"/>
          <w:sz w:val="24"/>
          <w:szCs w:val="20"/>
          <w:lang w:val="es-ES" w:eastAsia="es-ES"/>
        </w:rPr>
        <w:t>Se reconoció como pérdidas en el Estado de Resultados, un importe de            $ 1.368.095 que corresponde a las adquisiciones de Bienes de Uso efectuadas en el ejercicio 2015. El mismo importe fue reconocido en el activo no corriente y en la columna de “altas” del Cuadro de Bienes de Uso, por lo que las pérdidas se encuentran sobreval</w:t>
      </w:r>
      <w:r w:rsidR="00A8055D">
        <w:rPr>
          <w:rFonts w:ascii="Arial" w:eastAsia="Times New Roman" w:hAnsi="Arial" w:cs="Arial"/>
          <w:kern w:val="18"/>
          <w:sz w:val="24"/>
          <w:szCs w:val="20"/>
          <w:lang w:val="es-ES" w:eastAsia="es-ES"/>
        </w:rPr>
        <w:t>uadas en el referido importe.</w:t>
      </w:r>
    </w:p>
    <w:p w:rsidR="004E4FB6" w:rsidRPr="009D1B19" w:rsidRDefault="004E4FB6" w:rsidP="00A8055D">
      <w:pPr>
        <w:tabs>
          <w:tab w:val="left" w:pos="284"/>
        </w:tabs>
        <w:suppressAutoHyphens w:val="0"/>
        <w:spacing w:after="0" w:line="360" w:lineRule="auto"/>
        <w:jc w:val="both"/>
        <w:textAlignment w:val="auto"/>
        <w:rPr>
          <w:rFonts w:ascii="Arial" w:eastAsia="Times New Roman" w:hAnsi="Arial" w:cs="Arial"/>
          <w:kern w:val="18"/>
          <w:sz w:val="24"/>
          <w:szCs w:val="20"/>
          <w:lang w:val="es-ES" w:eastAsia="es-ES"/>
        </w:rPr>
      </w:pPr>
    </w:p>
    <w:p w:rsidR="004E4FB6" w:rsidRPr="009D1B19" w:rsidRDefault="004E4FB6" w:rsidP="004E4FB6">
      <w:pPr>
        <w:numPr>
          <w:ilvl w:val="1"/>
          <w:numId w:val="8"/>
        </w:numPr>
        <w:tabs>
          <w:tab w:val="left" w:pos="284"/>
        </w:tabs>
        <w:suppressAutoHyphens w:val="0"/>
        <w:spacing w:after="240" w:line="240" w:lineRule="atLeast"/>
        <w:jc w:val="both"/>
        <w:textAlignment w:val="auto"/>
        <w:rPr>
          <w:rFonts w:ascii="Arial" w:eastAsia="Times New Roman" w:hAnsi="Arial" w:cs="Arial"/>
          <w:b/>
          <w:kern w:val="18"/>
          <w:sz w:val="24"/>
          <w:szCs w:val="20"/>
          <w:lang w:val="es-ES" w:eastAsia="es-ES"/>
        </w:rPr>
      </w:pPr>
      <w:r>
        <w:rPr>
          <w:rFonts w:ascii="Arial" w:eastAsia="Times New Roman" w:hAnsi="Arial" w:cs="Arial"/>
          <w:b/>
          <w:kern w:val="18"/>
          <w:sz w:val="24"/>
          <w:szCs w:val="20"/>
          <w:lang w:val="es-ES" w:eastAsia="es-ES"/>
        </w:rPr>
        <w:t xml:space="preserve"> </w:t>
      </w:r>
      <w:r w:rsidRPr="009D1B19">
        <w:rPr>
          <w:rFonts w:ascii="Arial" w:eastAsia="Times New Roman" w:hAnsi="Arial" w:cs="Arial"/>
          <w:b/>
          <w:kern w:val="18"/>
          <w:sz w:val="24"/>
          <w:szCs w:val="20"/>
          <w:lang w:val="es-ES" w:eastAsia="es-ES"/>
        </w:rPr>
        <w:t>Bienes de uso deteriorados</w:t>
      </w:r>
    </w:p>
    <w:p w:rsidR="004E4FB6" w:rsidRPr="009D1B19" w:rsidRDefault="004E4FB6" w:rsidP="00A8055D">
      <w:pPr>
        <w:tabs>
          <w:tab w:val="left" w:pos="284"/>
        </w:tabs>
        <w:suppressAutoHyphens w:val="0"/>
        <w:spacing w:after="0" w:line="360" w:lineRule="auto"/>
        <w:jc w:val="both"/>
        <w:textAlignment w:val="auto"/>
        <w:rPr>
          <w:rFonts w:ascii="Arial" w:eastAsia="Times New Roman" w:hAnsi="Arial" w:cs="Arial"/>
          <w:kern w:val="18"/>
          <w:sz w:val="24"/>
          <w:szCs w:val="20"/>
          <w:lang w:val="es-ES" w:eastAsia="es-ES"/>
        </w:rPr>
      </w:pPr>
      <w:r w:rsidRPr="009D1B19">
        <w:rPr>
          <w:rFonts w:ascii="Arial" w:eastAsia="Times New Roman" w:hAnsi="Arial" w:cs="Arial"/>
          <w:kern w:val="18"/>
          <w:sz w:val="24"/>
          <w:szCs w:val="20"/>
          <w:lang w:val="es-ES" w:eastAsia="es-ES"/>
        </w:rPr>
        <w:t>Por Resolución de Presidencia Nº 204/01/16 de 25/01/2016 se acordó dar de baja del inventario del Organismo “objetos que por diferentes motivos (roturas, desuso, etc.) no son utilizados y que lucen en nómina”. Asimismo, se resolvió que los mismos sean desafectados. Acorde a esta Resolución, en el Cuadro de Bienes de Uso al 31/12/2015, se dieron de baja bienes por este concepto por un importe neto de $ 114.842, no siendo reconocidos como pérdida en el Estado de Resultados.</w:t>
      </w:r>
    </w:p>
    <w:p w:rsidR="004E4FB6" w:rsidRDefault="004E4FB6" w:rsidP="00A8055D">
      <w:pPr>
        <w:tabs>
          <w:tab w:val="left" w:pos="284"/>
        </w:tabs>
        <w:suppressAutoHyphens w:val="0"/>
        <w:spacing w:after="0" w:line="360" w:lineRule="auto"/>
        <w:jc w:val="both"/>
        <w:textAlignment w:val="auto"/>
        <w:rPr>
          <w:rFonts w:ascii="Arial" w:eastAsia="Times New Roman" w:hAnsi="Arial" w:cs="Arial"/>
          <w:kern w:val="18"/>
          <w:sz w:val="24"/>
          <w:szCs w:val="20"/>
          <w:lang w:val="es-ES" w:eastAsia="es-ES"/>
        </w:rPr>
      </w:pPr>
    </w:p>
    <w:p w:rsidR="00A8055D" w:rsidRDefault="00A8055D" w:rsidP="00A8055D">
      <w:pPr>
        <w:tabs>
          <w:tab w:val="left" w:pos="284"/>
        </w:tabs>
        <w:suppressAutoHyphens w:val="0"/>
        <w:spacing w:after="0" w:line="360" w:lineRule="auto"/>
        <w:jc w:val="both"/>
        <w:textAlignment w:val="auto"/>
        <w:rPr>
          <w:rFonts w:ascii="Arial" w:eastAsia="Times New Roman" w:hAnsi="Arial" w:cs="Arial"/>
          <w:kern w:val="18"/>
          <w:sz w:val="24"/>
          <w:szCs w:val="20"/>
          <w:lang w:val="es-ES" w:eastAsia="es-ES"/>
        </w:rPr>
      </w:pPr>
    </w:p>
    <w:p w:rsidR="00A8055D" w:rsidRPr="009D1B19" w:rsidRDefault="00A8055D" w:rsidP="00A8055D">
      <w:pPr>
        <w:tabs>
          <w:tab w:val="left" w:pos="284"/>
        </w:tabs>
        <w:suppressAutoHyphens w:val="0"/>
        <w:spacing w:after="0" w:line="360" w:lineRule="auto"/>
        <w:jc w:val="both"/>
        <w:textAlignment w:val="auto"/>
        <w:rPr>
          <w:rFonts w:ascii="Arial" w:eastAsia="Times New Roman" w:hAnsi="Arial" w:cs="Arial"/>
          <w:kern w:val="18"/>
          <w:sz w:val="24"/>
          <w:szCs w:val="20"/>
          <w:lang w:val="es-ES" w:eastAsia="es-ES"/>
        </w:rPr>
      </w:pPr>
    </w:p>
    <w:p w:rsidR="004E4FB6" w:rsidRPr="009D1B19" w:rsidRDefault="004E4FB6" w:rsidP="004E4FB6">
      <w:pPr>
        <w:numPr>
          <w:ilvl w:val="1"/>
          <w:numId w:val="7"/>
        </w:numPr>
        <w:tabs>
          <w:tab w:val="left" w:pos="284"/>
        </w:tabs>
        <w:suppressAutoHyphens w:val="0"/>
        <w:spacing w:after="0" w:line="360" w:lineRule="auto"/>
        <w:jc w:val="both"/>
        <w:textAlignment w:val="auto"/>
        <w:rPr>
          <w:rFonts w:ascii="Arial" w:eastAsia="Times New Roman" w:hAnsi="Arial" w:cs="Arial"/>
          <w:b/>
          <w:kern w:val="18"/>
          <w:sz w:val="24"/>
          <w:szCs w:val="20"/>
          <w:lang w:val="es-ES" w:eastAsia="es-ES"/>
        </w:rPr>
      </w:pPr>
      <w:r>
        <w:rPr>
          <w:rFonts w:ascii="Arial" w:eastAsia="Times New Roman" w:hAnsi="Arial" w:cs="Arial"/>
          <w:b/>
          <w:kern w:val="18"/>
          <w:sz w:val="24"/>
          <w:szCs w:val="20"/>
          <w:lang w:val="es-ES" w:eastAsia="es-ES"/>
        </w:rPr>
        <w:t xml:space="preserve"> </w:t>
      </w:r>
      <w:r w:rsidRPr="009D1B19">
        <w:rPr>
          <w:rFonts w:ascii="Arial" w:eastAsia="Times New Roman" w:hAnsi="Arial" w:cs="Arial"/>
          <w:b/>
          <w:kern w:val="18"/>
          <w:sz w:val="24"/>
          <w:szCs w:val="20"/>
          <w:lang w:val="es-ES" w:eastAsia="es-ES"/>
        </w:rPr>
        <w:t>Permuta de vehículo</w:t>
      </w:r>
    </w:p>
    <w:p w:rsidR="004E4FB6" w:rsidRPr="009D1B19" w:rsidRDefault="004E4FB6" w:rsidP="00A8055D">
      <w:pPr>
        <w:tabs>
          <w:tab w:val="left" w:pos="284"/>
        </w:tabs>
        <w:suppressAutoHyphens w:val="0"/>
        <w:spacing w:after="0" w:line="360" w:lineRule="auto"/>
        <w:jc w:val="both"/>
        <w:textAlignment w:val="auto"/>
        <w:rPr>
          <w:rFonts w:ascii="Arial" w:eastAsia="Times New Roman" w:hAnsi="Arial" w:cs="Arial"/>
          <w:kern w:val="18"/>
          <w:sz w:val="24"/>
          <w:szCs w:val="20"/>
          <w:lang w:val="es-ES" w:eastAsia="es-ES"/>
        </w:rPr>
      </w:pPr>
      <w:r w:rsidRPr="009D1B19">
        <w:rPr>
          <w:rFonts w:ascii="Arial" w:eastAsia="Times New Roman" w:hAnsi="Arial" w:cs="Arial"/>
          <w:kern w:val="18"/>
          <w:sz w:val="24"/>
          <w:szCs w:val="20"/>
          <w:lang w:val="es-ES" w:eastAsia="es-ES"/>
        </w:rPr>
        <w:t xml:space="preserve">El 22/12/2015, al amparo de la Licitación Abreviada 01/2014 se procedió al recambio del minibús del organismo sin resultar erogación a pagar por parte de la Junta Departamental. En el Cuadro de Bienes de Uso y en el activo no corriente, se reconoció un alta de vehículo por un importe de $ 787.845 y asimismo se dio de baja el minibús existente, el que había sido adquirido en el ejercicio 2014 en un importe de $ 804.704. De acuerdo a los cálculos efectuados, el vehículo </w:t>
      </w:r>
      <w:r>
        <w:rPr>
          <w:rFonts w:ascii="Arial" w:eastAsia="Times New Roman" w:hAnsi="Arial" w:cs="Arial"/>
          <w:kern w:val="18"/>
          <w:sz w:val="24"/>
          <w:szCs w:val="20"/>
          <w:lang w:val="es-ES" w:eastAsia="es-ES"/>
        </w:rPr>
        <w:t>entregado fue amortizado en el E</w:t>
      </w:r>
      <w:r w:rsidRPr="009D1B19">
        <w:rPr>
          <w:rFonts w:ascii="Arial" w:eastAsia="Times New Roman" w:hAnsi="Arial" w:cs="Arial"/>
          <w:kern w:val="18"/>
          <w:sz w:val="24"/>
          <w:szCs w:val="20"/>
          <w:lang w:val="es-ES" w:eastAsia="es-ES"/>
        </w:rPr>
        <w:t>jercicio 2015 y reconocida la amortización como pérdida en el Estado de Resultado, pero no fue dada de baja la amortización acumulada respectiva ni en el Cuadro de Bienes de Uso ni en el activo no corriente. Asimismo, la diferencia entre el valor neto del vehículo que se entregó y el importe de la unidad adquirida no fue reconocida en el Estado de Resultados. Por lo expuesto, falta reco</w:t>
      </w:r>
      <w:r w:rsidR="00A8055D">
        <w:rPr>
          <w:rFonts w:ascii="Arial" w:eastAsia="Times New Roman" w:hAnsi="Arial" w:cs="Arial"/>
          <w:kern w:val="18"/>
          <w:sz w:val="24"/>
          <w:szCs w:val="20"/>
          <w:lang w:val="es-ES" w:eastAsia="es-ES"/>
        </w:rPr>
        <w:t>nocer una ganancia de $ 160.941.</w:t>
      </w:r>
    </w:p>
    <w:p w:rsidR="004E4FB6" w:rsidRPr="009D1B19" w:rsidRDefault="004E4FB6" w:rsidP="00A8055D">
      <w:pPr>
        <w:tabs>
          <w:tab w:val="left" w:pos="284"/>
        </w:tabs>
        <w:suppressAutoHyphens w:val="0"/>
        <w:spacing w:after="0" w:line="360" w:lineRule="auto"/>
        <w:jc w:val="both"/>
        <w:textAlignment w:val="auto"/>
        <w:rPr>
          <w:rFonts w:ascii="Arial" w:eastAsia="Times New Roman" w:hAnsi="Arial" w:cs="Arial"/>
          <w:kern w:val="18"/>
          <w:sz w:val="24"/>
          <w:szCs w:val="20"/>
          <w:lang w:val="es-ES" w:eastAsia="es-ES"/>
        </w:rPr>
      </w:pPr>
    </w:p>
    <w:p w:rsidR="004E4FB6" w:rsidRPr="009D1B19" w:rsidRDefault="004E4FB6" w:rsidP="004E4FB6">
      <w:pPr>
        <w:numPr>
          <w:ilvl w:val="1"/>
          <w:numId w:val="6"/>
        </w:numPr>
        <w:tabs>
          <w:tab w:val="left" w:pos="284"/>
        </w:tabs>
        <w:suppressAutoHyphens w:val="0"/>
        <w:spacing w:after="0" w:line="360" w:lineRule="auto"/>
        <w:jc w:val="both"/>
        <w:textAlignment w:val="auto"/>
        <w:rPr>
          <w:rFonts w:ascii="Arial" w:eastAsia="Times New Roman" w:hAnsi="Arial" w:cs="Arial"/>
          <w:b/>
          <w:kern w:val="18"/>
          <w:sz w:val="24"/>
          <w:szCs w:val="20"/>
          <w:lang w:val="es-ES" w:eastAsia="es-ES"/>
        </w:rPr>
      </w:pPr>
      <w:r>
        <w:rPr>
          <w:rFonts w:ascii="Arial" w:eastAsia="Times New Roman" w:hAnsi="Arial" w:cs="Arial"/>
          <w:b/>
          <w:kern w:val="18"/>
          <w:sz w:val="24"/>
          <w:szCs w:val="20"/>
          <w:lang w:val="es-ES" w:eastAsia="es-ES"/>
        </w:rPr>
        <w:t xml:space="preserve"> </w:t>
      </w:r>
      <w:r w:rsidRPr="009D1B19">
        <w:rPr>
          <w:rFonts w:ascii="Arial" w:eastAsia="Times New Roman" w:hAnsi="Arial" w:cs="Arial"/>
          <w:b/>
          <w:kern w:val="18"/>
          <w:sz w:val="24"/>
          <w:szCs w:val="20"/>
          <w:lang w:val="es-ES" w:eastAsia="es-ES"/>
        </w:rPr>
        <w:t>Ingresos devengados</w:t>
      </w:r>
    </w:p>
    <w:p w:rsidR="004E4FB6" w:rsidRPr="009D1B19" w:rsidRDefault="004E4FB6" w:rsidP="00A8055D">
      <w:pPr>
        <w:pStyle w:val="Textoindependiente"/>
        <w:spacing w:line="360" w:lineRule="auto"/>
        <w:jc w:val="both"/>
        <w:rPr>
          <w:rFonts w:ascii="Arial" w:hAnsi="Arial" w:cs="Arial"/>
          <w:lang w:val="es-ES" w:eastAsia="es-UY"/>
        </w:rPr>
      </w:pPr>
      <w:r w:rsidRPr="009D1B19">
        <w:rPr>
          <w:rFonts w:ascii="Arial" w:hAnsi="Arial" w:cs="Arial"/>
          <w:lang w:val="es-UY" w:eastAsia="es-UY"/>
        </w:rPr>
        <w:t>En la Nota a los Estados Contables Nº 2 se establece que la Junta Departamental “recibe sus ingresos (duodécimos presupuestales) de la Intendencia Departamental de Florida, los que se contabilizan por el criterio de lo percibido”. De acuerdo a lo dispuesto en el Artículo 5 de la Ordenanza Nº 81 de este Tribunal, “l</w:t>
      </w:r>
      <w:r w:rsidRPr="009D1B19">
        <w:rPr>
          <w:rFonts w:ascii="Arial" w:hAnsi="Arial" w:cs="Arial"/>
        </w:rPr>
        <w:t>os Estados Contables (o financieros) deben prepararse aplicando el criterio de lo devengado. Según este criterio, las transacciones y demás sucesos se reconocerán cuando ocurran de acuerdo a normas legales o prácticas comerciales, con independencia de cuando se reciba o se pague dinero u otro equivalente al efectivo. El Tribunal de Cuentas podrá autorizar, en forma excepcional, la presentación de Estados Contables (o financieros) preparados aplicando el criterio de lo percibido o de caja cuando exista una solicitud formal de la unidad contable basada en razones fundadas</w:t>
      </w:r>
      <w:r w:rsidRPr="009D1B19">
        <w:rPr>
          <w:rFonts w:ascii="Arial" w:hAnsi="Arial" w:cs="Arial"/>
          <w:lang w:val="es-ES"/>
        </w:rPr>
        <w:t>”</w:t>
      </w:r>
      <w:r w:rsidRPr="009D1B19">
        <w:rPr>
          <w:rFonts w:ascii="Arial" w:hAnsi="Arial" w:cs="Arial"/>
        </w:rPr>
        <w:t>.</w:t>
      </w:r>
      <w:r w:rsidRPr="009D1B19">
        <w:rPr>
          <w:rFonts w:ascii="Arial" w:hAnsi="Arial" w:cs="Arial"/>
          <w:lang w:val="es-ES"/>
        </w:rPr>
        <w:t xml:space="preserve"> A la fecha, no se recibido ninguna solicitud formal al respecto, por lo que el criterio a </w:t>
      </w:r>
      <w:r w:rsidR="00A8055D">
        <w:rPr>
          <w:rFonts w:ascii="Arial" w:hAnsi="Arial" w:cs="Arial"/>
          <w:lang w:val="es-ES"/>
        </w:rPr>
        <w:t>utilizar es el de lo devengado.</w:t>
      </w:r>
    </w:p>
    <w:p w:rsidR="004E4FB6" w:rsidRPr="009D1B19" w:rsidRDefault="004E4FB6" w:rsidP="00A8055D">
      <w:pPr>
        <w:pStyle w:val="Textoindependiente"/>
        <w:spacing w:line="360" w:lineRule="auto"/>
        <w:jc w:val="both"/>
        <w:rPr>
          <w:rFonts w:ascii="Arial" w:hAnsi="Arial" w:cs="Arial"/>
          <w:lang w:val="es-ES"/>
        </w:rPr>
      </w:pPr>
      <w:r w:rsidRPr="009D1B19">
        <w:rPr>
          <w:rFonts w:ascii="Arial" w:hAnsi="Arial" w:cs="Arial"/>
          <w:lang w:val="es-ES"/>
        </w:rPr>
        <w:t>Considerando</w:t>
      </w:r>
      <w:r w:rsidRPr="009D1B19">
        <w:rPr>
          <w:rFonts w:ascii="Arial" w:hAnsi="Arial" w:cs="Arial"/>
          <w:lang w:val="es-UY"/>
        </w:rPr>
        <w:t xml:space="preserve"> como criterio básico que lo devengado respecto de los ingresos es un derecho ganado con independencia de haber sido cobrado o no, en el caso particular de las Juntas Departamentales, es aquello que puede exigir a la Intendencia, lo que </w:t>
      </w:r>
      <w:r w:rsidRPr="009D1B19">
        <w:rPr>
          <w:rFonts w:ascii="Arial" w:hAnsi="Arial" w:cs="Arial"/>
          <w:lang w:val="es-ES"/>
        </w:rPr>
        <w:t>implica que los ingresos a considerar por la Junta se deben corresponder con</w:t>
      </w:r>
      <w:r>
        <w:rPr>
          <w:rFonts w:ascii="Arial" w:hAnsi="Arial" w:cs="Arial"/>
          <w:lang w:val="es-ES"/>
        </w:rPr>
        <w:t xml:space="preserve"> los gastos presupuestales del E</w:t>
      </w:r>
      <w:r w:rsidRPr="009D1B19">
        <w:rPr>
          <w:rFonts w:ascii="Arial" w:hAnsi="Arial" w:cs="Arial"/>
          <w:lang w:val="es-ES"/>
        </w:rPr>
        <w:t>jercicio menos las ganancias generadas por la propia Junta Departamental, en este caso, menos la ganancia por venta del vehículo. Por lo expuesto, corresponde aumentar las ganancias en $ 1.586.560</w:t>
      </w:r>
      <w:r w:rsidR="00A8055D">
        <w:rPr>
          <w:rFonts w:ascii="Arial" w:hAnsi="Arial" w:cs="Arial"/>
          <w:lang w:val="es-ES"/>
        </w:rPr>
        <w:t>.</w:t>
      </w:r>
    </w:p>
    <w:p w:rsidR="004E4FB6" w:rsidRPr="009D1B19" w:rsidRDefault="004E4FB6" w:rsidP="00A8055D">
      <w:pPr>
        <w:pStyle w:val="Textoindependiente"/>
        <w:spacing w:line="360" w:lineRule="auto"/>
        <w:jc w:val="both"/>
        <w:rPr>
          <w:rFonts w:ascii="Arial" w:hAnsi="Arial" w:cs="Arial"/>
          <w:lang w:val="es-ES"/>
        </w:rPr>
      </w:pPr>
    </w:p>
    <w:p w:rsidR="004E4FB6" w:rsidRPr="009D1B19" w:rsidRDefault="004E4FB6" w:rsidP="004E4FB6">
      <w:pPr>
        <w:numPr>
          <w:ilvl w:val="1"/>
          <w:numId w:val="5"/>
        </w:numPr>
        <w:tabs>
          <w:tab w:val="left" w:pos="284"/>
        </w:tabs>
        <w:suppressAutoHyphens w:val="0"/>
        <w:spacing w:after="0" w:line="360" w:lineRule="auto"/>
        <w:jc w:val="both"/>
        <w:textAlignment w:val="auto"/>
        <w:rPr>
          <w:rFonts w:ascii="Arial" w:eastAsia="Times New Roman" w:hAnsi="Arial" w:cs="Arial"/>
          <w:b/>
          <w:kern w:val="18"/>
          <w:sz w:val="24"/>
          <w:szCs w:val="20"/>
          <w:lang w:val="es-ES" w:eastAsia="es-ES"/>
        </w:rPr>
      </w:pPr>
      <w:r>
        <w:rPr>
          <w:rFonts w:ascii="Arial" w:eastAsia="Times New Roman" w:hAnsi="Arial" w:cs="Arial"/>
          <w:b/>
          <w:kern w:val="18"/>
          <w:sz w:val="24"/>
          <w:szCs w:val="20"/>
          <w:lang w:val="es-ES" w:eastAsia="es-ES"/>
        </w:rPr>
        <w:t xml:space="preserve"> </w:t>
      </w:r>
      <w:r w:rsidRPr="009D1B19">
        <w:rPr>
          <w:rFonts w:ascii="Arial" w:eastAsia="Times New Roman" w:hAnsi="Arial" w:cs="Arial"/>
          <w:b/>
          <w:kern w:val="18"/>
          <w:sz w:val="24"/>
          <w:szCs w:val="20"/>
          <w:lang w:val="es-ES" w:eastAsia="es-ES"/>
        </w:rPr>
        <w:t>Saldo de la cuenta Banco</w:t>
      </w:r>
    </w:p>
    <w:p w:rsidR="004E4FB6" w:rsidRPr="009D1B19" w:rsidRDefault="004E4FB6" w:rsidP="00A8055D">
      <w:pPr>
        <w:pStyle w:val="Textoindependiente"/>
        <w:spacing w:line="360" w:lineRule="auto"/>
        <w:jc w:val="both"/>
        <w:rPr>
          <w:rFonts w:ascii="Arial" w:hAnsi="Arial" w:cs="Arial"/>
          <w:lang w:val="es-ES"/>
        </w:rPr>
      </w:pPr>
      <w:r w:rsidRPr="009D1B19">
        <w:rPr>
          <w:rFonts w:ascii="Arial" w:hAnsi="Arial" w:cs="Arial"/>
          <w:lang w:val="es-ES"/>
        </w:rPr>
        <w:t>En la conciliación bancaria presentada en el documento de la Rendición</w:t>
      </w:r>
      <w:r>
        <w:rPr>
          <w:rFonts w:ascii="Arial" w:hAnsi="Arial" w:cs="Arial"/>
          <w:lang w:val="es-ES"/>
        </w:rPr>
        <w:t xml:space="preserve"> de Cuentas correspondiente al E</w:t>
      </w:r>
      <w:r w:rsidRPr="009D1B19">
        <w:rPr>
          <w:rFonts w:ascii="Arial" w:hAnsi="Arial" w:cs="Arial"/>
          <w:lang w:val="es-ES"/>
        </w:rPr>
        <w:t>jercicio 2015, se exponen sueldos a pagar por un importe de $ 1.351.834 y se mantiene el saldo de la cuenta Banco incrementada en el mismo importe, sin embargo, los sueldos a pagar no fueron incluidos al determinarse la situación en materia de fondos y el Estado de Resultados Acumulados. Al respecto se constató que los mismos fueron abonados el 30/12/2015, lo que implica que la cuenta Banco se encuentra sobrevaluada en el referido importe. Asimismo, las cuentas del Estado de Situación Patrimonial que registran movimientos con la Intendencia se encuentran s</w:t>
      </w:r>
      <w:r w:rsidR="00A8055D">
        <w:rPr>
          <w:rFonts w:ascii="Arial" w:hAnsi="Arial" w:cs="Arial"/>
          <w:lang w:val="es-ES"/>
        </w:rPr>
        <w:t>ubvaluadas en el mismo importe.</w:t>
      </w:r>
    </w:p>
    <w:p w:rsidR="004E4FB6" w:rsidRPr="009D1B19" w:rsidRDefault="004E4FB6" w:rsidP="00A8055D">
      <w:pPr>
        <w:pStyle w:val="Textoindependiente"/>
        <w:spacing w:line="360" w:lineRule="auto"/>
        <w:jc w:val="both"/>
        <w:rPr>
          <w:rFonts w:ascii="Arial" w:hAnsi="Arial" w:cs="Arial"/>
          <w:lang w:val="es-ES"/>
        </w:rPr>
      </w:pPr>
    </w:p>
    <w:p w:rsidR="004E4FB6" w:rsidRPr="009D1B19" w:rsidRDefault="004E4FB6" w:rsidP="004E4FB6">
      <w:pPr>
        <w:numPr>
          <w:ilvl w:val="1"/>
          <w:numId w:val="4"/>
        </w:numPr>
        <w:tabs>
          <w:tab w:val="left" w:pos="284"/>
        </w:tabs>
        <w:suppressAutoHyphens w:val="0"/>
        <w:spacing w:after="0" w:line="360" w:lineRule="auto"/>
        <w:textAlignment w:val="auto"/>
        <w:rPr>
          <w:rFonts w:ascii="Arial" w:eastAsia="Times New Roman" w:hAnsi="Arial" w:cs="Arial"/>
          <w:b/>
          <w:kern w:val="18"/>
          <w:sz w:val="24"/>
          <w:szCs w:val="20"/>
          <w:lang w:val="es-ES" w:eastAsia="es-ES"/>
        </w:rPr>
      </w:pPr>
      <w:r>
        <w:rPr>
          <w:rFonts w:ascii="Arial" w:eastAsia="Times New Roman" w:hAnsi="Arial" w:cs="Arial"/>
          <w:b/>
          <w:kern w:val="18"/>
          <w:sz w:val="24"/>
          <w:szCs w:val="20"/>
          <w:lang w:val="es-ES" w:eastAsia="es-ES"/>
        </w:rPr>
        <w:t xml:space="preserve"> </w:t>
      </w:r>
      <w:r w:rsidRPr="009D1B19">
        <w:rPr>
          <w:rFonts w:ascii="Arial" w:eastAsia="Times New Roman" w:hAnsi="Arial" w:cs="Arial"/>
          <w:b/>
          <w:kern w:val="18"/>
          <w:sz w:val="24"/>
          <w:szCs w:val="20"/>
          <w:lang w:val="es-ES" w:eastAsia="es-ES"/>
        </w:rPr>
        <w:t>Saldo de la cuentas con la Intendencia</w:t>
      </w:r>
    </w:p>
    <w:p w:rsidR="004E4FB6" w:rsidRPr="009D1B19" w:rsidRDefault="004E4FB6" w:rsidP="00A8055D">
      <w:pPr>
        <w:pStyle w:val="Textoindependiente"/>
        <w:spacing w:line="360" w:lineRule="auto"/>
        <w:jc w:val="both"/>
        <w:rPr>
          <w:rFonts w:ascii="Arial" w:hAnsi="Arial" w:cs="Arial"/>
          <w:lang w:val="es-ES"/>
        </w:rPr>
      </w:pPr>
      <w:r w:rsidRPr="009D1B19">
        <w:rPr>
          <w:rFonts w:ascii="Arial" w:hAnsi="Arial" w:cs="Arial"/>
          <w:lang w:val="es-ES"/>
        </w:rPr>
        <w:t>El saldo de las cuentas con la Intendencia debe reflejar la situación en materia de fondos de la Junta respecto con dicho organismo, lo que implica un ajuste al saldo inicial de resu</w:t>
      </w:r>
      <w:r w:rsidR="00A8055D">
        <w:rPr>
          <w:rFonts w:ascii="Arial" w:hAnsi="Arial" w:cs="Arial"/>
          <w:lang w:val="es-ES"/>
        </w:rPr>
        <w:t>ltados acumulados de $ 726.193.</w:t>
      </w:r>
    </w:p>
    <w:p w:rsidR="004E4FB6" w:rsidRPr="009D1B19" w:rsidRDefault="004E4FB6" w:rsidP="00A8055D">
      <w:pPr>
        <w:pStyle w:val="Textoindependiente"/>
        <w:spacing w:line="360" w:lineRule="auto"/>
        <w:jc w:val="both"/>
        <w:rPr>
          <w:rFonts w:ascii="Arial" w:hAnsi="Arial" w:cs="Arial"/>
          <w:szCs w:val="24"/>
          <w:lang w:val="es-ES"/>
        </w:rPr>
      </w:pPr>
    </w:p>
    <w:p w:rsidR="004E4FB6" w:rsidRPr="009D1B19" w:rsidRDefault="004E4FB6" w:rsidP="004E4FB6">
      <w:pPr>
        <w:pStyle w:val="Ttulo3"/>
        <w:numPr>
          <w:ilvl w:val="2"/>
          <w:numId w:val="2"/>
        </w:numPr>
        <w:spacing w:before="0" w:line="360" w:lineRule="auto"/>
        <w:ind w:left="0" w:firstLine="0"/>
        <w:jc w:val="both"/>
        <w:rPr>
          <w:rFonts w:ascii="Arial" w:hAnsi="Arial" w:cs="Arial"/>
          <w:color w:val="auto"/>
          <w:sz w:val="24"/>
          <w:szCs w:val="24"/>
        </w:rPr>
      </w:pPr>
      <w:bookmarkStart w:id="4" w:name="_Toc422915245"/>
      <w:r w:rsidRPr="009D1B19">
        <w:rPr>
          <w:rFonts w:ascii="Arial" w:hAnsi="Arial" w:cs="Arial"/>
          <w:color w:val="auto"/>
          <w:sz w:val="24"/>
          <w:szCs w:val="24"/>
        </w:rPr>
        <w:t>1.9 Ajustes al Resultado del Ejercicio y al Resultado Acumulado al 31/12/201</w:t>
      </w:r>
      <w:bookmarkEnd w:id="4"/>
      <w:r w:rsidRPr="009D1B19">
        <w:rPr>
          <w:rFonts w:ascii="Arial" w:hAnsi="Arial" w:cs="Arial"/>
          <w:color w:val="auto"/>
          <w:sz w:val="24"/>
          <w:szCs w:val="24"/>
        </w:rPr>
        <w:t>5</w:t>
      </w:r>
    </w:p>
    <w:p w:rsidR="004E4FB6" w:rsidRPr="009D1B19" w:rsidRDefault="004E4FB6" w:rsidP="00A8055D">
      <w:pPr>
        <w:spacing w:after="0" w:line="360" w:lineRule="auto"/>
        <w:jc w:val="both"/>
        <w:rPr>
          <w:rFonts w:ascii="Arial" w:hAnsi="Arial" w:cs="Arial"/>
          <w:sz w:val="24"/>
          <w:szCs w:val="24"/>
        </w:rPr>
      </w:pPr>
      <w:bookmarkStart w:id="5" w:name="_Toc239656368"/>
      <w:r w:rsidRPr="009D1B19">
        <w:rPr>
          <w:rFonts w:ascii="Arial" w:hAnsi="Arial" w:cs="Arial"/>
          <w:sz w:val="24"/>
          <w:szCs w:val="24"/>
        </w:rPr>
        <w:t xml:space="preserve">Por lo expresado en los párrafos anteriores, el resultado del Ejercicio ajustado es de $ 687.171 de ganancia y el Resultado Acumulado ajustado asciende a </w:t>
      </w:r>
      <w:bookmarkEnd w:id="5"/>
      <w:r w:rsidRPr="009D1B19">
        <w:rPr>
          <w:rFonts w:ascii="Arial" w:hAnsi="Arial" w:cs="Arial"/>
          <w:sz w:val="24"/>
          <w:szCs w:val="24"/>
        </w:rPr>
        <w:t xml:space="preserve">          $ 6.024.799, según el siguiente detalle (en pesos uruguayos):</w:t>
      </w:r>
    </w:p>
    <w:p w:rsidR="004E4FB6" w:rsidRPr="009D1B19" w:rsidRDefault="004E4FB6" w:rsidP="00A8055D">
      <w:pPr>
        <w:spacing w:after="0" w:line="360" w:lineRule="auto"/>
        <w:jc w:val="both"/>
        <w:rPr>
          <w:rFonts w:ascii="Arial" w:hAnsi="Arial" w:cs="Arial"/>
          <w:sz w:val="24"/>
          <w:szCs w:val="24"/>
        </w:rPr>
      </w:pPr>
    </w:p>
    <w:tbl>
      <w:tblPr>
        <w:tblW w:w="7152" w:type="dxa"/>
        <w:tblInd w:w="70" w:type="dxa"/>
        <w:tblCellMar>
          <w:left w:w="70" w:type="dxa"/>
          <w:right w:w="70" w:type="dxa"/>
        </w:tblCellMar>
        <w:tblLook w:val="04A0" w:firstRow="1" w:lastRow="0" w:firstColumn="1" w:lastColumn="0" w:noHBand="0" w:noVBand="1"/>
      </w:tblPr>
      <w:tblGrid>
        <w:gridCol w:w="5267"/>
        <w:gridCol w:w="146"/>
        <w:gridCol w:w="1876"/>
      </w:tblGrid>
      <w:tr w:rsidR="004E4FB6" w:rsidRPr="009D1B19" w:rsidTr="00A8055D">
        <w:trPr>
          <w:trHeight w:val="300"/>
        </w:trPr>
        <w:tc>
          <w:tcPr>
            <w:tcW w:w="5276" w:type="dxa"/>
            <w:gridSpan w:val="2"/>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Resultado del ejercicio expuesto por la Junta</w:t>
            </w: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2.172.518   </w:t>
            </w:r>
          </w:p>
        </w:tc>
      </w:tr>
      <w:tr w:rsidR="004E4FB6" w:rsidRPr="009D1B19" w:rsidTr="00A8055D">
        <w:trPr>
          <w:trHeight w:val="300"/>
        </w:trPr>
        <w:tc>
          <w:tcPr>
            <w:tcW w:w="5267"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gastos Ediles no contabilizados</w:t>
            </w:r>
          </w:p>
        </w:tc>
        <w:tc>
          <w:tcPr>
            <w:tcW w:w="9"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962.799   </w:t>
            </w:r>
          </w:p>
        </w:tc>
      </w:tr>
      <w:tr w:rsidR="004E4FB6" w:rsidRPr="009D1B19" w:rsidTr="00A8055D">
        <w:trPr>
          <w:trHeight w:val="300"/>
        </w:trPr>
        <w:tc>
          <w:tcPr>
            <w:tcW w:w="5276" w:type="dxa"/>
            <w:gridSpan w:val="2"/>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pagos de deudas que no son gastos</w:t>
            </w: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821.734   </w:t>
            </w:r>
          </w:p>
        </w:tc>
      </w:tr>
      <w:tr w:rsidR="004E4FB6" w:rsidRPr="009D1B19" w:rsidTr="00A8055D">
        <w:trPr>
          <w:trHeight w:val="345"/>
        </w:trPr>
        <w:tc>
          <w:tcPr>
            <w:tcW w:w="5276" w:type="dxa"/>
            <w:gridSpan w:val="2"/>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altas de bienes uso que no son gastos</w:t>
            </w: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1.368.095   </w:t>
            </w:r>
          </w:p>
        </w:tc>
      </w:tr>
      <w:tr w:rsidR="004E4FB6" w:rsidRPr="009D1B19" w:rsidTr="00A8055D">
        <w:trPr>
          <w:trHeight w:val="300"/>
        </w:trPr>
        <w:tc>
          <w:tcPr>
            <w:tcW w:w="5267"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bienes de uso deteriorados</w:t>
            </w:r>
          </w:p>
        </w:tc>
        <w:tc>
          <w:tcPr>
            <w:tcW w:w="9"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114.842   </w:t>
            </w:r>
          </w:p>
        </w:tc>
      </w:tr>
      <w:tr w:rsidR="004E4FB6" w:rsidRPr="009D1B19" w:rsidTr="00A8055D">
        <w:trPr>
          <w:trHeight w:val="300"/>
        </w:trPr>
        <w:tc>
          <w:tcPr>
            <w:tcW w:w="5276" w:type="dxa"/>
            <w:gridSpan w:val="2"/>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ganancia por recambio de vehículo</w:t>
            </w: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160.941   </w:t>
            </w:r>
          </w:p>
        </w:tc>
      </w:tr>
      <w:tr w:rsidR="004E4FB6" w:rsidRPr="009D1B19" w:rsidTr="00A8055D">
        <w:trPr>
          <w:trHeight w:val="300"/>
        </w:trPr>
        <w:tc>
          <w:tcPr>
            <w:tcW w:w="5276" w:type="dxa"/>
            <w:gridSpan w:val="2"/>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diferencia por ingresos devengados</w:t>
            </w:r>
          </w:p>
        </w:tc>
        <w:tc>
          <w:tcPr>
            <w:tcW w:w="1876" w:type="dxa"/>
            <w:tcBorders>
              <w:top w:val="nil"/>
              <w:left w:val="nil"/>
              <w:bottom w:val="single" w:sz="4" w:space="0" w:color="auto"/>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1.586.560   </w:t>
            </w:r>
          </w:p>
        </w:tc>
      </w:tr>
      <w:tr w:rsidR="004E4FB6" w:rsidRPr="009D1B19" w:rsidTr="00A8055D">
        <w:trPr>
          <w:trHeight w:val="300"/>
        </w:trPr>
        <w:tc>
          <w:tcPr>
            <w:tcW w:w="5267"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p>
        </w:tc>
        <w:tc>
          <w:tcPr>
            <w:tcW w:w="9"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687.171   </w:t>
            </w:r>
          </w:p>
        </w:tc>
      </w:tr>
      <w:tr w:rsidR="004E4FB6" w:rsidRPr="009D1B19" w:rsidTr="00A8055D">
        <w:trPr>
          <w:trHeight w:val="300"/>
        </w:trPr>
        <w:tc>
          <w:tcPr>
            <w:tcW w:w="5267"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p>
        </w:tc>
        <w:tc>
          <w:tcPr>
            <w:tcW w:w="9"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p>
        </w:tc>
      </w:tr>
      <w:tr w:rsidR="004E4FB6" w:rsidRPr="009D1B19" w:rsidTr="00A8055D">
        <w:trPr>
          <w:trHeight w:val="300"/>
        </w:trPr>
        <w:tc>
          <w:tcPr>
            <w:tcW w:w="5276" w:type="dxa"/>
            <w:gridSpan w:val="2"/>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Resultado acumulado expuesto por la Junta</w:t>
            </w: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3.790.751   </w:t>
            </w:r>
          </w:p>
        </w:tc>
      </w:tr>
      <w:tr w:rsidR="004E4FB6" w:rsidRPr="009D1B19" w:rsidTr="00A8055D">
        <w:trPr>
          <w:trHeight w:val="300"/>
        </w:trPr>
        <w:tc>
          <w:tcPr>
            <w:tcW w:w="5267"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Ajustes al resultado del ejercicio</w:t>
            </w:r>
          </w:p>
        </w:tc>
        <w:tc>
          <w:tcPr>
            <w:tcW w:w="9"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2.859.689   </w:t>
            </w:r>
          </w:p>
        </w:tc>
      </w:tr>
      <w:tr w:rsidR="004E4FB6" w:rsidRPr="009D1B19" w:rsidTr="00A8055D">
        <w:trPr>
          <w:trHeight w:val="300"/>
        </w:trPr>
        <w:tc>
          <w:tcPr>
            <w:tcW w:w="5276" w:type="dxa"/>
            <w:gridSpan w:val="2"/>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Ajuste sueldos a pagar ya pagados</w:t>
            </w: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1.351.834   </w:t>
            </w:r>
          </w:p>
        </w:tc>
      </w:tr>
      <w:tr w:rsidR="004E4FB6" w:rsidRPr="009D1B19" w:rsidTr="00A8055D">
        <w:trPr>
          <w:trHeight w:val="300"/>
        </w:trPr>
        <w:tc>
          <w:tcPr>
            <w:tcW w:w="5276" w:type="dxa"/>
            <w:gridSpan w:val="2"/>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Ajustes cuentas con la Intendencia</w:t>
            </w:r>
          </w:p>
        </w:tc>
        <w:tc>
          <w:tcPr>
            <w:tcW w:w="1876" w:type="dxa"/>
            <w:tcBorders>
              <w:top w:val="nil"/>
              <w:left w:val="nil"/>
              <w:bottom w:val="single" w:sz="4" w:space="0" w:color="auto"/>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726.193   </w:t>
            </w:r>
          </w:p>
        </w:tc>
      </w:tr>
      <w:tr w:rsidR="004E4FB6" w:rsidRPr="009D1B19" w:rsidTr="00A8055D">
        <w:trPr>
          <w:trHeight w:val="315"/>
        </w:trPr>
        <w:tc>
          <w:tcPr>
            <w:tcW w:w="5267"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p>
        </w:tc>
        <w:tc>
          <w:tcPr>
            <w:tcW w:w="9"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p>
        </w:tc>
        <w:tc>
          <w:tcPr>
            <w:tcW w:w="1876" w:type="dxa"/>
            <w:tcBorders>
              <w:top w:val="nil"/>
              <w:left w:val="nil"/>
              <w:bottom w:val="nil"/>
              <w:right w:val="nil"/>
            </w:tcBorders>
            <w:shd w:val="clear" w:color="auto" w:fill="auto"/>
            <w:noWrap/>
            <w:vAlign w:val="bottom"/>
            <w:hideMark/>
          </w:tcPr>
          <w:p w:rsidR="004E4FB6" w:rsidRPr="009D1B19" w:rsidRDefault="004E4FB6" w:rsidP="00A8055D">
            <w:pPr>
              <w:suppressAutoHyphens w:val="0"/>
              <w:spacing w:after="0" w:line="240" w:lineRule="auto"/>
              <w:textAlignment w:val="auto"/>
              <w:rPr>
                <w:rFonts w:ascii="Arial" w:eastAsia="Times New Roman" w:hAnsi="Arial" w:cs="Arial"/>
                <w:kern w:val="0"/>
                <w:sz w:val="24"/>
                <w:szCs w:val="24"/>
                <w:lang w:eastAsia="es-UY"/>
              </w:rPr>
            </w:pPr>
            <w:r w:rsidRPr="009D1B19">
              <w:rPr>
                <w:rFonts w:ascii="Arial" w:eastAsia="Times New Roman" w:hAnsi="Arial" w:cs="Arial"/>
                <w:kern w:val="0"/>
                <w:sz w:val="24"/>
                <w:szCs w:val="24"/>
                <w:lang w:eastAsia="es-UY"/>
              </w:rPr>
              <w:t xml:space="preserve">        6.024.799   </w:t>
            </w:r>
          </w:p>
        </w:tc>
      </w:tr>
    </w:tbl>
    <w:p w:rsidR="004E4FB6" w:rsidRPr="009D1B19" w:rsidRDefault="004E4FB6" w:rsidP="00A8055D">
      <w:pPr>
        <w:suppressAutoHyphens w:val="0"/>
        <w:spacing w:after="0" w:line="360" w:lineRule="auto"/>
        <w:jc w:val="both"/>
        <w:textAlignment w:val="auto"/>
        <w:rPr>
          <w:rFonts w:ascii="Arial" w:eastAsia="Times New Roman" w:hAnsi="Arial" w:cs="Arial"/>
          <w:b/>
          <w:kern w:val="18"/>
          <w:sz w:val="24"/>
          <w:szCs w:val="20"/>
          <w:lang w:val="es-ES" w:eastAsia="es-ES"/>
        </w:rPr>
      </w:pPr>
    </w:p>
    <w:p w:rsidR="004E4FB6" w:rsidRPr="009D1B19" w:rsidRDefault="004E4FB6" w:rsidP="00A8055D">
      <w:pPr>
        <w:suppressAutoHyphens w:val="0"/>
        <w:spacing w:after="0" w:line="360" w:lineRule="auto"/>
        <w:jc w:val="both"/>
        <w:textAlignment w:val="auto"/>
        <w:rPr>
          <w:rFonts w:ascii="Arial" w:eastAsia="Times New Roman" w:hAnsi="Arial" w:cs="Arial"/>
          <w:b/>
          <w:kern w:val="18"/>
          <w:sz w:val="24"/>
          <w:szCs w:val="20"/>
          <w:lang w:val="es-ES" w:eastAsia="es-ES"/>
        </w:rPr>
      </w:pPr>
    </w:p>
    <w:p w:rsidR="004E4FB6" w:rsidRPr="009D1B19" w:rsidRDefault="004E4FB6" w:rsidP="00A8055D">
      <w:pPr>
        <w:suppressAutoHyphens w:val="0"/>
        <w:spacing w:after="0" w:line="360" w:lineRule="auto"/>
        <w:jc w:val="both"/>
        <w:textAlignment w:val="auto"/>
        <w:rPr>
          <w:rFonts w:ascii="Arial" w:eastAsia="Times New Roman" w:hAnsi="Arial" w:cs="Arial"/>
          <w:b/>
          <w:kern w:val="18"/>
          <w:sz w:val="24"/>
          <w:szCs w:val="20"/>
          <w:lang w:val="es-ES" w:eastAsia="es-ES"/>
        </w:rPr>
      </w:pPr>
      <w:r w:rsidRPr="009D1B19">
        <w:rPr>
          <w:rFonts w:ascii="Arial" w:eastAsia="Times New Roman" w:hAnsi="Arial" w:cs="Arial"/>
          <w:b/>
          <w:kern w:val="18"/>
          <w:sz w:val="24"/>
          <w:szCs w:val="20"/>
          <w:lang w:val="es-ES" w:eastAsia="es-ES"/>
        </w:rPr>
        <w:t>2. Debilidades de control interno referidas a las registraciones contables</w:t>
      </w:r>
    </w:p>
    <w:p w:rsidR="004E4FB6" w:rsidRPr="009D1B19" w:rsidRDefault="004E4FB6" w:rsidP="00A8055D">
      <w:pPr>
        <w:suppressAutoHyphens w:val="0"/>
        <w:spacing w:after="0" w:line="360" w:lineRule="auto"/>
        <w:jc w:val="both"/>
        <w:textAlignment w:val="auto"/>
        <w:rPr>
          <w:rFonts w:ascii="Arial" w:eastAsia="Times New Roman" w:hAnsi="Arial" w:cs="Arial"/>
          <w:b/>
          <w:kern w:val="18"/>
          <w:sz w:val="24"/>
          <w:szCs w:val="20"/>
          <w:lang w:val="es-ES" w:eastAsia="es-ES"/>
        </w:rPr>
      </w:pPr>
    </w:p>
    <w:p w:rsidR="004E4FB6" w:rsidRPr="009D1B19" w:rsidRDefault="004E4FB6" w:rsidP="004E4FB6">
      <w:pPr>
        <w:numPr>
          <w:ilvl w:val="1"/>
          <w:numId w:val="3"/>
        </w:numPr>
        <w:suppressAutoHyphens w:val="0"/>
        <w:spacing w:after="0" w:line="360" w:lineRule="auto"/>
        <w:ind w:left="0" w:firstLine="0"/>
        <w:jc w:val="both"/>
        <w:textAlignment w:val="auto"/>
        <w:rPr>
          <w:rFonts w:ascii="Arial" w:eastAsia="Times New Roman" w:hAnsi="Arial" w:cs="Arial"/>
          <w:kern w:val="18"/>
          <w:sz w:val="24"/>
          <w:szCs w:val="20"/>
          <w:lang w:val="es-ES" w:eastAsia="es-ES"/>
        </w:rPr>
      </w:pPr>
      <w:r w:rsidRPr="009D1B19">
        <w:rPr>
          <w:rFonts w:ascii="Arial" w:eastAsia="Times New Roman" w:hAnsi="Arial" w:cs="Arial"/>
          <w:kern w:val="18"/>
          <w:sz w:val="24"/>
          <w:szCs w:val="20"/>
          <w:lang w:val="es-ES" w:eastAsia="es-ES"/>
        </w:rPr>
        <w:t>En lo que respecta a la registración, en algunas oportunidades se efectúan asientos contra cuentas “puentes” en vez de moverse exclusivamente las cuentas involucradas, lo que dificulta los controles y además aumenta el riesgo de errores de registración y exposición.</w:t>
      </w:r>
    </w:p>
    <w:p w:rsidR="004E4FB6" w:rsidRPr="009D1B19" w:rsidRDefault="004E4FB6" w:rsidP="00A8055D">
      <w:pPr>
        <w:suppressAutoHyphens w:val="0"/>
        <w:spacing w:after="0" w:line="360" w:lineRule="auto"/>
        <w:ind w:left="426" w:hanging="426"/>
        <w:jc w:val="both"/>
        <w:textAlignment w:val="auto"/>
        <w:rPr>
          <w:rFonts w:ascii="Arial" w:eastAsia="Times New Roman" w:hAnsi="Arial" w:cs="Arial"/>
          <w:kern w:val="18"/>
          <w:sz w:val="24"/>
          <w:szCs w:val="20"/>
          <w:lang w:val="es-ES" w:eastAsia="es-ES"/>
        </w:rPr>
      </w:pPr>
    </w:p>
    <w:p w:rsidR="004E4FB6" w:rsidRPr="009D1B19" w:rsidRDefault="004E4FB6" w:rsidP="004E4FB6">
      <w:pPr>
        <w:numPr>
          <w:ilvl w:val="1"/>
          <w:numId w:val="3"/>
        </w:numPr>
        <w:suppressAutoHyphens w:val="0"/>
        <w:spacing w:after="0" w:line="360" w:lineRule="auto"/>
        <w:ind w:left="0" w:firstLine="0"/>
        <w:jc w:val="both"/>
        <w:textAlignment w:val="auto"/>
        <w:rPr>
          <w:rFonts w:ascii="Arial" w:eastAsia="Times New Roman" w:hAnsi="Arial" w:cs="Arial"/>
          <w:kern w:val="18"/>
          <w:sz w:val="24"/>
          <w:szCs w:val="20"/>
          <w:lang w:val="es-ES" w:eastAsia="es-ES"/>
        </w:rPr>
      </w:pPr>
      <w:r w:rsidRPr="009D1B19">
        <w:rPr>
          <w:rFonts w:ascii="Arial" w:eastAsia="Times New Roman" w:hAnsi="Arial" w:cs="Arial"/>
          <w:kern w:val="18"/>
          <w:sz w:val="24"/>
          <w:szCs w:val="20"/>
          <w:lang w:val="es-ES" w:eastAsia="es-ES"/>
        </w:rPr>
        <w:t>No se controla que al realizarse la conc</w:t>
      </w:r>
      <w:r>
        <w:rPr>
          <w:rFonts w:ascii="Arial" w:eastAsia="Times New Roman" w:hAnsi="Arial" w:cs="Arial"/>
          <w:kern w:val="18"/>
          <w:sz w:val="24"/>
          <w:szCs w:val="20"/>
          <w:lang w:val="es-ES" w:eastAsia="es-ES"/>
        </w:rPr>
        <w:t>iliación bancaria a cierre del E</w:t>
      </w:r>
      <w:r w:rsidRPr="009D1B19">
        <w:rPr>
          <w:rFonts w:ascii="Arial" w:eastAsia="Times New Roman" w:hAnsi="Arial" w:cs="Arial"/>
          <w:kern w:val="18"/>
          <w:sz w:val="24"/>
          <w:szCs w:val="20"/>
          <w:lang w:val="es-ES" w:eastAsia="es-ES"/>
        </w:rPr>
        <w:t>jercicio, se efectúen los ajustes contables que correspondan, a efectos de que el saldo del Banco a incluir en el Activo sea el correcto, y de que se mantengan cómo partidas conciliatorias exclusivamente las que refieren a un desfasaje real en el tiempo y/o a partidas pendientes de registrar por el Banco, y no las que responden a partidas pendientes de registración por parte de la Junta Departamental.</w:t>
      </w:r>
    </w:p>
    <w:p w:rsidR="004E4FB6" w:rsidRPr="009D1B19" w:rsidRDefault="004E4FB6" w:rsidP="00A8055D">
      <w:pPr>
        <w:suppressAutoHyphens w:val="0"/>
        <w:spacing w:after="0" w:line="360" w:lineRule="auto"/>
        <w:jc w:val="both"/>
        <w:textAlignment w:val="auto"/>
        <w:rPr>
          <w:rFonts w:ascii="Arial" w:hAnsi="Arial" w:cs="Arial"/>
          <w:lang w:val="es-ES"/>
        </w:rPr>
      </w:pPr>
    </w:p>
    <w:p w:rsidR="004E4FB6" w:rsidRDefault="004E4FB6" w:rsidP="004E4FB6">
      <w:pPr>
        <w:pStyle w:val="Ttulo2"/>
        <w:numPr>
          <w:ilvl w:val="1"/>
          <w:numId w:val="2"/>
        </w:numPr>
        <w:spacing w:line="360" w:lineRule="auto"/>
        <w:rPr>
          <w:rFonts w:ascii="Arial" w:hAnsi="Arial" w:cs="Arial"/>
          <w:sz w:val="24"/>
          <w:szCs w:val="24"/>
        </w:rPr>
      </w:pPr>
      <w:r w:rsidRPr="009D1B19">
        <w:rPr>
          <w:rFonts w:ascii="Arial" w:hAnsi="Arial" w:cs="Arial"/>
          <w:sz w:val="24"/>
          <w:szCs w:val="24"/>
        </w:rPr>
        <w:t>3. Recomendaciones</w:t>
      </w:r>
      <w:bookmarkStart w:id="6" w:name="_Toc422915253"/>
    </w:p>
    <w:p w:rsidR="004E4FB6" w:rsidRPr="003D7E10" w:rsidRDefault="004E4FB6" w:rsidP="00A8055D">
      <w:pPr>
        <w:pStyle w:val="Textoindependiente"/>
        <w:rPr>
          <w:lang w:val="es-UY" w:eastAsia="es-UY"/>
        </w:rPr>
      </w:pPr>
    </w:p>
    <w:p w:rsidR="004E4FB6" w:rsidRPr="009D1B19" w:rsidRDefault="004E4FB6" w:rsidP="004E4FB6">
      <w:pPr>
        <w:pStyle w:val="Ttulo2"/>
        <w:numPr>
          <w:ilvl w:val="1"/>
          <w:numId w:val="2"/>
        </w:numPr>
        <w:spacing w:line="360" w:lineRule="auto"/>
        <w:rPr>
          <w:rFonts w:ascii="Arial" w:hAnsi="Arial" w:cs="Arial"/>
          <w:sz w:val="24"/>
          <w:szCs w:val="24"/>
        </w:rPr>
      </w:pPr>
      <w:r w:rsidRPr="009D1B19">
        <w:rPr>
          <w:rFonts w:ascii="Arial" w:hAnsi="Arial" w:cs="Arial"/>
          <w:sz w:val="24"/>
          <w:szCs w:val="24"/>
        </w:rPr>
        <w:t>3.1  Recomendación del ejercicio anterior cumplida</w:t>
      </w:r>
      <w:bookmarkEnd w:id="6"/>
    </w:p>
    <w:p w:rsidR="004E4FB6" w:rsidRPr="009D1B19" w:rsidRDefault="004E4FB6" w:rsidP="00A8055D">
      <w:pPr>
        <w:pStyle w:val="Textoindependiente"/>
        <w:spacing w:line="360" w:lineRule="auto"/>
        <w:jc w:val="both"/>
        <w:rPr>
          <w:rFonts w:ascii="Arial" w:hAnsi="Arial" w:cs="Arial"/>
          <w:szCs w:val="24"/>
          <w:lang w:val="es-UY" w:eastAsia="es-UY"/>
        </w:rPr>
      </w:pPr>
      <w:r w:rsidRPr="009D1B19">
        <w:rPr>
          <w:rFonts w:ascii="Arial" w:hAnsi="Arial" w:cs="Arial"/>
          <w:szCs w:val="24"/>
          <w:lang w:val="es-UY" w:eastAsia="es-UY"/>
        </w:rPr>
        <w:t xml:space="preserve">Se efectuaron los ajustes señalados al dictaminar respecto de </w:t>
      </w:r>
      <w:r>
        <w:rPr>
          <w:rFonts w:ascii="Arial" w:hAnsi="Arial" w:cs="Arial"/>
          <w:szCs w:val="24"/>
          <w:lang w:val="es-UY" w:eastAsia="es-UY"/>
        </w:rPr>
        <w:t>los Estados Financieros por el E</w:t>
      </w:r>
      <w:r w:rsidRPr="009D1B19">
        <w:rPr>
          <w:rFonts w:ascii="Arial" w:hAnsi="Arial" w:cs="Arial"/>
          <w:szCs w:val="24"/>
          <w:lang w:val="es-UY" w:eastAsia="es-UY"/>
        </w:rPr>
        <w:t>jercicio cerrado al 31/12/</w:t>
      </w:r>
      <w:r>
        <w:rPr>
          <w:rFonts w:ascii="Arial" w:hAnsi="Arial" w:cs="Arial"/>
          <w:szCs w:val="24"/>
          <w:lang w:val="es-UY" w:eastAsia="es-UY"/>
        </w:rPr>
        <w:t>2014, fijando el resultado del E</w:t>
      </w:r>
      <w:r w:rsidRPr="009D1B19">
        <w:rPr>
          <w:rFonts w:ascii="Arial" w:hAnsi="Arial" w:cs="Arial"/>
          <w:szCs w:val="24"/>
          <w:lang w:val="es-UY" w:eastAsia="es-UY"/>
        </w:rPr>
        <w:t>jercicio y el resultado acumulado en las cifras establecidas por este Tribunal.</w:t>
      </w:r>
    </w:p>
    <w:p w:rsidR="004E4FB6" w:rsidRDefault="004E4FB6" w:rsidP="00A8055D">
      <w:pPr>
        <w:suppressAutoHyphens w:val="0"/>
        <w:spacing w:after="0" w:line="360" w:lineRule="auto"/>
        <w:jc w:val="both"/>
        <w:textAlignment w:val="auto"/>
        <w:outlineLvl w:val="1"/>
        <w:rPr>
          <w:rFonts w:ascii="Arial" w:eastAsia="Times New Roman" w:hAnsi="Arial" w:cs="Arial"/>
          <w:sz w:val="24"/>
          <w:szCs w:val="24"/>
          <w:lang w:eastAsia="es-UY"/>
        </w:rPr>
      </w:pPr>
      <w:bookmarkStart w:id="7" w:name="_Toc267318806"/>
      <w:bookmarkStart w:id="8" w:name="_Toc422915261"/>
    </w:p>
    <w:p w:rsidR="004E4FB6" w:rsidRPr="009D1B19" w:rsidRDefault="004E4FB6" w:rsidP="00A8055D">
      <w:pPr>
        <w:suppressAutoHyphens w:val="0"/>
        <w:spacing w:after="0" w:line="360" w:lineRule="auto"/>
        <w:jc w:val="both"/>
        <w:textAlignment w:val="auto"/>
        <w:outlineLvl w:val="1"/>
        <w:rPr>
          <w:rFonts w:ascii="Arial" w:eastAsia="Times New Roman" w:hAnsi="Arial" w:cs="Arial"/>
          <w:b/>
          <w:kern w:val="18"/>
          <w:sz w:val="24"/>
          <w:szCs w:val="20"/>
          <w:lang w:val="es-ES" w:eastAsia="es-ES"/>
        </w:rPr>
      </w:pPr>
      <w:r w:rsidRPr="009D1B19">
        <w:rPr>
          <w:rFonts w:ascii="Arial" w:eastAsia="Times New Roman" w:hAnsi="Arial" w:cs="Arial"/>
          <w:b/>
          <w:kern w:val="18"/>
          <w:sz w:val="24"/>
          <w:szCs w:val="20"/>
          <w:lang w:val="es-ES" w:eastAsia="es-ES"/>
        </w:rPr>
        <w:t>3.2 Recomendaciones del ejercicio</w:t>
      </w:r>
      <w:bookmarkEnd w:id="7"/>
      <w:bookmarkEnd w:id="8"/>
    </w:p>
    <w:p w:rsidR="004E4FB6" w:rsidRPr="009D1B19" w:rsidRDefault="004E4FB6" w:rsidP="00A8055D">
      <w:pPr>
        <w:spacing w:after="0" w:line="360" w:lineRule="auto"/>
        <w:jc w:val="both"/>
        <w:rPr>
          <w:rFonts w:ascii="Arial" w:hAnsi="Arial" w:cs="Arial"/>
          <w:b/>
          <w:sz w:val="24"/>
          <w:szCs w:val="24"/>
          <w:lang w:val="es-ES"/>
        </w:rPr>
      </w:pPr>
    </w:p>
    <w:p w:rsidR="004E4FB6" w:rsidRPr="009D1B19" w:rsidRDefault="004E4FB6" w:rsidP="00A8055D">
      <w:pPr>
        <w:spacing w:after="0" w:line="360" w:lineRule="auto"/>
        <w:jc w:val="both"/>
        <w:rPr>
          <w:rFonts w:ascii="Arial" w:hAnsi="Arial" w:cs="Arial"/>
          <w:b/>
          <w:sz w:val="24"/>
          <w:szCs w:val="24"/>
        </w:rPr>
      </w:pPr>
      <w:r w:rsidRPr="009D1B19">
        <w:rPr>
          <w:rFonts w:ascii="Arial" w:hAnsi="Arial" w:cs="Arial"/>
          <w:b/>
          <w:sz w:val="24"/>
          <w:szCs w:val="24"/>
        </w:rPr>
        <w:t>3.2.1 Criterio de lo devengado</w:t>
      </w:r>
    </w:p>
    <w:p w:rsidR="004E4FB6" w:rsidRDefault="004E4FB6" w:rsidP="00A8055D">
      <w:pPr>
        <w:spacing w:after="0" w:line="360" w:lineRule="auto"/>
        <w:jc w:val="both"/>
        <w:rPr>
          <w:rFonts w:ascii="Arial" w:hAnsi="Arial" w:cs="Arial"/>
          <w:sz w:val="24"/>
          <w:szCs w:val="24"/>
        </w:rPr>
      </w:pPr>
      <w:r w:rsidRPr="009D1B19">
        <w:rPr>
          <w:rFonts w:ascii="Arial" w:hAnsi="Arial" w:cs="Arial"/>
          <w:sz w:val="24"/>
          <w:szCs w:val="24"/>
        </w:rPr>
        <w:t>De acuerdo a lo establecido en el Artículo 5 de la Ordenanza Nº 81 del Tribunal de Cuentas, los Estados Contables (o financieros) deben prepararse aplicando el criterio de lo devengado. La citada norma establece que: “Según este criterio, las transacciones y demás sucesos se reconocerán cuando ocurran de acuerdo a normas legales o prácticas comerciales, con independencia de cuando se reciba o se pague dinero u otro equivalente al efectivo. El Tribunal de Cuentas podrá autorizar, en forma excepcional, la presentación de Estados Contables (o financieros) preparados aplicando el criterio de lo percibido o de caja cuando exista una solicitud formal de la unidad contable basada en razones fundadas”.</w:t>
      </w:r>
    </w:p>
    <w:p w:rsidR="004E4FB6" w:rsidRDefault="004E4FB6" w:rsidP="00A8055D">
      <w:pPr>
        <w:spacing w:after="0" w:line="360" w:lineRule="auto"/>
        <w:jc w:val="both"/>
        <w:rPr>
          <w:rFonts w:ascii="Arial" w:hAnsi="Arial" w:cs="Arial"/>
          <w:sz w:val="24"/>
          <w:szCs w:val="24"/>
        </w:rPr>
      </w:pPr>
    </w:p>
    <w:p w:rsidR="004E4FB6" w:rsidRDefault="004E4FB6" w:rsidP="00A8055D">
      <w:pPr>
        <w:spacing w:after="0" w:line="360" w:lineRule="auto"/>
        <w:jc w:val="both"/>
        <w:rPr>
          <w:rFonts w:ascii="Arial" w:hAnsi="Arial" w:cs="Arial"/>
          <w:sz w:val="24"/>
          <w:szCs w:val="24"/>
        </w:rPr>
      </w:pPr>
      <w:r w:rsidRPr="009D1B19">
        <w:rPr>
          <w:rFonts w:ascii="Arial" w:eastAsia="Arial Unicode MS" w:hAnsi="Arial" w:cs="Arial"/>
          <w:b/>
          <w:bCs/>
          <w:noProof/>
          <w:kern w:val="18"/>
          <w:sz w:val="24"/>
          <w:szCs w:val="20"/>
          <w:lang w:val="es-MX" w:eastAsia="es-ES"/>
        </w:rPr>
        <w:t>3.2.2 Registración contable</w:t>
      </w:r>
    </w:p>
    <w:p w:rsidR="004E4FB6" w:rsidRDefault="004E4FB6" w:rsidP="00A8055D">
      <w:pPr>
        <w:spacing w:after="0" w:line="360" w:lineRule="auto"/>
        <w:jc w:val="both"/>
        <w:rPr>
          <w:rFonts w:ascii="Arial" w:eastAsia="Arial Unicode MS" w:hAnsi="Arial" w:cs="Arial"/>
          <w:bCs/>
          <w:noProof/>
          <w:kern w:val="18"/>
          <w:sz w:val="24"/>
          <w:szCs w:val="20"/>
          <w:lang w:val="es-MX" w:eastAsia="es-ES"/>
        </w:rPr>
      </w:pPr>
      <w:r w:rsidRPr="009D1B19">
        <w:rPr>
          <w:rFonts w:ascii="Arial" w:eastAsia="Arial Unicode MS" w:hAnsi="Arial" w:cs="Arial"/>
          <w:bCs/>
          <w:noProof/>
          <w:kern w:val="18"/>
          <w:sz w:val="24"/>
          <w:szCs w:val="20"/>
          <w:lang w:val="es-MX" w:eastAsia="es-ES"/>
        </w:rPr>
        <w:t>Tal como se señaló al dictaminar respecto de la Rendición de Cuentas y Balance</w:t>
      </w:r>
      <w:r>
        <w:rPr>
          <w:rFonts w:ascii="Arial" w:eastAsia="Arial Unicode MS" w:hAnsi="Arial" w:cs="Arial"/>
          <w:bCs/>
          <w:noProof/>
          <w:kern w:val="18"/>
          <w:sz w:val="24"/>
          <w:szCs w:val="20"/>
          <w:lang w:val="es-MX" w:eastAsia="es-ES"/>
        </w:rPr>
        <w:t xml:space="preserve"> de ejecución presupuestal del E</w:t>
      </w:r>
      <w:r w:rsidRPr="009D1B19">
        <w:rPr>
          <w:rFonts w:ascii="Arial" w:eastAsia="Arial Unicode MS" w:hAnsi="Arial" w:cs="Arial"/>
          <w:bCs/>
          <w:noProof/>
          <w:kern w:val="18"/>
          <w:sz w:val="24"/>
          <w:szCs w:val="20"/>
          <w:lang w:val="es-MX" w:eastAsia="es-ES"/>
        </w:rPr>
        <w:t>jercicicio 2015, se deben tomar las medidas necesarias a efectos de que cada asiento contable refleje fielmente la operación ocurrida, evitando recurrir a cuentas “puentes” cuando no es estrictamente imprescindible, de forma de que además de permitir la correcta exposición, se facilite el entendimiento y control de los asientos contables e</w:t>
      </w:r>
      <w:r w:rsidR="00A8055D">
        <w:rPr>
          <w:rFonts w:ascii="Arial" w:eastAsia="Arial Unicode MS" w:hAnsi="Arial" w:cs="Arial"/>
          <w:bCs/>
          <w:noProof/>
          <w:kern w:val="18"/>
          <w:sz w:val="24"/>
          <w:szCs w:val="20"/>
          <w:lang w:val="es-MX" w:eastAsia="es-ES"/>
        </w:rPr>
        <w:t>fectuados.</w:t>
      </w:r>
    </w:p>
    <w:p w:rsidR="004E4FB6" w:rsidRDefault="004E4FB6" w:rsidP="00A8055D">
      <w:pPr>
        <w:spacing w:after="0" w:line="360" w:lineRule="auto"/>
        <w:jc w:val="both"/>
        <w:rPr>
          <w:rFonts w:ascii="Arial" w:hAnsi="Arial" w:cs="Arial"/>
          <w:sz w:val="24"/>
          <w:szCs w:val="24"/>
          <w:lang w:val="es-MX"/>
        </w:rPr>
      </w:pPr>
    </w:p>
    <w:p w:rsidR="004E4FB6" w:rsidRDefault="004E4FB6" w:rsidP="00A8055D">
      <w:pPr>
        <w:spacing w:after="0" w:line="360" w:lineRule="auto"/>
        <w:jc w:val="both"/>
        <w:rPr>
          <w:rFonts w:ascii="Arial" w:hAnsi="Arial" w:cs="Arial"/>
          <w:sz w:val="24"/>
          <w:szCs w:val="24"/>
        </w:rPr>
      </w:pPr>
      <w:r w:rsidRPr="009D1B19">
        <w:rPr>
          <w:rFonts w:ascii="Arial" w:eastAsia="Arial Unicode MS" w:hAnsi="Arial" w:cs="Arial"/>
          <w:b/>
          <w:bCs/>
          <w:noProof/>
          <w:kern w:val="18"/>
          <w:sz w:val="24"/>
          <w:szCs w:val="20"/>
          <w:lang w:val="es-MX" w:eastAsia="es-ES"/>
        </w:rPr>
        <w:t>3.2.3 Partidas conciliatorias</w:t>
      </w:r>
    </w:p>
    <w:p w:rsidR="004E4FB6" w:rsidRPr="003D7E10" w:rsidRDefault="004E4FB6" w:rsidP="00A8055D">
      <w:pPr>
        <w:spacing w:after="0" w:line="360" w:lineRule="auto"/>
        <w:jc w:val="both"/>
        <w:rPr>
          <w:rFonts w:ascii="Arial" w:hAnsi="Arial" w:cs="Arial"/>
          <w:sz w:val="24"/>
          <w:szCs w:val="24"/>
        </w:rPr>
      </w:pPr>
      <w:r w:rsidRPr="009D1B19">
        <w:rPr>
          <w:rFonts w:ascii="Arial" w:eastAsia="Arial Unicode MS" w:hAnsi="Arial" w:cs="Arial"/>
          <w:bCs/>
          <w:noProof/>
          <w:kern w:val="18"/>
          <w:sz w:val="24"/>
          <w:szCs w:val="20"/>
          <w:lang w:val="es-MX" w:eastAsia="es-ES"/>
        </w:rPr>
        <w:t>A efectos de que el saldo de Banco presentado sea el correcto, luego de efectuarse la conciliación bancaria a cierre del ejercicio, se deben contabilizar los ajustes que correspondan a comprobantes aún no contabilizados por el organismo y/o a errores contables.</w:t>
      </w:r>
    </w:p>
    <w:p w:rsidR="004E4FB6" w:rsidRPr="009D1B19" w:rsidRDefault="004E4FB6" w:rsidP="00A8055D">
      <w:pPr>
        <w:keepNext/>
        <w:suppressAutoHyphens w:val="0"/>
        <w:spacing w:after="0" w:line="360" w:lineRule="auto"/>
        <w:jc w:val="both"/>
        <w:textAlignment w:val="auto"/>
        <w:outlineLvl w:val="2"/>
        <w:rPr>
          <w:rFonts w:ascii="Arial" w:eastAsia="Arial Unicode MS" w:hAnsi="Arial" w:cs="Arial"/>
          <w:bCs/>
          <w:noProof/>
          <w:kern w:val="18"/>
          <w:sz w:val="24"/>
          <w:szCs w:val="20"/>
          <w:lang w:val="es-MX" w:eastAsia="es-ES"/>
        </w:rPr>
      </w:pPr>
    </w:p>
    <w:p w:rsidR="004E4FB6" w:rsidRPr="009D1B19" w:rsidRDefault="004E4FB6" w:rsidP="00A8055D">
      <w:pPr>
        <w:keepNext/>
        <w:spacing w:after="0" w:line="360" w:lineRule="auto"/>
        <w:jc w:val="both"/>
        <w:outlineLvl w:val="2"/>
        <w:rPr>
          <w:rFonts w:ascii="Arial" w:hAnsi="Arial" w:cs="Arial"/>
          <w:b/>
          <w:bCs/>
          <w:kern w:val="0"/>
          <w:sz w:val="24"/>
          <w:szCs w:val="24"/>
          <w:lang w:val="es-ES"/>
        </w:rPr>
      </w:pPr>
      <w:bookmarkStart w:id="9" w:name="_Toc208913274"/>
      <w:bookmarkStart w:id="10" w:name="_Toc400023326"/>
      <w:r w:rsidRPr="009D1B19">
        <w:rPr>
          <w:rFonts w:ascii="Arial" w:hAnsi="Arial" w:cs="Arial"/>
          <w:b/>
          <w:bCs/>
          <w:kern w:val="0"/>
          <w:sz w:val="24"/>
          <w:szCs w:val="24"/>
          <w:lang w:val="es-ES"/>
        </w:rPr>
        <w:t>3.2.4 Ajustes al Resultado del Ejercicio y al Resultado Acumulado</w:t>
      </w:r>
      <w:bookmarkEnd w:id="9"/>
      <w:bookmarkEnd w:id="10"/>
    </w:p>
    <w:p w:rsidR="004E4FB6" w:rsidRPr="009D1B19" w:rsidRDefault="004E4FB6" w:rsidP="00A8055D">
      <w:pPr>
        <w:pStyle w:val="Textoindependiente"/>
        <w:spacing w:line="360" w:lineRule="auto"/>
        <w:jc w:val="both"/>
        <w:rPr>
          <w:rFonts w:ascii="Arial" w:hAnsi="Arial" w:cs="Arial"/>
          <w:szCs w:val="24"/>
          <w:lang w:val="es-ES"/>
        </w:rPr>
      </w:pPr>
      <w:r w:rsidRPr="009D1B19">
        <w:rPr>
          <w:rFonts w:ascii="Arial" w:hAnsi="Arial" w:cs="Arial"/>
          <w:szCs w:val="24"/>
        </w:rPr>
        <w:t>La Junta Departamental deberá efectuar los ajustes detallados en los párra</w:t>
      </w:r>
      <w:r w:rsidRPr="009D1B19">
        <w:rPr>
          <w:rFonts w:ascii="Arial" w:hAnsi="Arial" w:cs="Arial"/>
          <w:szCs w:val="24"/>
        </w:rPr>
        <w:softHyphen/>
        <w:t xml:space="preserve">fos 1.1) </w:t>
      </w:r>
      <w:r w:rsidRPr="009D1B19">
        <w:rPr>
          <w:rFonts w:ascii="Arial" w:hAnsi="Arial" w:cs="Arial"/>
          <w:szCs w:val="24"/>
          <w:lang w:val="es-ES"/>
        </w:rPr>
        <w:t>a</w:t>
      </w:r>
      <w:r w:rsidRPr="009D1B19">
        <w:rPr>
          <w:rFonts w:ascii="Arial" w:hAnsi="Arial" w:cs="Arial"/>
          <w:szCs w:val="24"/>
        </w:rPr>
        <w:t xml:space="preserve"> 1.</w:t>
      </w:r>
      <w:r w:rsidRPr="009D1B19">
        <w:rPr>
          <w:rFonts w:ascii="Arial" w:hAnsi="Arial" w:cs="Arial"/>
          <w:szCs w:val="24"/>
          <w:lang w:val="es-ES"/>
        </w:rPr>
        <w:t>9</w:t>
      </w:r>
      <w:r w:rsidRPr="009D1B19">
        <w:rPr>
          <w:rFonts w:ascii="Arial" w:hAnsi="Arial" w:cs="Arial"/>
          <w:szCs w:val="24"/>
        </w:rPr>
        <w:t xml:space="preserve">) para fijar el </w:t>
      </w:r>
      <w:r w:rsidRPr="009D1B19">
        <w:rPr>
          <w:rFonts w:ascii="Arial" w:hAnsi="Arial" w:cs="Arial"/>
          <w:szCs w:val="24"/>
          <w:lang w:val="es-ES"/>
        </w:rPr>
        <w:t>R</w:t>
      </w:r>
      <w:proofErr w:type="spellStart"/>
      <w:r w:rsidRPr="009D1B19">
        <w:rPr>
          <w:rFonts w:ascii="Arial" w:hAnsi="Arial" w:cs="Arial"/>
          <w:szCs w:val="24"/>
        </w:rPr>
        <w:t>esultado</w:t>
      </w:r>
      <w:proofErr w:type="spellEnd"/>
      <w:r w:rsidRPr="009D1B19">
        <w:rPr>
          <w:rFonts w:ascii="Arial" w:hAnsi="Arial" w:cs="Arial"/>
          <w:szCs w:val="24"/>
        </w:rPr>
        <w:t xml:space="preserve"> del </w:t>
      </w:r>
      <w:r w:rsidRPr="009D1B19">
        <w:rPr>
          <w:rFonts w:ascii="Arial" w:hAnsi="Arial" w:cs="Arial"/>
          <w:szCs w:val="24"/>
          <w:lang w:val="es-ES"/>
        </w:rPr>
        <w:t>E</w:t>
      </w:r>
      <w:proofErr w:type="spellStart"/>
      <w:r w:rsidRPr="009D1B19">
        <w:rPr>
          <w:rFonts w:ascii="Arial" w:hAnsi="Arial" w:cs="Arial"/>
          <w:szCs w:val="24"/>
        </w:rPr>
        <w:t>jercicio</w:t>
      </w:r>
      <w:proofErr w:type="spellEnd"/>
      <w:r w:rsidRPr="009D1B19">
        <w:rPr>
          <w:rFonts w:ascii="Arial" w:hAnsi="Arial" w:cs="Arial"/>
          <w:szCs w:val="24"/>
        </w:rPr>
        <w:t xml:space="preserve"> y el </w:t>
      </w:r>
      <w:r w:rsidRPr="009D1B19">
        <w:rPr>
          <w:rFonts w:ascii="Arial" w:hAnsi="Arial" w:cs="Arial"/>
          <w:szCs w:val="24"/>
          <w:lang w:val="es-ES"/>
        </w:rPr>
        <w:t>R</w:t>
      </w:r>
      <w:proofErr w:type="spellStart"/>
      <w:r w:rsidRPr="009D1B19">
        <w:rPr>
          <w:rFonts w:ascii="Arial" w:hAnsi="Arial" w:cs="Arial"/>
          <w:szCs w:val="24"/>
        </w:rPr>
        <w:t>esultado</w:t>
      </w:r>
      <w:proofErr w:type="spellEnd"/>
      <w:r w:rsidRPr="009D1B19">
        <w:rPr>
          <w:rFonts w:ascii="Arial" w:hAnsi="Arial" w:cs="Arial"/>
          <w:szCs w:val="24"/>
        </w:rPr>
        <w:t xml:space="preserve"> </w:t>
      </w:r>
      <w:r w:rsidRPr="009D1B19">
        <w:rPr>
          <w:rFonts w:ascii="Arial" w:hAnsi="Arial" w:cs="Arial"/>
          <w:szCs w:val="24"/>
          <w:lang w:val="es-ES"/>
        </w:rPr>
        <w:t>A</w:t>
      </w:r>
      <w:r w:rsidRPr="009D1B19">
        <w:rPr>
          <w:rFonts w:ascii="Arial" w:hAnsi="Arial" w:cs="Arial"/>
          <w:szCs w:val="24"/>
        </w:rPr>
        <w:t>cumulado al 31 de diciembre de 201</w:t>
      </w:r>
      <w:r w:rsidRPr="009D1B19">
        <w:rPr>
          <w:rFonts w:ascii="Arial" w:hAnsi="Arial" w:cs="Arial"/>
          <w:szCs w:val="24"/>
          <w:lang w:val="es-ES"/>
        </w:rPr>
        <w:t>5</w:t>
      </w:r>
      <w:r w:rsidRPr="009D1B19">
        <w:rPr>
          <w:rFonts w:ascii="Arial" w:hAnsi="Arial" w:cs="Arial"/>
          <w:szCs w:val="24"/>
        </w:rPr>
        <w:t xml:space="preserve"> en las cifras establecidas por este Tribunal.</w:t>
      </w:r>
    </w:p>
    <w:p w:rsidR="004E4FB6" w:rsidRPr="009D1B19" w:rsidRDefault="004E4FB6" w:rsidP="00A8055D">
      <w:pPr>
        <w:spacing w:after="0" w:line="360" w:lineRule="auto"/>
        <w:ind w:firstLine="357"/>
        <w:jc w:val="right"/>
        <w:rPr>
          <w:rFonts w:ascii="Arial" w:hAnsi="Arial" w:cs="Arial"/>
          <w:sz w:val="24"/>
          <w:szCs w:val="24"/>
        </w:rPr>
      </w:pPr>
      <w:r w:rsidRPr="009D1B19">
        <w:rPr>
          <w:rFonts w:ascii="Arial" w:hAnsi="Arial" w:cs="Arial"/>
          <w:sz w:val="24"/>
          <w:szCs w:val="24"/>
        </w:rPr>
        <w:t>M</w:t>
      </w:r>
      <w:r w:rsidR="00A8055D">
        <w:rPr>
          <w:rFonts w:ascii="Arial" w:hAnsi="Arial" w:cs="Arial"/>
          <w:sz w:val="24"/>
          <w:szCs w:val="24"/>
        </w:rPr>
        <w:t>ontevideo, 23 de agosto de 2016</w:t>
      </w:r>
    </w:p>
    <w:p w:rsidR="004E4FB6" w:rsidRDefault="004E4FB6" w:rsidP="00A8055D">
      <w:pPr>
        <w:pStyle w:val="Textoindependiente"/>
        <w:spacing w:line="360" w:lineRule="auto"/>
        <w:jc w:val="both"/>
        <w:rPr>
          <w:rFonts w:ascii="Arial" w:hAnsi="Arial" w:cs="Arial"/>
          <w:szCs w:val="24"/>
          <w:lang w:val="es-ES"/>
        </w:rPr>
      </w:pPr>
    </w:p>
    <w:p w:rsidR="004E4FB6" w:rsidRPr="004E4FB6" w:rsidRDefault="004E4FB6" w:rsidP="004E4FB6">
      <w:pPr>
        <w:pStyle w:val="Textoindependiente"/>
        <w:spacing w:line="360" w:lineRule="auto"/>
        <w:jc w:val="both"/>
        <w:rPr>
          <w:rFonts w:ascii="Arial" w:eastAsia="Arial" w:hAnsi="Arial" w:cs="Arial"/>
          <w:szCs w:val="24"/>
          <w:lang w:val="es-ES"/>
        </w:rPr>
      </w:pPr>
      <w:proofErr w:type="spellStart"/>
      <w:proofErr w:type="gramStart"/>
      <w:r>
        <w:rPr>
          <w:rFonts w:ascii="Arial" w:eastAsia="Arial" w:hAnsi="Arial" w:cs="Arial"/>
          <w:szCs w:val="24"/>
          <w:lang w:val="es-ES"/>
        </w:rPr>
        <w:t>mp</w:t>
      </w:r>
      <w:proofErr w:type="spellEnd"/>
      <w:proofErr w:type="gramEnd"/>
    </w:p>
    <w:sectPr w:rsidR="004E4FB6" w:rsidRPr="004E4FB6" w:rsidSect="00E626D0">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font196">
    <w:altName w:val="Times New Roman"/>
    <w:charset w:val="00"/>
    <w:family w:val="auto"/>
    <w:pitch w:val="variable"/>
  </w:font>
  <w:font w:name="ZapfHumnst BT">
    <w:altName w:val="Lucida Sans Unicod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720073"/>
    <w:multiLevelType w:val="multilevel"/>
    <w:tmpl w:val="F35CD0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B8F719E"/>
    <w:multiLevelType w:val="multilevel"/>
    <w:tmpl w:val="084A477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21417A46"/>
    <w:multiLevelType w:val="multilevel"/>
    <w:tmpl w:val="3B2A0FD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F464076"/>
    <w:multiLevelType w:val="singleLevel"/>
    <w:tmpl w:val="62BAE0F0"/>
    <w:lvl w:ilvl="0">
      <w:start w:val="1"/>
      <w:numFmt w:val="decimal"/>
      <w:pStyle w:val="Ttulo3"/>
      <w:lvlText w:val="%1)"/>
      <w:lvlJc w:val="left"/>
      <w:pPr>
        <w:tabs>
          <w:tab w:val="num" w:pos="360"/>
        </w:tabs>
        <w:ind w:left="360" w:hanging="360"/>
      </w:pPr>
      <w:rPr>
        <w:rFonts w:hint="default"/>
        <w:b/>
      </w:rPr>
    </w:lvl>
  </w:abstractNum>
  <w:abstractNum w:abstractNumId="5">
    <w:nsid w:val="4CCA226A"/>
    <w:multiLevelType w:val="multilevel"/>
    <w:tmpl w:val="03E852B8"/>
    <w:lvl w:ilvl="0">
      <w:start w:val="2"/>
      <w:numFmt w:val="decimal"/>
      <w:lvlText w:val="%1."/>
      <w:lvlJc w:val="left"/>
      <w:pPr>
        <w:ind w:left="405" w:hanging="405"/>
      </w:pPr>
      <w:rPr>
        <w:rFonts w:hint="default"/>
      </w:rPr>
    </w:lvl>
    <w:lvl w:ilvl="1">
      <w:start w:val="1"/>
      <w:numFmt w:val="decimal"/>
      <w:lvlText w:val="%1.%2-"/>
      <w:lvlJc w:val="left"/>
      <w:pPr>
        <w:ind w:left="1380" w:hanging="72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6">
    <w:nsid w:val="52DD381B"/>
    <w:multiLevelType w:val="multilevel"/>
    <w:tmpl w:val="29D4385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3CA02CD"/>
    <w:multiLevelType w:val="multilevel"/>
    <w:tmpl w:val="562EBB3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A3B0113"/>
    <w:multiLevelType w:val="multilevel"/>
    <w:tmpl w:val="D32E3BE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5"/>
  </w:num>
  <w:num w:numId="4">
    <w:abstractNumId w:val="2"/>
  </w:num>
  <w:num w:numId="5">
    <w:abstractNumId w:val="6"/>
  </w:num>
  <w:num w:numId="6">
    <w:abstractNumId w:val="8"/>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A8"/>
    <w:rsid w:val="004001A8"/>
    <w:rsid w:val="004E4FB6"/>
    <w:rsid w:val="00506329"/>
    <w:rsid w:val="006F75A4"/>
    <w:rsid w:val="00776B35"/>
    <w:rsid w:val="007A39A4"/>
    <w:rsid w:val="009057EC"/>
    <w:rsid w:val="00A8055D"/>
    <w:rsid w:val="00A908A0"/>
    <w:rsid w:val="00BB54E4"/>
    <w:rsid w:val="00E626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A8"/>
    <w:pPr>
      <w:suppressAutoHyphens/>
      <w:textAlignment w:val="baseline"/>
    </w:pPr>
    <w:rPr>
      <w:rFonts w:ascii="Calibri" w:eastAsia="Lucida Sans Unicode" w:hAnsi="Calibri" w:cs="F"/>
      <w:kern w:val="1"/>
      <w:lang w:val="es-UY"/>
    </w:rPr>
  </w:style>
  <w:style w:type="paragraph" w:styleId="Ttulo1">
    <w:name w:val="heading 1"/>
    <w:basedOn w:val="Normal"/>
    <w:next w:val="Normal"/>
    <w:link w:val="Ttulo1Car"/>
    <w:qFormat/>
    <w:rsid w:val="004001A8"/>
    <w:pPr>
      <w:keepNext/>
      <w:spacing w:before="240" w:after="60"/>
      <w:outlineLvl w:val="0"/>
    </w:pPr>
    <w:rPr>
      <w:rFonts w:ascii="Arial" w:hAnsi="Arial" w:cs="Arial"/>
      <w:b/>
      <w:bCs/>
      <w:kern w:val="32"/>
      <w:sz w:val="32"/>
      <w:szCs w:val="32"/>
    </w:rPr>
  </w:style>
  <w:style w:type="paragraph" w:styleId="Ttulo2">
    <w:name w:val="heading 2"/>
    <w:basedOn w:val="Normal"/>
    <w:next w:val="Textoindependiente"/>
    <w:link w:val="Ttulo2Car"/>
    <w:qFormat/>
    <w:rsid w:val="004E4FB6"/>
    <w:pPr>
      <w:numPr>
        <w:ilvl w:val="1"/>
        <w:numId w:val="1"/>
      </w:numPr>
      <w:spacing w:after="0" w:line="100" w:lineRule="atLeast"/>
      <w:outlineLvl w:val="1"/>
    </w:pPr>
    <w:rPr>
      <w:rFonts w:ascii="Times New Roman" w:eastAsia="Times New Roman" w:hAnsi="Times New Roman" w:cs="Times New Roman"/>
      <w:b/>
      <w:bCs/>
      <w:sz w:val="36"/>
      <w:szCs w:val="36"/>
      <w:lang w:eastAsia="es-UY"/>
    </w:rPr>
  </w:style>
  <w:style w:type="paragraph" w:styleId="Ttulo3">
    <w:name w:val="heading 3"/>
    <w:basedOn w:val="Normal"/>
    <w:next w:val="Textoindependiente"/>
    <w:link w:val="Ttulo3Car"/>
    <w:qFormat/>
    <w:rsid w:val="004E4FB6"/>
    <w:pPr>
      <w:keepNext/>
      <w:keepLines/>
      <w:numPr>
        <w:ilvl w:val="2"/>
        <w:numId w:val="1"/>
      </w:numPr>
      <w:spacing w:before="200" w:after="0"/>
      <w:outlineLvl w:val="2"/>
    </w:pPr>
    <w:rPr>
      <w:rFonts w:ascii="Cambria" w:hAnsi="Cambria" w:cs="font196"/>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01A8"/>
    <w:rPr>
      <w:rFonts w:ascii="Arial" w:eastAsia="Lucida Sans Unicode" w:hAnsi="Arial" w:cs="Arial"/>
      <w:b/>
      <w:bCs/>
      <w:kern w:val="32"/>
      <w:sz w:val="32"/>
      <w:szCs w:val="32"/>
      <w:lang w:val="es-UY"/>
    </w:rPr>
  </w:style>
  <w:style w:type="paragraph" w:styleId="Textoindependiente">
    <w:name w:val="Body Text"/>
    <w:basedOn w:val="Normal"/>
    <w:link w:val="TextoindependienteCar"/>
    <w:rsid w:val="004001A8"/>
    <w:pPr>
      <w:tabs>
        <w:tab w:val="left" w:pos="360"/>
        <w:tab w:val="left" w:pos="567"/>
        <w:tab w:val="left" w:pos="1560"/>
        <w:tab w:val="right" w:pos="5387"/>
        <w:tab w:val="right" w:pos="7513"/>
      </w:tabs>
      <w:spacing w:after="0" w:line="100" w:lineRule="atLeast"/>
    </w:pPr>
    <w:rPr>
      <w:rFonts w:ascii="ZapfHumnst BT" w:eastAsia="Times New Roman" w:hAnsi="ZapfHumnst BT" w:cs="Times New Roman"/>
      <w:sz w:val="24"/>
      <w:szCs w:val="20"/>
      <w:lang w:val="x-none"/>
    </w:rPr>
  </w:style>
  <w:style w:type="character" w:customStyle="1" w:styleId="TextoindependienteCar">
    <w:name w:val="Texto independiente Car"/>
    <w:basedOn w:val="Fuentedeprrafopredeter"/>
    <w:link w:val="Textoindependiente"/>
    <w:rsid w:val="004001A8"/>
    <w:rPr>
      <w:rFonts w:ascii="ZapfHumnst BT" w:eastAsia="Times New Roman" w:hAnsi="ZapfHumnst BT" w:cs="Times New Roman"/>
      <w:kern w:val="1"/>
      <w:sz w:val="24"/>
      <w:szCs w:val="20"/>
      <w:lang w:val="x-none"/>
    </w:rPr>
  </w:style>
  <w:style w:type="character" w:customStyle="1" w:styleId="Ttulo2Car">
    <w:name w:val="Título 2 Car"/>
    <w:basedOn w:val="Fuentedeprrafopredeter"/>
    <w:link w:val="Ttulo2"/>
    <w:rsid w:val="004E4FB6"/>
    <w:rPr>
      <w:rFonts w:ascii="Times New Roman" w:eastAsia="Times New Roman" w:hAnsi="Times New Roman" w:cs="Times New Roman"/>
      <w:b/>
      <w:bCs/>
      <w:kern w:val="1"/>
      <w:sz w:val="36"/>
      <w:szCs w:val="36"/>
      <w:lang w:val="es-UY" w:eastAsia="es-UY"/>
    </w:rPr>
  </w:style>
  <w:style w:type="character" w:customStyle="1" w:styleId="Ttulo3Car">
    <w:name w:val="Título 3 Car"/>
    <w:basedOn w:val="Fuentedeprrafopredeter"/>
    <w:link w:val="Ttulo3"/>
    <w:rsid w:val="004E4FB6"/>
    <w:rPr>
      <w:rFonts w:ascii="Cambria" w:eastAsia="Lucida Sans Unicode" w:hAnsi="Cambria" w:cs="font196"/>
      <w:b/>
      <w:bCs/>
      <w:color w:val="4F81BD"/>
      <w:kern w:val="1"/>
      <w:lang w:val="es-UY"/>
    </w:rPr>
  </w:style>
  <w:style w:type="paragraph" w:styleId="Textoindependiente2">
    <w:name w:val="Body Text 2"/>
    <w:basedOn w:val="Normal"/>
    <w:link w:val="Textoindependiente2Car"/>
    <w:rsid w:val="004E4FB6"/>
    <w:pPr>
      <w:spacing w:after="120" w:line="480" w:lineRule="auto"/>
    </w:pPr>
  </w:style>
  <w:style w:type="character" w:customStyle="1" w:styleId="Textoindependiente2Car">
    <w:name w:val="Texto independiente 2 Car"/>
    <w:basedOn w:val="Fuentedeprrafopredeter"/>
    <w:link w:val="Textoindependiente2"/>
    <w:rsid w:val="004E4FB6"/>
    <w:rPr>
      <w:rFonts w:ascii="Calibri" w:eastAsia="Lucida Sans Unicode" w:hAnsi="Calibri" w:cs="F"/>
      <w:kern w:val="1"/>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A8"/>
    <w:pPr>
      <w:suppressAutoHyphens/>
      <w:textAlignment w:val="baseline"/>
    </w:pPr>
    <w:rPr>
      <w:rFonts w:ascii="Calibri" w:eastAsia="Lucida Sans Unicode" w:hAnsi="Calibri" w:cs="F"/>
      <w:kern w:val="1"/>
      <w:lang w:val="es-UY"/>
    </w:rPr>
  </w:style>
  <w:style w:type="paragraph" w:styleId="Ttulo1">
    <w:name w:val="heading 1"/>
    <w:basedOn w:val="Normal"/>
    <w:next w:val="Normal"/>
    <w:link w:val="Ttulo1Car"/>
    <w:qFormat/>
    <w:rsid w:val="004001A8"/>
    <w:pPr>
      <w:keepNext/>
      <w:spacing w:before="240" w:after="60"/>
      <w:outlineLvl w:val="0"/>
    </w:pPr>
    <w:rPr>
      <w:rFonts w:ascii="Arial" w:hAnsi="Arial" w:cs="Arial"/>
      <w:b/>
      <w:bCs/>
      <w:kern w:val="32"/>
      <w:sz w:val="32"/>
      <w:szCs w:val="32"/>
    </w:rPr>
  </w:style>
  <w:style w:type="paragraph" w:styleId="Ttulo2">
    <w:name w:val="heading 2"/>
    <w:basedOn w:val="Normal"/>
    <w:next w:val="Textoindependiente"/>
    <w:link w:val="Ttulo2Car"/>
    <w:qFormat/>
    <w:rsid w:val="004E4FB6"/>
    <w:pPr>
      <w:numPr>
        <w:ilvl w:val="1"/>
        <w:numId w:val="1"/>
      </w:numPr>
      <w:spacing w:after="0" w:line="100" w:lineRule="atLeast"/>
      <w:outlineLvl w:val="1"/>
    </w:pPr>
    <w:rPr>
      <w:rFonts w:ascii="Times New Roman" w:eastAsia="Times New Roman" w:hAnsi="Times New Roman" w:cs="Times New Roman"/>
      <w:b/>
      <w:bCs/>
      <w:sz w:val="36"/>
      <w:szCs w:val="36"/>
      <w:lang w:eastAsia="es-UY"/>
    </w:rPr>
  </w:style>
  <w:style w:type="paragraph" w:styleId="Ttulo3">
    <w:name w:val="heading 3"/>
    <w:basedOn w:val="Normal"/>
    <w:next w:val="Textoindependiente"/>
    <w:link w:val="Ttulo3Car"/>
    <w:qFormat/>
    <w:rsid w:val="004E4FB6"/>
    <w:pPr>
      <w:keepNext/>
      <w:keepLines/>
      <w:numPr>
        <w:ilvl w:val="2"/>
        <w:numId w:val="1"/>
      </w:numPr>
      <w:spacing w:before="200" w:after="0"/>
      <w:outlineLvl w:val="2"/>
    </w:pPr>
    <w:rPr>
      <w:rFonts w:ascii="Cambria" w:hAnsi="Cambria" w:cs="font196"/>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01A8"/>
    <w:rPr>
      <w:rFonts w:ascii="Arial" w:eastAsia="Lucida Sans Unicode" w:hAnsi="Arial" w:cs="Arial"/>
      <w:b/>
      <w:bCs/>
      <w:kern w:val="32"/>
      <w:sz w:val="32"/>
      <w:szCs w:val="32"/>
      <w:lang w:val="es-UY"/>
    </w:rPr>
  </w:style>
  <w:style w:type="paragraph" w:styleId="Textoindependiente">
    <w:name w:val="Body Text"/>
    <w:basedOn w:val="Normal"/>
    <w:link w:val="TextoindependienteCar"/>
    <w:rsid w:val="004001A8"/>
    <w:pPr>
      <w:tabs>
        <w:tab w:val="left" w:pos="360"/>
        <w:tab w:val="left" w:pos="567"/>
        <w:tab w:val="left" w:pos="1560"/>
        <w:tab w:val="right" w:pos="5387"/>
        <w:tab w:val="right" w:pos="7513"/>
      </w:tabs>
      <w:spacing w:after="0" w:line="100" w:lineRule="atLeast"/>
    </w:pPr>
    <w:rPr>
      <w:rFonts w:ascii="ZapfHumnst BT" w:eastAsia="Times New Roman" w:hAnsi="ZapfHumnst BT" w:cs="Times New Roman"/>
      <w:sz w:val="24"/>
      <w:szCs w:val="20"/>
      <w:lang w:val="x-none"/>
    </w:rPr>
  </w:style>
  <w:style w:type="character" w:customStyle="1" w:styleId="TextoindependienteCar">
    <w:name w:val="Texto independiente Car"/>
    <w:basedOn w:val="Fuentedeprrafopredeter"/>
    <w:link w:val="Textoindependiente"/>
    <w:rsid w:val="004001A8"/>
    <w:rPr>
      <w:rFonts w:ascii="ZapfHumnst BT" w:eastAsia="Times New Roman" w:hAnsi="ZapfHumnst BT" w:cs="Times New Roman"/>
      <w:kern w:val="1"/>
      <w:sz w:val="24"/>
      <w:szCs w:val="20"/>
      <w:lang w:val="x-none"/>
    </w:rPr>
  </w:style>
  <w:style w:type="character" w:customStyle="1" w:styleId="Ttulo2Car">
    <w:name w:val="Título 2 Car"/>
    <w:basedOn w:val="Fuentedeprrafopredeter"/>
    <w:link w:val="Ttulo2"/>
    <w:rsid w:val="004E4FB6"/>
    <w:rPr>
      <w:rFonts w:ascii="Times New Roman" w:eastAsia="Times New Roman" w:hAnsi="Times New Roman" w:cs="Times New Roman"/>
      <w:b/>
      <w:bCs/>
      <w:kern w:val="1"/>
      <w:sz w:val="36"/>
      <w:szCs w:val="36"/>
      <w:lang w:val="es-UY" w:eastAsia="es-UY"/>
    </w:rPr>
  </w:style>
  <w:style w:type="character" w:customStyle="1" w:styleId="Ttulo3Car">
    <w:name w:val="Título 3 Car"/>
    <w:basedOn w:val="Fuentedeprrafopredeter"/>
    <w:link w:val="Ttulo3"/>
    <w:rsid w:val="004E4FB6"/>
    <w:rPr>
      <w:rFonts w:ascii="Cambria" w:eastAsia="Lucida Sans Unicode" w:hAnsi="Cambria" w:cs="font196"/>
      <w:b/>
      <w:bCs/>
      <w:color w:val="4F81BD"/>
      <w:kern w:val="1"/>
      <w:lang w:val="es-UY"/>
    </w:rPr>
  </w:style>
  <w:style w:type="paragraph" w:styleId="Textoindependiente2">
    <w:name w:val="Body Text 2"/>
    <w:basedOn w:val="Normal"/>
    <w:link w:val="Textoindependiente2Car"/>
    <w:rsid w:val="004E4FB6"/>
    <w:pPr>
      <w:spacing w:after="120" w:line="480" w:lineRule="auto"/>
    </w:pPr>
  </w:style>
  <w:style w:type="character" w:customStyle="1" w:styleId="Textoindependiente2Car">
    <w:name w:val="Texto independiente 2 Car"/>
    <w:basedOn w:val="Fuentedeprrafopredeter"/>
    <w:link w:val="Textoindependiente2"/>
    <w:rsid w:val="004E4FB6"/>
    <w:rPr>
      <w:rFonts w:ascii="Calibri" w:eastAsia="Lucida Sans Unicode" w:hAnsi="Calibri" w:cs="F"/>
      <w:kern w:val="1"/>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2298</Words>
  <Characters>12643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Suarez</dc:creator>
  <cp:lastModifiedBy> </cp:lastModifiedBy>
  <cp:revision>5</cp:revision>
  <dcterms:created xsi:type="dcterms:W3CDTF">2016-09-09T14:21:00Z</dcterms:created>
  <dcterms:modified xsi:type="dcterms:W3CDTF">2017-01-20T16:37:00Z</dcterms:modified>
</cp:coreProperties>
</file>