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EFD" w:rsidRPr="000D5EFD" w:rsidRDefault="000D5EFD" w:rsidP="000D5EFD">
      <w:pPr>
        <w:tabs>
          <w:tab w:val="center" w:pos="4253"/>
        </w:tabs>
        <w:suppressAutoHyphens/>
        <w:jc w:val="right"/>
        <w:rPr>
          <w:rFonts w:cs="Arial"/>
          <w:b/>
          <w:sz w:val="28"/>
          <w:szCs w:val="28"/>
          <w:lang w:val="es-ES_tradnl"/>
        </w:rPr>
      </w:pPr>
      <w:bookmarkStart w:id="0" w:name="_GoBack"/>
      <w:bookmarkEnd w:id="0"/>
      <w:r w:rsidRPr="000D5EFD">
        <w:rPr>
          <w:rFonts w:cs="Arial"/>
          <w:b/>
          <w:sz w:val="28"/>
          <w:szCs w:val="28"/>
          <w:lang w:val="es-ES_tradnl"/>
        </w:rPr>
        <w:t>RES. 317</w:t>
      </w:r>
      <w:r>
        <w:rPr>
          <w:rFonts w:cs="Arial"/>
          <w:b/>
          <w:sz w:val="28"/>
          <w:szCs w:val="28"/>
          <w:lang w:val="es-ES_tradnl"/>
        </w:rPr>
        <w:t>7</w:t>
      </w:r>
      <w:r w:rsidRPr="000D5EFD">
        <w:rPr>
          <w:rFonts w:cs="Arial"/>
          <w:b/>
          <w:sz w:val="28"/>
          <w:szCs w:val="28"/>
          <w:lang w:val="es-ES_tradnl"/>
        </w:rPr>
        <w:t>/16</w:t>
      </w:r>
    </w:p>
    <w:p w:rsidR="000D5EFD" w:rsidRPr="000D5EFD" w:rsidRDefault="000D5EFD" w:rsidP="000D5EFD">
      <w:pPr>
        <w:tabs>
          <w:tab w:val="center" w:pos="4253"/>
        </w:tabs>
        <w:suppressAutoHyphens/>
        <w:jc w:val="center"/>
        <w:rPr>
          <w:rFonts w:cs="Arial"/>
          <w:b/>
          <w:sz w:val="28"/>
          <w:szCs w:val="28"/>
          <w:lang w:val="es-ES_tradnl"/>
        </w:rPr>
      </w:pPr>
    </w:p>
    <w:p w:rsidR="000D5EFD" w:rsidRPr="000D5EFD" w:rsidRDefault="000D5EFD" w:rsidP="000D5EFD">
      <w:pPr>
        <w:tabs>
          <w:tab w:val="center" w:pos="4253"/>
        </w:tabs>
        <w:suppressAutoHyphens/>
        <w:jc w:val="center"/>
        <w:rPr>
          <w:rFonts w:cs="Arial"/>
          <w:b/>
          <w:lang w:val="es-ES_tradnl"/>
        </w:rPr>
      </w:pPr>
      <w:r w:rsidRPr="000D5EFD">
        <w:rPr>
          <w:rFonts w:cs="Arial"/>
          <w:b/>
          <w:lang w:val="es-ES_tradnl"/>
        </w:rPr>
        <w:t>RESOLUCION ADOPTADA POR EL</w:t>
      </w:r>
    </w:p>
    <w:p w:rsidR="000D5EFD" w:rsidRPr="000D5EFD" w:rsidRDefault="000D5EFD" w:rsidP="000D5EFD">
      <w:pPr>
        <w:tabs>
          <w:tab w:val="left" w:pos="-720"/>
        </w:tabs>
        <w:suppressAutoHyphens/>
        <w:jc w:val="center"/>
        <w:rPr>
          <w:rFonts w:cs="Arial"/>
          <w:b/>
          <w:lang w:val="es-ES_tradnl"/>
        </w:rPr>
      </w:pPr>
    </w:p>
    <w:p w:rsidR="000D5EFD" w:rsidRPr="000D5EFD" w:rsidRDefault="000D5EFD" w:rsidP="000D5EFD">
      <w:pPr>
        <w:tabs>
          <w:tab w:val="center" w:pos="4253"/>
        </w:tabs>
        <w:suppressAutoHyphens/>
        <w:jc w:val="center"/>
        <w:rPr>
          <w:rFonts w:cs="Arial"/>
          <w:b/>
          <w:lang w:val="es-ES_tradnl"/>
        </w:rPr>
      </w:pPr>
      <w:r w:rsidRPr="000D5EFD">
        <w:rPr>
          <w:rFonts w:cs="Arial"/>
          <w:b/>
          <w:lang w:val="es-ES_tradnl"/>
        </w:rPr>
        <w:t>TRIBUNAL DE CUENTAS</w:t>
      </w:r>
    </w:p>
    <w:p w:rsidR="000D5EFD" w:rsidRPr="000D5EFD" w:rsidRDefault="000D5EFD" w:rsidP="000D5EFD">
      <w:pPr>
        <w:tabs>
          <w:tab w:val="left" w:pos="-720"/>
        </w:tabs>
        <w:suppressAutoHyphens/>
        <w:jc w:val="center"/>
        <w:rPr>
          <w:rFonts w:cs="Arial"/>
          <w:b/>
          <w:lang w:val="es-ES_tradnl"/>
        </w:rPr>
      </w:pPr>
    </w:p>
    <w:p w:rsidR="000D5EFD" w:rsidRPr="000D5EFD" w:rsidRDefault="000D5EFD" w:rsidP="000D5EFD">
      <w:pPr>
        <w:tabs>
          <w:tab w:val="center" w:pos="4253"/>
        </w:tabs>
        <w:suppressAutoHyphens/>
        <w:jc w:val="center"/>
        <w:rPr>
          <w:rFonts w:cs="Arial"/>
          <w:b/>
          <w:lang w:val="es-ES_tradnl"/>
        </w:rPr>
      </w:pPr>
      <w:r w:rsidRPr="000D5EFD">
        <w:rPr>
          <w:rFonts w:cs="Arial"/>
          <w:b/>
          <w:lang w:val="es-ES_tradnl"/>
        </w:rPr>
        <w:t>EN SESION DE FECHA 7 DE SETIEMBRE DE 2016</w:t>
      </w:r>
    </w:p>
    <w:p w:rsidR="000D5EFD" w:rsidRPr="000D5EFD" w:rsidRDefault="000D5EFD" w:rsidP="000D5EFD">
      <w:pPr>
        <w:tabs>
          <w:tab w:val="center" w:pos="4253"/>
        </w:tabs>
        <w:suppressAutoHyphens/>
        <w:jc w:val="center"/>
        <w:rPr>
          <w:rFonts w:cs="Arial"/>
          <w:b/>
          <w:lang w:val="es-ES_tradnl"/>
        </w:rPr>
      </w:pPr>
    </w:p>
    <w:p w:rsidR="000D5EFD" w:rsidRPr="000D5EFD" w:rsidRDefault="000D5EFD" w:rsidP="000D5EFD">
      <w:pPr>
        <w:tabs>
          <w:tab w:val="center" w:pos="4253"/>
        </w:tabs>
        <w:suppressAutoHyphens/>
        <w:jc w:val="center"/>
        <w:rPr>
          <w:rFonts w:cs="Arial"/>
          <w:b/>
          <w:lang w:val="es-UY"/>
        </w:rPr>
      </w:pPr>
      <w:r w:rsidRPr="000D5EFD">
        <w:rPr>
          <w:rFonts w:cs="Arial"/>
          <w:b/>
          <w:lang w:val="es-UY"/>
        </w:rPr>
        <w:t>(E. E. Nº 201</w:t>
      </w:r>
      <w:r w:rsidRPr="000D5EFD">
        <w:rPr>
          <w:rFonts w:cs="Arial"/>
          <w:b/>
        </w:rPr>
        <w:t>6</w:t>
      </w:r>
      <w:r w:rsidRPr="000D5EFD">
        <w:rPr>
          <w:rFonts w:cs="Arial"/>
          <w:b/>
          <w:lang w:val="es-UY"/>
        </w:rPr>
        <w:t>-17-1-000</w:t>
      </w:r>
      <w:r>
        <w:rPr>
          <w:rFonts w:cs="Arial"/>
          <w:b/>
        </w:rPr>
        <w:t>2076</w:t>
      </w:r>
      <w:r w:rsidRPr="000D5EFD">
        <w:rPr>
          <w:rFonts w:cs="Arial"/>
          <w:b/>
          <w:lang w:val="es-UY"/>
        </w:rPr>
        <w:t xml:space="preserve">, </w:t>
      </w:r>
      <w:proofErr w:type="spellStart"/>
      <w:r w:rsidRPr="000D5EFD">
        <w:rPr>
          <w:rFonts w:cs="Arial"/>
          <w:b/>
          <w:lang w:val="es-UY"/>
        </w:rPr>
        <w:t>Ent</w:t>
      </w:r>
      <w:proofErr w:type="spellEnd"/>
      <w:r w:rsidRPr="000D5EFD">
        <w:rPr>
          <w:rFonts w:cs="Arial"/>
          <w:b/>
          <w:lang w:val="es-UY"/>
        </w:rPr>
        <w:t xml:space="preserve">. N° </w:t>
      </w:r>
      <w:r>
        <w:rPr>
          <w:rFonts w:cs="Arial"/>
          <w:b/>
          <w:lang w:val="es-UY"/>
        </w:rPr>
        <w:t>1582</w:t>
      </w:r>
      <w:r w:rsidRPr="000D5EFD">
        <w:rPr>
          <w:rFonts w:cs="Arial"/>
          <w:b/>
          <w:lang w:val="es-UY"/>
        </w:rPr>
        <w:t>/16)</w:t>
      </w:r>
    </w:p>
    <w:p w:rsidR="009734DB" w:rsidRPr="000771D8" w:rsidRDefault="009734DB" w:rsidP="009734DB">
      <w:pPr>
        <w:tabs>
          <w:tab w:val="center" w:pos="4253"/>
        </w:tabs>
        <w:suppressAutoHyphens/>
        <w:jc w:val="center"/>
        <w:rPr>
          <w:spacing w:val="-3"/>
          <w:lang w:val="es-UY"/>
        </w:rPr>
      </w:pPr>
    </w:p>
    <w:p w:rsidR="009734DB" w:rsidRPr="000771D8" w:rsidRDefault="009734DB" w:rsidP="009734DB">
      <w:pPr>
        <w:tabs>
          <w:tab w:val="center" w:pos="4253"/>
        </w:tabs>
        <w:suppressAutoHyphens/>
        <w:rPr>
          <w:spacing w:val="-3"/>
          <w:lang w:val="es-UY"/>
        </w:rPr>
      </w:pPr>
    </w:p>
    <w:p w:rsidR="009734DB" w:rsidRDefault="009734DB" w:rsidP="009734DB">
      <w:pPr>
        <w:spacing w:line="360" w:lineRule="auto"/>
        <w:ind w:firstLine="851"/>
        <w:jc w:val="both"/>
      </w:pPr>
      <w:r>
        <w:rPr>
          <w:b/>
          <w:lang w:val="es-ES_tradnl"/>
        </w:rPr>
        <w:t>VISTO:</w:t>
      </w:r>
      <w:r>
        <w:rPr>
          <w:lang w:val="es-ES_tradnl"/>
        </w:rPr>
        <w:t xml:space="preserve"> los estados financieros de Primeras Líneas Uruguayas de Navegación Aérea Ente Autónomo (PLUNA E</w:t>
      </w:r>
      <w:r w:rsidR="007E3839">
        <w:rPr>
          <w:lang w:val="es-ES_tradnl"/>
        </w:rPr>
        <w:t>.</w:t>
      </w:r>
      <w:r>
        <w:rPr>
          <w:lang w:val="es-ES_tradnl"/>
        </w:rPr>
        <w:t>A),</w:t>
      </w:r>
      <w:r>
        <w:t xml:space="preserve"> que comprenden el Estado de Situación </w:t>
      </w:r>
      <w:r w:rsidR="007E3839">
        <w:t>Financiera</w:t>
      </w:r>
      <w:r>
        <w:t xml:space="preserve"> al 31 de diciembre de 201</w:t>
      </w:r>
      <w:r w:rsidR="007E3839">
        <w:t>5</w:t>
      </w:r>
      <w:r>
        <w:t>, los correspondientes Estados de Resultados</w:t>
      </w:r>
      <w:r w:rsidR="007E3839">
        <w:t xml:space="preserve"> Integral</w:t>
      </w:r>
      <w:r>
        <w:t>,</w:t>
      </w:r>
      <w:r w:rsidR="007E3839">
        <w:t xml:space="preserve"> de Flujos de Efectivo y </w:t>
      </w:r>
      <w:r>
        <w:t xml:space="preserve"> de </w:t>
      </w:r>
      <w:r w:rsidR="007E3839">
        <w:t xml:space="preserve">Cambios en el </w:t>
      </w:r>
      <w:r>
        <w:t>Patrimonio por el ejercici</w:t>
      </w:r>
      <w:r w:rsidR="007E3839">
        <w:t xml:space="preserve">o anual terminado en esa fecha y las </w:t>
      </w:r>
      <w:r>
        <w:t>notas que los acompañan;</w:t>
      </w:r>
    </w:p>
    <w:p w:rsidR="009734DB" w:rsidRDefault="009734DB" w:rsidP="009734DB">
      <w:pPr>
        <w:spacing w:line="360" w:lineRule="auto"/>
        <w:ind w:firstLine="851"/>
        <w:jc w:val="both"/>
        <w:rPr>
          <w:rFonts w:ascii="Times" w:hAnsi="Times" w:cs="Times"/>
        </w:rPr>
      </w:pPr>
      <w:r>
        <w:rPr>
          <w:b/>
          <w:lang w:val="es-ES_tradnl"/>
        </w:rPr>
        <w:t>RESULTANDO:</w:t>
      </w:r>
      <w:r>
        <w:rPr>
          <w:lang w:val="es-ES_tradnl"/>
        </w:rPr>
        <w:t xml:space="preserve"> </w:t>
      </w:r>
      <w:r>
        <w:rPr>
          <w:rFonts w:cs="Arial"/>
          <w:lang w:val="es-ES_tradnl"/>
        </w:rPr>
        <w:t xml:space="preserve">que los exámenes fueron realizados de </w:t>
      </w:r>
      <w:r>
        <w:rPr>
          <w:rFonts w:cs="Arial"/>
        </w:rPr>
        <w:t>acuerdo con los Principios Fundamentales de Auditoría (ISSAI 100 y 200) y las Directrices de Auditoría Financiera (ISSAI 1000 a 1810) de la Organización Internacional de Entidades Fiscalizadoras Superiores (INTOSAI)</w:t>
      </w:r>
      <w:r>
        <w:rPr>
          <w:rFonts w:ascii="Times" w:hAnsi="Times" w:cs="Times"/>
        </w:rPr>
        <w:t>;</w:t>
      </w:r>
    </w:p>
    <w:p w:rsidR="009734DB" w:rsidRDefault="009734DB" w:rsidP="009734DB">
      <w:pPr>
        <w:spacing w:line="360" w:lineRule="auto"/>
        <w:ind w:firstLine="851"/>
        <w:jc w:val="both"/>
        <w:rPr>
          <w:lang w:val="es-ES_tradnl"/>
        </w:rPr>
      </w:pPr>
      <w:r>
        <w:rPr>
          <w:b/>
          <w:lang w:val="es-ES_tradnl"/>
        </w:rPr>
        <w:t>CONSIDERANDO:</w:t>
      </w:r>
      <w:r>
        <w:rPr>
          <w:lang w:val="es-ES_tradnl"/>
        </w:rPr>
        <w:t xml:space="preserve"> que las conclusiones y evidencias obtenidas son las que se expresan en el Informe de Auditoría, que incluye Dictamen e Informe a la Administración;</w:t>
      </w:r>
    </w:p>
    <w:p w:rsidR="00043FD5" w:rsidRDefault="009734DB" w:rsidP="00043FD5">
      <w:pPr>
        <w:spacing w:line="360" w:lineRule="auto"/>
        <w:ind w:firstLine="851"/>
        <w:jc w:val="both"/>
        <w:rPr>
          <w:lang w:val="es-ES_tradnl"/>
        </w:rPr>
      </w:pPr>
      <w:r>
        <w:rPr>
          <w:b/>
          <w:lang w:val="es-ES_tradnl"/>
        </w:rPr>
        <w:t>ATENTO:</w:t>
      </w:r>
      <w:r>
        <w:rPr>
          <w:lang w:val="es-ES_tradnl"/>
        </w:rPr>
        <w:t xml:space="preserve"> a lo dispuesto por el Artículo 211 Literal C) de la Constitución de la República;</w:t>
      </w:r>
    </w:p>
    <w:p w:rsidR="00043FD5" w:rsidRDefault="007E3839" w:rsidP="00043FD5">
      <w:pPr>
        <w:spacing w:line="360" w:lineRule="auto"/>
        <w:ind w:firstLine="851"/>
        <w:jc w:val="center"/>
        <w:rPr>
          <w:rFonts w:cs="Arial"/>
          <w:b/>
        </w:rPr>
      </w:pPr>
      <w:r w:rsidRPr="007E3839">
        <w:rPr>
          <w:rFonts w:cs="Arial"/>
          <w:b/>
        </w:rPr>
        <w:t>EL TRIBUNAL ACUERDA</w:t>
      </w:r>
    </w:p>
    <w:p w:rsidR="007E3839" w:rsidRDefault="007E3839" w:rsidP="00043FD5">
      <w:pPr>
        <w:spacing w:line="360" w:lineRule="auto"/>
        <w:rPr>
          <w:rFonts w:cs="Arial"/>
        </w:rPr>
      </w:pPr>
      <w:r>
        <w:rPr>
          <w:rFonts w:cs="Arial"/>
          <w:b/>
        </w:rPr>
        <w:t xml:space="preserve">1)  </w:t>
      </w:r>
      <w:r w:rsidRPr="007E3839">
        <w:rPr>
          <w:rFonts w:cs="Arial"/>
        </w:rPr>
        <w:t>Expedirse en los términos del Informe de Auditoría que se adjunta;</w:t>
      </w:r>
    </w:p>
    <w:p w:rsidR="007E3839" w:rsidRDefault="00043FD5" w:rsidP="00043FD5">
      <w:pPr>
        <w:spacing w:line="360" w:lineRule="auto"/>
        <w:ind w:left="284" w:hanging="284"/>
        <w:jc w:val="both"/>
        <w:rPr>
          <w:rFonts w:cs="Arial"/>
        </w:rPr>
      </w:pPr>
      <w:r>
        <w:rPr>
          <w:rFonts w:cs="Arial"/>
          <w:b/>
        </w:rPr>
        <w:t xml:space="preserve">2) </w:t>
      </w:r>
      <w:r w:rsidR="007E3839" w:rsidRPr="007E3839">
        <w:rPr>
          <w:rFonts w:cs="Arial"/>
        </w:rPr>
        <w:t>Señalar que la publicación de los Estados Financieros por parte del</w:t>
      </w:r>
      <w:r>
        <w:rPr>
          <w:rFonts w:cs="Arial"/>
        </w:rPr>
        <w:t xml:space="preserve"> </w:t>
      </w:r>
      <w:r w:rsidR="007E3839" w:rsidRPr="007E3839">
        <w:rPr>
          <w:rFonts w:cs="Arial"/>
        </w:rPr>
        <w:t>Organismo debe incluir el correspondiente Dictamen del Tribunal de Cuentas de acuerdo a lo dispuesto por el Artículo 1º de la Ley Nº 17.040;</w:t>
      </w:r>
    </w:p>
    <w:p w:rsidR="00043FD5" w:rsidRPr="007E3839" w:rsidRDefault="00043FD5" w:rsidP="00043FD5">
      <w:pPr>
        <w:spacing w:line="360" w:lineRule="auto"/>
        <w:ind w:left="284" w:hanging="284"/>
        <w:jc w:val="both"/>
        <w:rPr>
          <w:rFonts w:cs="Arial"/>
        </w:rPr>
      </w:pPr>
    </w:p>
    <w:p w:rsidR="009734DB" w:rsidRPr="007863D9" w:rsidRDefault="007863D9" w:rsidP="007863D9">
      <w:pPr>
        <w:spacing w:line="360" w:lineRule="auto"/>
        <w:ind w:left="284" w:hanging="284"/>
        <w:jc w:val="both"/>
        <w:rPr>
          <w:lang w:val="es-ES_tradnl"/>
        </w:rPr>
      </w:pPr>
      <w:r w:rsidRPr="007863D9">
        <w:rPr>
          <w:b/>
        </w:rPr>
        <w:lastRenderedPageBreak/>
        <w:t>3)</w:t>
      </w:r>
      <w:r>
        <w:t xml:space="preserve"> </w:t>
      </w:r>
      <w:r w:rsidR="009734DB" w:rsidRPr="007863D9">
        <w:rPr>
          <w:lang w:val="es-ES_tradnl"/>
        </w:rPr>
        <w:t>Comunicar la presente Resolución al Ministerio de Transporte y Obras Públicas, al Organismo y a la Oficina de Planeamiento y Presupuesto; y</w:t>
      </w:r>
    </w:p>
    <w:p w:rsidR="009734DB" w:rsidRDefault="007863D9" w:rsidP="007863D9">
      <w:pPr>
        <w:pStyle w:val="Prrafodelista"/>
        <w:spacing w:line="360" w:lineRule="auto"/>
        <w:ind w:left="0"/>
        <w:jc w:val="both"/>
      </w:pPr>
      <w:r w:rsidRPr="007863D9">
        <w:rPr>
          <w:b/>
          <w:lang w:val="es-ES_tradnl"/>
        </w:rPr>
        <w:t>4)</w:t>
      </w:r>
      <w:r>
        <w:rPr>
          <w:lang w:val="es-ES_tradnl"/>
        </w:rPr>
        <w:t xml:space="preserve"> </w:t>
      </w:r>
      <w:r w:rsidR="009734DB">
        <w:t>Dar cuenta a la Asamblea General.</w:t>
      </w:r>
    </w:p>
    <w:p w:rsidR="009734DB" w:rsidRDefault="009734DB" w:rsidP="00046C09">
      <w:pPr>
        <w:pStyle w:val="Sangradetextonormal"/>
        <w:tabs>
          <w:tab w:val="left" w:pos="4962"/>
        </w:tabs>
        <w:ind w:left="0"/>
        <w:rPr>
          <w:spacing w:val="-3"/>
        </w:rPr>
      </w:pPr>
    </w:p>
    <w:p w:rsidR="00126291" w:rsidRDefault="00126291" w:rsidP="00046C09">
      <w:pPr>
        <w:pStyle w:val="Sangradetextonormal"/>
        <w:tabs>
          <w:tab w:val="left" w:pos="4962"/>
        </w:tabs>
        <w:ind w:left="0"/>
        <w:rPr>
          <w:spacing w:val="-3"/>
        </w:rPr>
      </w:pPr>
    </w:p>
    <w:p w:rsidR="00126291" w:rsidRPr="006A29B4" w:rsidRDefault="006A29B4" w:rsidP="00126291">
      <w:pPr>
        <w:spacing w:line="360" w:lineRule="auto"/>
        <w:rPr>
          <w:lang w:val="es-ES_tradnl"/>
        </w:rPr>
      </w:pPr>
      <w:proofErr w:type="spellStart"/>
      <w:proofErr w:type="gramStart"/>
      <w:r w:rsidRPr="006A29B4">
        <w:rPr>
          <w:rFonts w:cs="Arial"/>
        </w:rPr>
        <w:t>ag</w:t>
      </w:r>
      <w:proofErr w:type="spellEnd"/>
      <w:proofErr w:type="gramEnd"/>
    </w:p>
    <w:p w:rsidR="002F6C75" w:rsidRDefault="002F6C75" w:rsidP="00046C09">
      <w:pPr>
        <w:pStyle w:val="Sangradetextonormal"/>
        <w:tabs>
          <w:tab w:val="left" w:pos="4962"/>
        </w:tabs>
        <w:ind w:left="0"/>
        <w:rPr>
          <w:spacing w:val="-3"/>
        </w:rPr>
      </w:pPr>
    </w:p>
    <w:p w:rsidR="002F6C75" w:rsidRDefault="002F6C75" w:rsidP="00046C09">
      <w:pPr>
        <w:pStyle w:val="Sangradetextonormal"/>
        <w:tabs>
          <w:tab w:val="left" w:pos="4962"/>
        </w:tabs>
        <w:ind w:left="0"/>
        <w:rPr>
          <w:spacing w:val="-3"/>
        </w:rPr>
      </w:pPr>
    </w:p>
    <w:p w:rsidR="002F6C75" w:rsidRDefault="002F6C75" w:rsidP="00046C09">
      <w:pPr>
        <w:pStyle w:val="Sangradetextonormal"/>
        <w:tabs>
          <w:tab w:val="left" w:pos="4962"/>
        </w:tabs>
        <w:ind w:left="0"/>
        <w:rPr>
          <w:spacing w:val="-3"/>
        </w:rPr>
      </w:pPr>
    </w:p>
    <w:p w:rsidR="002F6C75" w:rsidRDefault="002F6C75" w:rsidP="009024F8">
      <w:pPr>
        <w:pStyle w:val="Ttulo"/>
        <w:spacing w:line="360" w:lineRule="auto"/>
        <w:rPr>
          <w:sz w:val="24"/>
        </w:rPr>
      </w:pPr>
      <w:r>
        <w:rPr>
          <w:sz w:val="24"/>
        </w:rPr>
        <w:t>DICTAMEN</w:t>
      </w:r>
    </w:p>
    <w:p w:rsidR="002F6C75" w:rsidRDefault="002F6C75" w:rsidP="009024F8">
      <w:pPr>
        <w:pStyle w:val="Ttulo"/>
        <w:spacing w:line="360" w:lineRule="auto"/>
        <w:jc w:val="both"/>
        <w:rPr>
          <w:sz w:val="24"/>
        </w:rPr>
      </w:pPr>
    </w:p>
    <w:p w:rsidR="002F6C75" w:rsidRDefault="002F6C75" w:rsidP="009024F8">
      <w:pPr>
        <w:widowControl w:val="0"/>
        <w:spacing w:line="360" w:lineRule="auto"/>
        <w:jc w:val="both"/>
        <w:rPr>
          <w:rFonts w:cs="Arial"/>
        </w:rPr>
      </w:pPr>
      <w:r>
        <w:rPr>
          <w:rFonts w:cs="Arial"/>
        </w:rPr>
        <w:t xml:space="preserve">El Tribunal de Cuentas ha examinado los estados financieros de </w:t>
      </w:r>
      <w:r>
        <w:rPr>
          <w:lang w:val="es-ES_tradnl"/>
        </w:rPr>
        <w:t>Primeras Líneas Uruguayas de Navegación Aérea Ente Autónomo (PLUNA E.A)</w:t>
      </w:r>
      <w:r>
        <w:rPr>
          <w:rFonts w:cs="Arial"/>
        </w:rPr>
        <w:t>, que comprenden el Estado de Situación Financiera al 31 de diciembre de 2015, los correspondientes Estados de Resultados Integral, de Flujos de Efectivo y de Cambios en el Patrimonio por el Ejercicio anual finalizado en esa fecha y  las notas de políticas contables significativas y otras notas explicativas a los estados financieros.</w:t>
      </w:r>
    </w:p>
    <w:p w:rsidR="002F6C75" w:rsidRDefault="002F6C75" w:rsidP="003F1415">
      <w:pPr>
        <w:pStyle w:val="Textoindependiente3"/>
        <w:widowControl w:val="0"/>
        <w:spacing w:line="360" w:lineRule="auto"/>
        <w:jc w:val="both"/>
        <w:rPr>
          <w:bCs/>
          <w:sz w:val="24"/>
          <w:szCs w:val="24"/>
        </w:rPr>
      </w:pPr>
      <w:r>
        <w:rPr>
          <w:bCs/>
          <w:sz w:val="24"/>
          <w:szCs w:val="24"/>
        </w:rPr>
        <w:t>También se presentan, en caso de corresponder, los incumplimientos legales constatados por el Tribunal de Cuentas en el curso de la auditoría efectuada.</w:t>
      </w:r>
    </w:p>
    <w:p w:rsidR="002F6C75" w:rsidRDefault="002F6C75"/>
    <w:p w:rsidR="002F6C75" w:rsidRDefault="002F6C75">
      <w:pPr>
        <w:widowControl w:val="0"/>
        <w:spacing w:line="360" w:lineRule="auto"/>
        <w:jc w:val="both"/>
        <w:rPr>
          <w:rFonts w:cs="Arial"/>
          <w:b/>
        </w:rPr>
      </w:pPr>
      <w:r>
        <w:rPr>
          <w:rFonts w:cs="Arial"/>
          <w:b/>
        </w:rPr>
        <w:t>Responsabilidad de la Dirección por los estados financieros</w:t>
      </w:r>
    </w:p>
    <w:p w:rsidR="002F6C75" w:rsidRDefault="002F6C75" w:rsidP="003F1415">
      <w:pPr>
        <w:widowControl w:val="0"/>
        <w:spacing w:line="360" w:lineRule="auto"/>
        <w:jc w:val="both"/>
        <w:rPr>
          <w:rFonts w:cs="Arial"/>
        </w:rPr>
      </w:pPr>
      <w:r>
        <w:rPr>
          <w:rFonts w:cs="Arial"/>
        </w:rPr>
        <w:t xml:space="preserve">La Dirección de </w:t>
      </w:r>
      <w:r>
        <w:rPr>
          <w:lang w:val="es-ES_tradnl"/>
        </w:rPr>
        <w:t>PLUNA E.A</w:t>
      </w:r>
      <w:r>
        <w:rPr>
          <w:rFonts w:cs="Arial"/>
        </w:rPr>
        <w:t xml:space="preserve"> es responsable por la preparación y la razonable presentación de estos estados financieros de acuerdo con las normas contables adecuadas en el Uruguay y la Ordenanza Nº 81 del Tribunal de Cuentas.</w:t>
      </w:r>
    </w:p>
    <w:p w:rsidR="002F6C75" w:rsidRDefault="002F6C75" w:rsidP="003F1415">
      <w:pPr>
        <w:spacing w:line="360" w:lineRule="auto"/>
        <w:jc w:val="both"/>
        <w:rPr>
          <w:rFonts w:cs="Arial"/>
        </w:rPr>
      </w:pPr>
      <w:r>
        <w:rPr>
          <w:rFonts w:cs="Arial"/>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2F6C75" w:rsidRDefault="002F6C75">
      <w:pPr>
        <w:widowControl w:val="0"/>
        <w:spacing w:line="360" w:lineRule="auto"/>
        <w:jc w:val="both"/>
        <w:rPr>
          <w:rFonts w:cs="Arial"/>
          <w:b/>
        </w:rPr>
      </w:pPr>
      <w:r>
        <w:rPr>
          <w:rFonts w:cs="Arial"/>
          <w:b/>
        </w:rPr>
        <w:lastRenderedPageBreak/>
        <w:t>Responsabilidad del auditor</w:t>
      </w:r>
    </w:p>
    <w:p w:rsidR="002F6C75" w:rsidRDefault="002F6C75" w:rsidP="003F1415">
      <w:pPr>
        <w:widowControl w:val="0"/>
        <w:spacing w:line="360" w:lineRule="auto"/>
        <w:jc w:val="both"/>
      </w:pPr>
      <w:r>
        <w:rPr>
          <w:rFonts w:cs="Arial"/>
          <w:bCs/>
        </w:rPr>
        <w:t>La responsabilidad del Tribunal</w:t>
      </w:r>
      <w:r>
        <w:t xml:space="preserve"> de Cuentas es expresar una opinión sobre dichos estados financieros basada en la auditoría. Esta auditoría fue practicada de acuerdo con los Principios Fundamentales de Auditoría (ISSAI 100 y 200) y las Directrices de Auditoría Financiera (ISSAI 1000 a 1810) de la Organización Internacional de Entidades Fiscalizadoras Superiores (INTOSAI).</w:t>
      </w:r>
    </w:p>
    <w:p w:rsidR="002F6C75" w:rsidRDefault="002F6C75" w:rsidP="003F1415">
      <w:pPr>
        <w:widowControl w:val="0"/>
        <w:spacing w:line="360" w:lineRule="auto"/>
        <w:jc w:val="both"/>
      </w:pPr>
      <w:r>
        <w:t>Estas normas requieren que se cumpla con requisitos éticos, se planifique y se realice la auditoría para obtener seguridad razonable acerca de si los estados financieros están libres de errores significativos.</w:t>
      </w:r>
    </w:p>
    <w:p w:rsidR="002F6C75" w:rsidRDefault="002F6C75" w:rsidP="003F1415">
      <w:pPr>
        <w:widowControl w:val="0"/>
        <w:spacing w:line="360" w:lineRule="auto"/>
        <w:jc w:val="both"/>
      </w:pPr>
      <w: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2F6C75" w:rsidRDefault="002F6C75" w:rsidP="003F1415">
      <w:pPr>
        <w:spacing w:after="260" w:line="360" w:lineRule="auto"/>
        <w:jc w:val="both"/>
      </w:pPr>
      <w:r>
        <w:t>Se considera que la evidencia de auditoría obtenida brinda una base suficiente y apropiada para sustentar la opinión.</w:t>
      </w:r>
    </w:p>
    <w:p w:rsidR="00CA6C01" w:rsidRDefault="00CA6C01" w:rsidP="003F1415">
      <w:pPr>
        <w:spacing w:after="260" w:line="360" w:lineRule="auto"/>
        <w:jc w:val="both"/>
      </w:pPr>
    </w:p>
    <w:p w:rsidR="00CA6C01" w:rsidRDefault="00CA6C01" w:rsidP="003F1415">
      <w:pPr>
        <w:spacing w:after="260" w:line="360" w:lineRule="auto"/>
        <w:jc w:val="both"/>
      </w:pPr>
    </w:p>
    <w:p w:rsidR="002F6C75" w:rsidRDefault="002F6C75" w:rsidP="00500CC0">
      <w:pPr>
        <w:pStyle w:val="Ttulo1"/>
        <w:spacing w:after="0"/>
      </w:pPr>
      <w:r>
        <w:t>Opinión</w:t>
      </w:r>
    </w:p>
    <w:p w:rsidR="002F6C75" w:rsidRDefault="002F6C75" w:rsidP="003F1415">
      <w:pPr>
        <w:widowControl w:val="0"/>
        <w:spacing w:line="360" w:lineRule="auto"/>
        <w:jc w:val="both"/>
        <w:rPr>
          <w:rFonts w:cs="Arial"/>
        </w:rPr>
      </w:pPr>
      <w:r>
        <w:t xml:space="preserve">En opinión del Tribunal de Cuentas, los estados financieros referidos precedentemente, presentan razonablemente en todos sus aspectos importantes, la situación financiera de PLUNA EA al 31 de diciembre de 2015, los resultados de sus operaciones y los flujos de efectivo correspondientes al ejercicio anual terminado en esa fecha, de acuerdo con normas contables adecuadas en el Uruguay y la Ordenanza Nº 81 </w:t>
      </w:r>
      <w:r>
        <w:rPr>
          <w:rFonts w:cs="Arial"/>
        </w:rPr>
        <w:t>del Tribunal de Cuentas.</w:t>
      </w:r>
    </w:p>
    <w:p w:rsidR="002F6C75" w:rsidRDefault="002F6C75" w:rsidP="00500CC0">
      <w:pPr>
        <w:widowControl w:val="0"/>
        <w:spacing w:line="360" w:lineRule="auto"/>
        <w:ind w:firstLine="851"/>
        <w:jc w:val="both"/>
      </w:pPr>
    </w:p>
    <w:p w:rsidR="002F6C75" w:rsidRDefault="002F6C75" w:rsidP="00974E56">
      <w:pPr>
        <w:pStyle w:val="Textoindependiente"/>
        <w:spacing w:line="360" w:lineRule="auto"/>
        <w:jc w:val="both"/>
        <w:rPr>
          <w:rFonts w:ascii="Arial" w:hAnsi="Arial"/>
        </w:rPr>
      </w:pPr>
      <w:r>
        <w:rPr>
          <w:rFonts w:ascii="Arial" w:hAnsi="Arial"/>
        </w:rPr>
        <w:t>Con relación a las disposiciones legales y reglamentarias vigentes relacionadas con los estados financieros que fueron objeto de examen</w:t>
      </w:r>
      <w:r w:rsidRPr="00974E56">
        <w:rPr>
          <w:rFonts w:ascii="Arial" w:hAnsi="Arial"/>
        </w:rPr>
        <w:t xml:space="preserve">, en el transcurso de la auditoría se </w:t>
      </w:r>
      <w:r>
        <w:rPr>
          <w:rFonts w:ascii="Arial" w:hAnsi="Arial"/>
        </w:rPr>
        <w:t>constató el siguiente incumplimiento:</w:t>
      </w:r>
    </w:p>
    <w:p w:rsidR="002F6C75" w:rsidRDefault="002F6C75" w:rsidP="00974E56">
      <w:pPr>
        <w:pStyle w:val="Textoindependiente"/>
        <w:spacing w:line="360" w:lineRule="auto"/>
        <w:jc w:val="both"/>
        <w:rPr>
          <w:rFonts w:ascii="Arial" w:hAnsi="Arial"/>
        </w:rPr>
      </w:pPr>
    </w:p>
    <w:p w:rsidR="002F6C75" w:rsidRDefault="002F6C75" w:rsidP="00974E56">
      <w:pPr>
        <w:pStyle w:val="Textoindependiente"/>
        <w:spacing w:line="360" w:lineRule="auto"/>
        <w:jc w:val="both"/>
        <w:rPr>
          <w:rFonts w:ascii="Arial" w:hAnsi="Arial"/>
        </w:rPr>
      </w:pPr>
      <w:r>
        <w:rPr>
          <w:rFonts w:ascii="Arial" w:hAnsi="Arial"/>
        </w:rPr>
        <w:t>Artículo 1 de la Ley 17.040 - Publicación de los estados financieros.</w:t>
      </w:r>
    </w:p>
    <w:p w:rsidR="002F6C75" w:rsidRDefault="002F6C75" w:rsidP="00974E56">
      <w:pPr>
        <w:pStyle w:val="Textoindependiente"/>
        <w:spacing w:line="360" w:lineRule="auto"/>
        <w:jc w:val="both"/>
        <w:rPr>
          <w:rFonts w:ascii="Arial" w:hAnsi="Arial"/>
        </w:rPr>
      </w:pPr>
      <w:r>
        <w:rPr>
          <w:rFonts w:ascii="Arial" w:hAnsi="Arial"/>
        </w:rPr>
        <w:t>PLUNA E.A no publicó los estados financieros en dos diarios de circulación nacional conforme lo dispone la norma citada.</w:t>
      </w:r>
    </w:p>
    <w:p w:rsidR="002F6C75" w:rsidRDefault="002F6C75">
      <w:pPr>
        <w:pStyle w:val="Sangradetextonormal"/>
        <w:spacing w:line="360" w:lineRule="auto"/>
        <w:jc w:val="right"/>
      </w:pPr>
      <w:r>
        <w:t>M</w:t>
      </w:r>
      <w:r w:rsidR="00CA6C01">
        <w:t>ontevideo, 24 de agosto de 2016</w:t>
      </w:r>
    </w:p>
    <w:p w:rsidR="002F6C75" w:rsidRDefault="002F6C75" w:rsidP="00334223">
      <w:pPr>
        <w:pStyle w:val="Sangradetextonormal"/>
        <w:spacing w:line="360" w:lineRule="auto"/>
        <w:ind w:left="0"/>
      </w:pPr>
    </w:p>
    <w:p w:rsidR="002F6C75" w:rsidRDefault="002F6C75" w:rsidP="00046C09">
      <w:pPr>
        <w:pStyle w:val="Sangradetextonormal"/>
        <w:tabs>
          <w:tab w:val="left" w:pos="4962"/>
        </w:tabs>
        <w:ind w:left="0"/>
        <w:rPr>
          <w:spacing w:val="-3"/>
        </w:rPr>
      </w:pPr>
    </w:p>
    <w:p w:rsidR="002F6C75" w:rsidRDefault="002F6C75" w:rsidP="00046C09">
      <w:pPr>
        <w:pStyle w:val="Sangradetextonormal"/>
        <w:tabs>
          <w:tab w:val="left" w:pos="4962"/>
        </w:tabs>
        <w:ind w:left="0"/>
        <w:rPr>
          <w:spacing w:val="-3"/>
        </w:rPr>
      </w:pPr>
    </w:p>
    <w:p w:rsidR="002F6C75" w:rsidRDefault="002F6C75" w:rsidP="00647E48">
      <w:pPr>
        <w:pStyle w:val="Ttulo2"/>
      </w:pPr>
      <w:r>
        <w:t>INFORME A LA ADMINISTRACION</w:t>
      </w:r>
    </w:p>
    <w:p w:rsidR="002F6C75" w:rsidRPr="00647E48" w:rsidRDefault="002F6C75" w:rsidP="00647E48"/>
    <w:p w:rsidR="002F6C75" w:rsidRDefault="002F6C75" w:rsidP="00647E48">
      <w:pPr>
        <w:pStyle w:val="Textoindependiente"/>
        <w:spacing w:line="360" w:lineRule="auto"/>
        <w:jc w:val="both"/>
        <w:rPr>
          <w:rFonts w:ascii="Arial" w:hAnsi="Arial" w:cs="Arial"/>
        </w:rPr>
      </w:pPr>
      <w:r>
        <w:rPr>
          <w:rFonts w:ascii="Arial" w:hAnsi="Arial" w:cs="Arial"/>
        </w:rPr>
        <w:t>El Tribunal de Cuentas ha examinado los estados financieros de Primeras Líneas Uruguayas de Navegación Aérea Ente Autónomo (PLUNA E.A), por el ejercicio anual terminado el 31/12/15 y ha emitido su Dictamen.</w:t>
      </w:r>
    </w:p>
    <w:p w:rsidR="002F6C75" w:rsidRDefault="002F6C75" w:rsidP="00647E48">
      <w:pPr>
        <w:pStyle w:val="Textoindependiente2"/>
        <w:rPr>
          <w:rFonts w:cs="Arial"/>
          <w:lang w:val="es-ES"/>
        </w:rPr>
      </w:pPr>
      <w:r>
        <w:rPr>
          <w:rFonts w:cs="Arial"/>
          <w:lang w:val="es-ES"/>
        </w:rPr>
        <w:t>Este informe contiene consideraciones relativas a la evaluación de control interno. Se incluyen, además, comentarios que se ha entendido conveniente exponer, relacionados con la situación de determinados capítulos y rubros de los estados examinados y con disposiciones legales vigentes.</w:t>
      </w:r>
    </w:p>
    <w:p w:rsidR="002F6C75" w:rsidRDefault="002F6C75" w:rsidP="00647E48">
      <w:pPr>
        <w:pStyle w:val="Textoindependiente2"/>
        <w:rPr>
          <w:rFonts w:cs="Arial"/>
          <w:lang w:val="es-ES"/>
        </w:rPr>
      </w:pPr>
      <w:r>
        <w:rPr>
          <w:rFonts w:cs="Arial"/>
          <w:lang w:val="es-ES"/>
        </w:rPr>
        <w:t xml:space="preserve">También se agregan las principales recomendaciones que </w:t>
      </w:r>
      <w:proofErr w:type="gramStart"/>
      <w:r>
        <w:rPr>
          <w:rFonts w:cs="Arial"/>
          <w:lang w:val="es-ES"/>
        </w:rPr>
        <w:t>deberá</w:t>
      </w:r>
      <w:proofErr w:type="gramEnd"/>
      <w:r>
        <w:rPr>
          <w:rFonts w:cs="Arial"/>
          <w:lang w:val="es-ES"/>
        </w:rPr>
        <w:t xml:space="preserve"> atender el Organismo y una evaluación del cumplimiento de las recomendaciones presentadas en el Informe de Auditoría del ejercicio anterior.</w:t>
      </w:r>
    </w:p>
    <w:p w:rsidR="002F6C75" w:rsidRPr="003F1415" w:rsidRDefault="002F6C75" w:rsidP="00647E48">
      <w:pPr>
        <w:widowControl w:val="0"/>
        <w:spacing w:line="360" w:lineRule="auto"/>
        <w:jc w:val="both"/>
        <w:rPr>
          <w:rFonts w:cs="Arial"/>
          <w:b/>
        </w:rPr>
      </w:pPr>
    </w:p>
    <w:p w:rsidR="002F6C75" w:rsidRPr="00525A89" w:rsidRDefault="002F6C75" w:rsidP="00647E48">
      <w:pPr>
        <w:pStyle w:val="Prrafodelista"/>
        <w:widowControl w:val="0"/>
        <w:numPr>
          <w:ilvl w:val="0"/>
          <w:numId w:val="18"/>
        </w:numPr>
        <w:spacing w:line="360" w:lineRule="auto"/>
        <w:jc w:val="both"/>
        <w:rPr>
          <w:rFonts w:cs="Arial"/>
          <w:b/>
          <w:lang w:val="es-ES_tradnl"/>
        </w:rPr>
      </w:pPr>
      <w:r>
        <w:rPr>
          <w:rFonts w:cs="Arial"/>
          <w:b/>
          <w:lang w:val="es-ES_tradnl"/>
        </w:rPr>
        <w:t xml:space="preserve">- </w:t>
      </w:r>
      <w:r w:rsidR="00CA6C01">
        <w:rPr>
          <w:rFonts w:cs="Arial"/>
          <w:b/>
          <w:lang w:val="es-ES_tradnl"/>
        </w:rPr>
        <w:t>Presentación de los Estados</w:t>
      </w:r>
    </w:p>
    <w:p w:rsidR="002F6C75" w:rsidRDefault="002F6C75" w:rsidP="00647E48">
      <w:pPr>
        <w:widowControl w:val="0"/>
        <w:tabs>
          <w:tab w:val="left" w:pos="0"/>
        </w:tabs>
        <w:spacing w:line="360" w:lineRule="auto"/>
        <w:jc w:val="both"/>
        <w:rPr>
          <w:rFonts w:cs="Arial"/>
        </w:rPr>
      </w:pPr>
      <w:r>
        <w:rPr>
          <w:rFonts w:cs="Arial"/>
          <w:lang w:val="es-ES_tradnl"/>
        </w:rPr>
        <w:t xml:space="preserve">Los estados financieros de PLUNA E.A correspondientes al ejercicio finalizado el 31 de diciembre de 2015, fueron aprobados por Resolución de Directorio                    </w:t>
      </w:r>
      <w:r>
        <w:rPr>
          <w:lang w:val="es-ES_tradnl"/>
        </w:rPr>
        <w:t>Nº 16.611, de fecha 31 de marzo de 2016</w:t>
      </w:r>
      <w:r w:rsidRPr="00A77901">
        <w:rPr>
          <w:rFonts w:cs="Arial"/>
        </w:rPr>
        <w:t xml:space="preserve"> </w:t>
      </w:r>
      <w:r>
        <w:rPr>
          <w:rFonts w:cs="Arial"/>
        </w:rPr>
        <w:t>y remitidos para su examen a este Tribunal.</w:t>
      </w:r>
    </w:p>
    <w:p w:rsidR="002F6C75" w:rsidRDefault="002F6C75" w:rsidP="00647E48">
      <w:pPr>
        <w:widowControl w:val="0"/>
        <w:tabs>
          <w:tab w:val="left" w:pos="0"/>
        </w:tabs>
        <w:spacing w:line="360" w:lineRule="auto"/>
        <w:jc w:val="both"/>
      </w:pPr>
      <w:r>
        <w:t>Dichos estados se confeccionaron siguiendo las normas contables adecuadas en el Uruguay y los criterios establecidos en la Ordenanza Nº 81 del Tribunal de Cuentas.</w:t>
      </w:r>
    </w:p>
    <w:p w:rsidR="002F6C75" w:rsidRDefault="002F6C75" w:rsidP="00647E48">
      <w:pPr>
        <w:widowControl w:val="0"/>
        <w:tabs>
          <w:tab w:val="left" w:pos="0"/>
        </w:tabs>
        <w:spacing w:line="360" w:lineRule="auto"/>
        <w:ind w:firstLine="851"/>
        <w:jc w:val="both"/>
      </w:pPr>
    </w:p>
    <w:p w:rsidR="002F6C75" w:rsidRPr="00A70684" w:rsidRDefault="002F6C75" w:rsidP="00647E48">
      <w:pPr>
        <w:pStyle w:val="Prrafodelista"/>
        <w:numPr>
          <w:ilvl w:val="0"/>
          <w:numId w:val="18"/>
        </w:numPr>
        <w:spacing w:line="360" w:lineRule="auto"/>
        <w:jc w:val="both"/>
        <w:rPr>
          <w:rFonts w:cs="Arial"/>
          <w:b/>
        </w:rPr>
      </w:pPr>
      <w:r>
        <w:rPr>
          <w:rFonts w:cs="Arial"/>
          <w:b/>
        </w:rPr>
        <w:t xml:space="preserve">- Evaluación de </w:t>
      </w:r>
      <w:r w:rsidRPr="00A70684">
        <w:rPr>
          <w:rFonts w:cs="Arial"/>
          <w:b/>
        </w:rPr>
        <w:t>Control Interno</w:t>
      </w:r>
    </w:p>
    <w:p w:rsidR="002F6C75" w:rsidRDefault="002F6C75" w:rsidP="00647E48">
      <w:pPr>
        <w:spacing w:line="360" w:lineRule="auto"/>
        <w:jc w:val="both"/>
        <w:rPr>
          <w:rFonts w:cs="Arial"/>
          <w:bCs/>
          <w:szCs w:val="20"/>
          <w:lang w:val="es-UY"/>
        </w:rPr>
      </w:pPr>
      <w:r>
        <w:rPr>
          <w:rFonts w:cs="Arial"/>
          <w:bCs/>
          <w:szCs w:val="20"/>
        </w:rPr>
        <w:t>La evaluación de control interno fue realizada para establecer los procedimientos de auditoría que debían aplicarse como prueba de la eficacia de los controles implementados en relación con el objetivo de la auditoría practicada y no para emitir una opinión respecto del mismo.</w:t>
      </w:r>
    </w:p>
    <w:p w:rsidR="002F6C75" w:rsidRDefault="002F6C75" w:rsidP="00647E48">
      <w:pPr>
        <w:spacing w:line="360" w:lineRule="auto"/>
        <w:jc w:val="both"/>
        <w:rPr>
          <w:rFonts w:cs="Arial"/>
          <w:bCs/>
          <w:szCs w:val="20"/>
        </w:rPr>
      </w:pPr>
    </w:p>
    <w:p w:rsidR="002F6C75" w:rsidRPr="00C93E6D" w:rsidRDefault="002F6C75" w:rsidP="003F1415">
      <w:pPr>
        <w:pStyle w:val="Textoindependiente"/>
        <w:keepNext/>
        <w:widowControl w:val="0"/>
        <w:spacing w:line="360" w:lineRule="auto"/>
        <w:jc w:val="both"/>
        <w:rPr>
          <w:rFonts w:ascii="Arial" w:hAnsi="Arial" w:cs="Arial"/>
        </w:rPr>
      </w:pPr>
      <w:r w:rsidRPr="00C93E6D">
        <w:rPr>
          <w:rFonts w:ascii="Arial" w:hAnsi="Arial" w:cs="Arial"/>
          <w:bCs/>
        </w:rPr>
        <w:t xml:space="preserve">Su evaluación </w:t>
      </w:r>
      <w:r w:rsidRPr="00C93E6D">
        <w:rPr>
          <w:rFonts w:ascii="Arial" w:hAnsi="Arial" w:cs="Arial"/>
        </w:rPr>
        <w:t>permitió constatar las siguientes debilidades en relación a las actividades de control e información:</w:t>
      </w:r>
    </w:p>
    <w:p w:rsidR="002F6C75" w:rsidRDefault="002F6C75" w:rsidP="008B63AE">
      <w:pPr>
        <w:spacing w:line="360" w:lineRule="auto"/>
        <w:jc w:val="both"/>
        <w:rPr>
          <w:rFonts w:cs="Arial"/>
          <w:lang w:val="es-CO"/>
        </w:rPr>
      </w:pPr>
      <w:r w:rsidRPr="009049C9">
        <w:rPr>
          <w:rFonts w:cs="Arial"/>
          <w:b/>
          <w:spacing w:val="-1"/>
          <w:lang w:val="es-ES_tradnl"/>
        </w:rPr>
        <w:t>2.1</w:t>
      </w:r>
      <w:r>
        <w:rPr>
          <w:rFonts w:cs="Arial"/>
          <w:b/>
          <w:spacing w:val="-1"/>
        </w:rPr>
        <w:t xml:space="preserve"> </w:t>
      </w:r>
      <w:r>
        <w:rPr>
          <w:rFonts w:cs="Arial"/>
          <w:lang w:val="es-ES_tradnl"/>
        </w:rPr>
        <w:t>Se presentaron dos rendiciones de gastos fuera del plazo dispuesto por       el Artículo 132 del TOCAF y numeral 6 de la Ordenanza Nº 77 por U$S 7.660.</w:t>
      </w:r>
    </w:p>
    <w:p w:rsidR="002F6C75" w:rsidRDefault="002F6C75" w:rsidP="008B63AE">
      <w:pPr>
        <w:spacing w:line="360" w:lineRule="auto"/>
        <w:jc w:val="both"/>
        <w:rPr>
          <w:rFonts w:cs="Arial"/>
          <w:szCs w:val="20"/>
          <w:lang w:val="es-ES_tradnl" w:eastAsia="es-UY"/>
        </w:rPr>
      </w:pPr>
      <w:r w:rsidRPr="009049C9">
        <w:rPr>
          <w:rFonts w:cs="Arial"/>
          <w:b/>
          <w:lang w:val="es-CO"/>
        </w:rPr>
        <w:t>2.2</w:t>
      </w:r>
      <w:r>
        <w:rPr>
          <w:rFonts w:cs="Arial"/>
          <w:b/>
          <w:lang w:val="es-CO"/>
        </w:rPr>
        <w:t xml:space="preserve"> </w:t>
      </w:r>
      <w:r>
        <w:rPr>
          <w:rFonts w:cs="Arial"/>
          <w:szCs w:val="20"/>
          <w:lang w:val="es-ES_tradnl" w:eastAsia="es-UY"/>
        </w:rPr>
        <w:t>Se</w:t>
      </w:r>
      <w:r w:rsidRPr="008B63AE">
        <w:rPr>
          <w:rFonts w:cs="Arial"/>
          <w:szCs w:val="20"/>
          <w:lang w:val="es-ES_tradnl" w:eastAsia="es-UY"/>
        </w:rPr>
        <w:t xml:space="preserve"> constituyó la previsión por incobrabilidad de los créditos por ventas de dudoso cobro, pero no</w:t>
      </w:r>
      <w:r>
        <w:rPr>
          <w:rFonts w:cs="Arial"/>
          <w:szCs w:val="20"/>
          <w:lang w:val="es-ES_tradnl" w:eastAsia="es-UY"/>
        </w:rPr>
        <w:t xml:space="preserve"> se</w:t>
      </w:r>
      <w:r w:rsidRPr="008B63AE">
        <w:rPr>
          <w:rFonts w:cs="Arial"/>
          <w:szCs w:val="20"/>
          <w:lang w:val="es-ES_tradnl" w:eastAsia="es-UY"/>
        </w:rPr>
        <w:t xml:space="preserve"> reveló en notas a los estados financieros la naturaleza del mencionado ajuste conforme lo dispone la NIIF para PYMES en el párrafo 8.7.</w:t>
      </w:r>
    </w:p>
    <w:p w:rsidR="002F6C75" w:rsidRDefault="002F6C75" w:rsidP="009049C9">
      <w:pPr>
        <w:pStyle w:val="sangra3detindependiente3"/>
        <w:tabs>
          <w:tab w:val="num" w:pos="567"/>
        </w:tabs>
        <w:ind w:left="567" w:hanging="567"/>
        <w:rPr>
          <w:rFonts w:ascii="Arial" w:hAnsi="Arial" w:cs="Arial"/>
          <w:lang w:val="es-ES_tradnl"/>
        </w:rPr>
      </w:pPr>
    </w:p>
    <w:p w:rsidR="00CA6C01" w:rsidRPr="003F1415" w:rsidRDefault="00CA6C01" w:rsidP="009049C9">
      <w:pPr>
        <w:pStyle w:val="sangra3detindependiente3"/>
        <w:tabs>
          <w:tab w:val="num" w:pos="567"/>
        </w:tabs>
        <w:ind w:left="567" w:hanging="567"/>
        <w:rPr>
          <w:rFonts w:ascii="Arial" w:hAnsi="Arial" w:cs="Arial"/>
          <w:lang w:val="es-ES_tradnl"/>
        </w:rPr>
      </w:pPr>
    </w:p>
    <w:p w:rsidR="002F6C75" w:rsidRDefault="002F6C75" w:rsidP="00126291">
      <w:pPr>
        <w:tabs>
          <w:tab w:val="left" w:pos="426"/>
          <w:tab w:val="left" w:pos="709"/>
        </w:tabs>
        <w:spacing w:line="360" w:lineRule="auto"/>
        <w:ind w:firstLine="284"/>
        <w:jc w:val="both"/>
        <w:rPr>
          <w:b/>
          <w:bCs/>
        </w:rPr>
      </w:pPr>
      <w:r>
        <w:rPr>
          <w:b/>
          <w:bCs/>
        </w:rPr>
        <w:t>4- Recomendaciones</w:t>
      </w:r>
    </w:p>
    <w:p w:rsidR="002F6C75" w:rsidRDefault="002F6C75" w:rsidP="00500CC0">
      <w:pPr>
        <w:tabs>
          <w:tab w:val="left" w:pos="426"/>
        </w:tabs>
        <w:spacing w:line="360" w:lineRule="auto"/>
        <w:jc w:val="both"/>
        <w:rPr>
          <w:rFonts w:cs="Arial"/>
          <w:b/>
        </w:rPr>
      </w:pPr>
      <w:r>
        <w:rPr>
          <w:rFonts w:cs="Arial"/>
          <w:b/>
        </w:rPr>
        <w:t>4.1 Recomendaciones de ejercicios anteriores</w:t>
      </w:r>
    </w:p>
    <w:p w:rsidR="00CA6C01" w:rsidRDefault="00CA6C01" w:rsidP="00500CC0">
      <w:pPr>
        <w:tabs>
          <w:tab w:val="left" w:pos="426"/>
        </w:tabs>
        <w:spacing w:line="360" w:lineRule="auto"/>
        <w:jc w:val="both"/>
        <w:rPr>
          <w:rFonts w:cs="Arial"/>
          <w:b/>
        </w:rPr>
      </w:pPr>
    </w:p>
    <w:p w:rsidR="002F6C75" w:rsidRDefault="002F6C75" w:rsidP="00500CC0">
      <w:pPr>
        <w:spacing w:line="360" w:lineRule="auto"/>
        <w:jc w:val="both"/>
        <w:rPr>
          <w:rFonts w:cs="Arial"/>
          <w:b/>
        </w:rPr>
      </w:pPr>
      <w:r>
        <w:rPr>
          <w:rFonts w:cs="Arial"/>
          <w:b/>
        </w:rPr>
        <w:t>4.1.1 Cumplidas</w:t>
      </w:r>
    </w:p>
    <w:p w:rsidR="002F6C75" w:rsidRDefault="002F6C75" w:rsidP="00974E56">
      <w:pPr>
        <w:pStyle w:val="Bodyby"/>
        <w:numPr>
          <w:ilvl w:val="0"/>
          <w:numId w:val="12"/>
        </w:numPr>
        <w:spacing w:after="0" w:line="360" w:lineRule="auto"/>
        <w:ind w:left="714" w:hanging="357"/>
        <w:jc w:val="both"/>
        <w:rPr>
          <w:rFonts w:ascii="Arial" w:hAnsi="Arial" w:cs="Arial"/>
          <w:sz w:val="24"/>
          <w:szCs w:val="24"/>
        </w:rPr>
      </w:pPr>
      <w:r>
        <w:rPr>
          <w:rFonts w:ascii="Arial" w:hAnsi="Arial" w:cs="Arial"/>
          <w:sz w:val="24"/>
          <w:szCs w:val="24"/>
        </w:rPr>
        <w:t>Se informaron en notas a los estados financieros los bienes de terceros recibidos en comodato.</w:t>
      </w:r>
    </w:p>
    <w:p w:rsidR="002F6C75" w:rsidRPr="000B08A2" w:rsidRDefault="002F6C75" w:rsidP="00974E56">
      <w:pPr>
        <w:pStyle w:val="Bodyby"/>
        <w:numPr>
          <w:ilvl w:val="0"/>
          <w:numId w:val="12"/>
        </w:numPr>
        <w:spacing w:after="0" w:line="360" w:lineRule="auto"/>
        <w:ind w:left="714" w:hanging="357"/>
        <w:jc w:val="both"/>
        <w:rPr>
          <w:rFonts w:ascii="Arial" w:hAnsi="Arial" w:cs="Arial"/>
          <w:sz w:val="24"/>
          <w:szCs w:val="24"/>
        </w:rPr>
      </w:pPr>
      <w:r w:rsidRPr="000B08A2">
        <w:rPr>
          <w:rFonts w:ascii="Arial" w:hAnsi="Arial" w:cs="Arial"/>
          <w:sz w:val="24"/>
          <w:szCs w:val="24"/>
        </w:rPr>
        <w:t xml:space="preserve">Se asignó la revisión de las conciliaciones bancarias a la Auditoría Interna. Todas las conciliaciones bancarias confeccionadas por la Gerente de Economía y Finanzas del Ente contaron con la </w:t>
      </w:r>
      <w:r>
        <w:rPr>
          <w:rFonts w:ascii="Arial" w:hAnsi="Arial" w:cs="Arial"/>
          <w:sz w:val="24"/>
          <w:szCs w:val="24"/>
        </w:rPr>
        <w:t xml:space="preserve">revisión </w:t>
      </w:r>
      <w:r w:rsidRPr="000B08A2">
        <w:rPr>
          <w:rFonts w:ascii="Arial" w:hAnsi="Arial" w:cs="Arial"/>
          <w:sz w:val="24"/>
          <w:szCs w:val="24"/>
        </w:rPr>
        <w:t>de la Auditoría Interna.</w:t>
      </w:r>
    </w:p>
    <w:p w:rsidR="002F6C75" w:rsidRPr="000B08A2" w:rsidRDefault="002F6C75" w:rsidP="00974E56">
      <w:pPr>
        <w:pStyle w:val="Bodyby"/>
        <w:numPr>
          <w:ilvl w:val="0"/>
          <w:numId w:val="12"/>
        </w:numPr>
        <w:spacing w:after="0" w:line="360" w:lineRule="auto"/>
        <w:ind w:left="714" w:hanging="357"/>
        <w:jc w:val="both"/>
        <w:rPr>
          <w:rFonts w:ascii="Arial" w:hAnsi="Arial" w:cs="Arial"/>
          <w:sz w:val="24"/>
          <w:szCs w:val="24"/>
        </w:rPr>
      </w:pPr>
      <w:r w:rsidRPr="000B08A2">
        <w:rPr>
          <w:rFonts w:ascii="Arial" w:hAnsi="Arial" w:cs="Arial"/>
          <w:sz w:val="24"/>
          <w:szCs w:val="24"/>
        </w:rPr>
        <w:t>Se reglamentó el manejo y la reposición del fondo fijo asignado a la Gerencia de Dirección y Administración, estableciendo el monto mínimo con el cual puede operar. (Resolución de Directorio Nº 16.553 de fecha 30/09/15 que dispone que para el fondo fijo de $ 50.000 de Dirección y Administración el monto mínimo será de $ 10.000).</w:t>
      </w:r>
    </w:p>
    <w:p w:rsidR="002F6C75" w:rsidRDefault="002F6C75" w:rsidP="00974E56">
      <w:pPr>
        <w:pStyle w:val="Bodyby"/>
        <w:numPr>
          <w:ilvl w:val="0"/>
          <w:numId w:val="12"/>
        </w:numPr>
        <w:spacing w:after="0" w:line="360" w:lineRule="auto"/>
        <w:ind w:left="714" w:hanging="357"/>
        <w:jc w:val="both"/>
        <w:rPr>
          <w:rFonts w:ascii="Arial" w:hAnsi="Arial" w:cs="Arial"/>
          <w:sz w:val="24"/>
          <w:szCs w:val="24"/>
        </w:rPr>
      </w:pPr>
      <w:r>
        <w:rPr>
          <w:rFonts w:ascii="Arial" w:hAnsi="Arial" w:cs="Arial"/>
          <w:sz w:val="24"/>
          <w:szCs w:val="24"/>
        </w:rPr>
        <w:t xml:space="preserve">Fueron atendidas las recomendaciones efectuadas por la Auditoría Interna a efectos de subsanar las deficiencias del control interno en el manejo de las partidas abonadas a los servicios técnicos contratados en el exterior. Se elaboró por parte de la Gerencia de Jurídica del Ente un Legajo con detalle de los pagos de honorarios a los profesionales </w:t>
      </w:r>
      <w:proofErr w:type="spellStart"/>
      <w:r>
        <w:rPr>
          <w:rFonts w:ascii="Arial" w:hAnsi="Arial" w:cs="Arial"/>
          <w:sz w:val="24"/>
          <w:szCs w:val="24"/>
        </w:rPr>
        <w:t>patrocinantes</w:t>
      </w:r>
      <w:proofErr w:type="spellEnd"/>
      <w:r>
        <w:rPr>
          <w:rFonts w:ascii="Arial" w:hAnsi="Arial" w:cs="Arial"/>
          <w:sz w:val="24"/>
          <w:szCs w:val="24"/>
        </w:rPr>
        <w:t xml:space="preserve"> y representantes contratados por el Ente.</w:t>
      </w:r>
    </w:p>
    <w:p w:rsidR="002F6C75" w:rsidRDefault="002F6C75" w:rsidP="00974E56">
      <w:pPr>
        <w:pStyle w:val="Bodyby"/>
        <w:numPr>
          <w:ilvl w:val="0"/>
          <w:numId w:val="12"/>
        </w:numPr>
        <w:spacing w:after="0" w:line="360" w:lineRule="auto"/>
        <w:ind w:left="714" w:hanging="357"/>
        <w:jc w:val="both"/>
        <w:rPr>
          <w:rFonts w:ascii="Arial" w:hAnsi="Arial" w:cs="Arial"/>
          <w:sz w:val="24"/>
          <w:szCs w:val="24"/>
        </w:rPr>
      </w:pPr>
      <w:r>
        <w:rPr>
          <w:rFonts w:ascii="Arial" w:hAnsi="Arial" w:cs="Arial"/>
          <w:sz w:val="24"/>
          <w:szCs w:val="24"/>
        </w:rPr>
        <w:t>Se efectuó el cambio de imputación en la DGI de los pagos efectuados con el certificado de crédito 2013. Se constató que fuera procesada por la DGI.</w:t>
      </w:r>
    </w:p>
    <w:p w:rsidR="00CA6C01" w:rsidRPr="000B08A2" w:rsidRDefault="00CA6C01" w:rsidP="00CA6C01">
      <w:pPr>
        <w:pStyle w:val="Bodyby"/>
        <w:spacing w:after="0" w:line="360" w:lineRule="auto"/>
        <w:ind w:left="714"/>
        <w:jc w:val="both"/>
        <w:rPr>
          <w:rFonts w:ascii="Arial" w:hAnsi="Arial" w:cs="Arial"/>
          <w:sz w:val="24"/>
          <w:szCs w:val="24"/>
        </w:rPr>
      </w:pPr>
    </w:p>
    <w:p w:rsidR="002F6C75" w:rsidRDefault="002F6C75" w:rsidP="00500CC0">
      <w:pPr>
        <w:spacing w:line="360" w:lineRule="auto"/>
        <w:jc w:val="both"/>
        <w:rPr>
          <w:b/>
        </w:rPr>
      </w:pPr>
      <w:r>
        <w:rPr>
          <w:b/>
          <w:bCs/>
          <w:lang w:val="es-ES_tradnl"/>
        </w:rPr>
        <w:t>4</w:t>
      </w:r>
      <w:r w:rsidRPr="00B06179">
        <w:rPr>
          <w:b/>
          <w:bCs/>
          <w:lang w:val="es-ES_tradnl"/>
        </w:rPr>
        <w:t>.1.2</w:t>
      </w:r>
      <w:r>
        <w:rPr>
          <w:bCs/>
          <w:lang w:val="es-ES_tradnl"/>
        </w:rPr>
        <w:t xml:space="preserve"> </w:t>
      </w:r>
      <w:r>
        <w:rPr>
          <w:b/>
        </w:rPr>
        <w:t xml:space="preserve">No </w:t>
      </w:r>
      <w:proofErr w:type="gramStart"/>
      <w:r>
        <w:rPr>
          <w:b/>
        </w:rPr>
        <w:t>cumplidas</w:t>
      </w:r>
      <w:proofErr w:type="gramEnd"/>
    </w:p>
    <w:p w:rsidR="002F6C75" w:rsidRDefault="002F6C75" w:rsidP="00221835">
      <w:pPr>
        <w:tabs>
          <w:tab w:val="left" w:pos="709"/>
          <w:tab w:val="left" w:pos="851"/>
        </w:tabs>
        <w:spacing w:line="360" w:lineRule="auto"/>
        <w:jc w:val="both"/>
      </w:pPr>
      <w:r>
        <w:rPr>
          <w:b/>
        </w:rPr>
        <w:t xml:space="preserve">          </w:t>
      </w:r>
      <w:r>
        <w:t>PLUNA no dio cumplimiento a:</w:t>
      </w:r>
    </w:p>
    <w:p w:rsidR="002F6C75" w:rsidRDefault="002F6C75" w:rsidP="00974E56">
      <w:pPr>
        <w:pStyle w:val="Prrafodelista"/>
        <w:widowControl w:val="0"/>
        <w:numPr>
          <w:ilvl w:val="0"/>
          <w:numId w:val="13"/>
        </w:numPr>
        <w:spacing w:line="360" w:lineRule="auto"/>
        <w:jc w:val="both"/>
        <w:rPr>
          <w:rFonts w:cs="Arial"/>
          <w:lang w:val="es-ES_tradnl"/>
        </w:rPr>
      </w:pPr>
      <w:r>
        <w:rPr>
          <w:rFonts w:cs="Arial"/>
          <w:lang w:val="es-ES_tradnl"/>
        </w:rPr>
        <w:t>Revisar en forma periódica el valor residual y la vida útil de los bienes que componen el Activo Fijo.</w:t>
      </w:r>
    </w:p>
    <w:p w:rsidR="002F6C75" w:rsidRDefault="002F6C75" w:rsidP="00974E56">
      <w:pPr>
        <w:pStyle w:val="Prrafodelista"/>
        <w:widowControl w:val="0"/>
        <w:numPr>
          <w:ilvl w:val="0"/>
          <w:numId w:val="13"/>
        </w:numPr>
        <w:spacing w:line="360" w:lineRule="auto"/>
        <w:jc w:val="both"/>
        <w:rPr>
          <w:rFonts w:cs="Arial"/>
          <w:lang w:val="es-ES_tradnl"/>
        </w:rPr>
      </w:pPr>
      <w:r>
        <w:rPr>
          <w:rFonts w:cs="Arial"/>
          <w:lang w:val="es-ES_tradnl"/>
        </w:rPr>
        <w:t>Actualizar y controlar el plan de cuentas del Ente, teniendo en cuenta la claridad en la terminología utilizada y la homogeneidad en los agrupamientos realizados.</w:t>
      </w:r>
    </w:p>
    <w:p w:rsidR="002F6C75" w:rsidRDefault="002F6C75" w:rsidP="00974E56">
      <w:pPr>
        <w:pStyle w:val="Prrafodelista"/>
        <w:widowControl w:val="0"/>
        <w:numPr>
          <w:ilvl w:val="0"/>
          <w:numId w:val="13"/>
        </w:numPr>
        <w:spacing w:line="360" w:lineRule="auto"/>
        <w:jc w:val="both"/>
        <w:rPr>
          <w:rFonts w:cs="Arial"/>
          <w:lang w:val="es-ES_tradnl"/>
        </w:rPr>
      </w:pPr>
      <w:r>
        <w:rPr>
          <w:rFonts w:cs="Arial"/>
          <w:lang w:val="es-ES_tradnl"/>
        </w:rPr>
        <w:t>Elaborar los manuales de procedimientos para cada una de las áreas que integran la estructura organizacional del Ente.</w:t>
      </w:r>
    </w:p>
    <w:p w:rsidR="002F6C75" w:rsidRDefault="002F6C75" w:rsidP="00974E56">
      <w:pPr>
        <w:pStyle w:val="Prrafodelista"/>
        <w:widowControl w:val="0"/>
        <w:numPr>
          <w:ilvl w:val="0"/>
          <w:numId w:val="13"/>
        </w:numPr>
        <w:spacing w:line="360" w:lineRule="auto"/>
        <w:jc w:val="both"/>
        <w:rPr>
          <w:rFonts w:cs="Arial"/>
          <w:lang w:val="es-ES_tradnl"/>
        </w:rPr>
      </w:pPr>
      <w:r>
        <w:rPr>
          <w:rFonts w:cs="Arial"/>
          <w:lang w:val="es-ES_tradnl"/>
        </w:rPr>
        <w:t>Efectuar arqueos sorpresivos de los fondos y valores en custodia de la Tesorería, dejando constancia escrita en las Actas correspondientes.</w:t>
      </w:r>
    </w:p>
    <w:p w:rsidR="002F6C75" w:rsidRPr="008B63AE" w:rsidRDefault="002F6C75" w:rsidP="00046C09">
      <w:pPr>
        <w:pStyle w:val="Prrafodelista"/>
        <w:widowControl w:val="0"/>
        <w:numPr>
          <w:ilvl w:val="0"/>
          <w:numId w:val="13"/>
        </w:numPr>
        <w:spacing w:line="360" w:lineRule="auto"/>
        <w:ind w:left="624"/>
        <w:jc w:val="both"/>
        <w:rPr>
          <w:bCs/>
        </w:rPr>
      </w:pPr>
      <w:r w:rsidRPr="008B63AE">
        <w:rPr>
          <w:rFonts w:cs="Arial"/>
          <w:lang w:val="es-ES_tradnl"/>
        </w:rPr>
        <w:t xml:space="preserve">Efectuar el depósito de las cobranzas por convenio </w:t>
      </w:r>
      <w:proofErr w:type="spellStart"/>
      <w:r w:rsidRPr="008B63AE">
        <w:rPr>
          <w:rFonts w:cs="Arial"/>
          <w:lang w:val="es-ES_tradnl"/>
        </w:rPr>
        <w:t>Martinelli</w:t>
      </w:r>
      <w:proofErr w:type="spellEnd"/>
      <w:r w:rsidRPr="008B63AE">
        <w:rPr>
          <w:rFonts w:cs="Arial"/>
          <w:lang w:val="es-ES_tradnl"/>
        </w:rPr>
        <w:t>-PLUNA, los reintegros de viáticos y los remanentes devueltos por fondos sujetos a rendición, en la cuenta bancaria del Organismo y en un plazo no mayor a un mes de recibidos.</w:t>
      </w:r>
    </w:p>
    <w:p w:rsidR="002F6C75" w:rsidRPr="00DA73BF" w:rsidRDefault="002F6C75" w:rsidP="00046C09">
      <w:pPr>
        <w:spacing w:line="360" w:lineRule="auto"/>
        <w:ind w:left="624"/>
        <w:jc w:val="both"/>
        <w:rPr>
          <w:bCs/>
        </w:rPr>
      </w:pPr>
    </w:p>
    <w:p w:rsidR="002F6C75" w:rsidRDefault="002F6C75" w:rsidP="00500CC0">
      <w:pPr>
        <w:numPr>
          <w:ilvl w:val="1"/>
          <w:numId w:val="6"/>
        </w:numPr>
        <w:tabs>
          <w:tab w:val="left" w:pos="426"/>
        </w:tabs>
        <w:spacing w:line="360" w:lineRule="auto"/>
        <w:jc w:val="both"/>
        <w:rPr>
          <w:b/>
        </w:rPr>
      </w:pPr>
      <w:r>
        <w:rPr>
          <w:b/>
        </w:rPr>
        <w:t>Recomendaciones del presente ejercicio</w:t>
      </w:r>
    </w:p>
    <w:p w:rsidR="002F6C75" w:rsidRDefault="002F6C75" w:rsidP="00500CC0">
      <w:pPr>
        <w:pStyle w:val="Sangra3detindependiente"/>
        <w:spacing w:line="360" w:lineRule="auto"/>
        <w:ind w:left="240"/>
      </w:pPr>
      <w:r>
        <w:t>A las recomendaciones no cumplidas expuestas en el punto 4.1.2 se agregan las siguientes:</w:t>
      </w:r>
    </w:p>
    <w:p w:rsidR="002F6C75" w:rsidRDefault="002F6C75" w:rsidP="00500CC0">
      <w:pPr>
        <w:pStyle w:val="Sangra3detindependiente"/>
        <w:spacing w:line="360" w:lineRule="auto"/>
        <w:ind w:left="240"/>
      </w:pPr>
    </w:p>
    <w:p w:rsidR="002F6C75" w:rsidRDefault="002F6C75" w:rsidP="008B63AE">
      <w:pPr>
        <w:pStyle w:val="Sangra3detindependiente"/>
        <w:numPr>
          <w:ilvl w:val="0"/>
          <w:numId w:val="16"/>
        </w:numPr>
        <w:spacing w:line="360" w:lineRule="auto"/>
      </w:pPr>
      <w:r>
        <w:t>Atender el plazo de rendición de cuenta y valores establecido por el Artículo 132 del TOCAF y numeral 6 de la Ordenanza Nº 77. (2.1)</w:t>
      </w:r>
    </w:p>
    <w:p w:rsidR="002F6C75" w:rsidRDefault="002F6C75" w:rsidP="008B63AE">
      <w:pPr>
        <w:pStyle w:val="Sangra3detindependiente"/>
        <w:numPr>
          <w:ilvl w:val="0"/>
          <w:numId w:val="16"/>
        </w:numPr>
        <w:spacing w:line="360" w:lineRule="auto"/>
      </w:pPr>
      <w:r>
        <w:t>Revelar en notas la naturaleza de los ajustes en el importe en libros de los créditos por ventas. (2.2)</w:t>
      </w:r>
    </w:p>
    <w:p w:rsidR="002F6C75" w:rsidRDefault="002F6C75" w:rsidP="008B63AE">
      <w:pPr>
        <w:pStyle w:val="Sangra3detindependiente"/>
        <w:numPr>
          <w:ilvl w:val="0"/>
          <w:numId w:val="16"/>
        </w:numPr>
        <w:spacing w:line="360" w:lineRule="auto"/>
      </w:pPr>
      <w:r>
        <w:t>Publicar los estados financieros conforme lo dispone e</w:t>
      </w:r>
      <w:r w:rsidR="00B93C42">
        <w:t>l Artículo 1 de la Ley 17.040.</w:t>
      </w:r>
    </w:p>
    <w:p w:rsidR="002F6C75" w:rsidRDefault="002F6C75" w:rsidP="00500CC0">
      <w:pPr>
        <w:pStyle w:val="Sangradetextonormal"/>
        <w:tabs>
          <w:tab w:val="left" w:pos="4962"/>
        </w:tabs>
        <w:ind w:left="0"/>
        <w:jc w:val="right"/>
      </w:pPr>
      <w:r>
        <w:t>Montevideo, 24 de agosto de 20</w:t>
      </w:r>
      <w:r w:rsidR="00B93C42">
        <w:t>16</w:t>
      </w:r>
    </w:p>
    <w:p w:rsidR="00B93C42" w:rsidRDefault="00B93C42" w:rsidP="00B93C42">
      <w:pPr>
        <w:pStyle w:val="Sangradetextonormal"/>
        <w:tabs>
          <w:tab w:val="left" w:pos="4962"/>
        </w:tabs>
        <w:ind w:left="0"/>
      </w:pPr>
    </w:p>
    <w:p w:rsidR="00B93C42" w:rsidRDefault="00B93C42" w:rsidP="00B93C42">
      <w:pPr>
        <w:pStyle w:val="Sangradetextonormal"/>
        <w:tabs>
          <w:tab w:val="left" w:pos="4962"/>
        </w:tabs>
        <w:ind w:left="0"/>
      </w:pPr>
    </w:p>
    <w:p w:rsidR="002F6C75" w:rsidRPr="00B93C42" w:rsidRDefault="00B93C42" w:rsidP="00046C09">
      <w:pPr>
        <w:pStyle w:val="Sangradetextonormal"/>
        <w:tabs>
          <w:tab w:val="left" w:pos="4962"/>
        </w:tabs>
        <w:ind w:left="0"/>
      </w:pPr>
      <w:proofErr w:type="spellStart"/>
      <w:proofErr w:type="gramStart"/>
      <w:r>
        <w:t>ag</w:t>
      </w:r>
      <w:proofErr w:type="spellEnd"/>
      <w:proofErr w:type="gramEnd"/>
    </w:p>
    <w:sectPr w:rsidR="002F6C75" w:rsidRPr="00B93C42" w:rsidSect="00413087">
      <w:headerReference w:type="default" r:id="rId9"/>
      <w:footerReference w:type="even" r:id="rId10"/>
      <w:footerReference w:type="default" r:id="rId11"/>
      <w:pgSz w:w="11906" w:h="16838" w:code="9"/>
      <w:pgMar w:top="3402" w:right="1701" w:bottom="1418" w:left="1701" w:header="0"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2CC" w:rsidRDefault="005A72CC">
      <w:r>
        <w:separator/>
      </w:r>
    </w:p>
  </w:endnote>
  <w:endnote w:type="continuationSeparator" w:id="0">
    <w:p w:rsidR="005A72CC" w:rsidRDefault="005A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CC" w:rsidRDefault="005A72C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A72CC" w:rsidRDefault="005A72CC">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CC" w:rsidRDefault="005A72CC" w:rsidP="00500CC0">
    <w:pPr>
      <w:pStyle w:val="Piedepgina"/>
      <w:ind w:right="360" w:firstLine="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2CC" w:rsidRDefault="005A72CC">
      <w:r>
        <w:separator/>
      </w:r>
    </w:p>
  </w:footnote>
  <w:footnote w:type="continuationSeparator" w:id="0">
    <w:p w:rsidR="005A72CC" w:rsidRDefault="005A7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CC" w:rsidRDefault="005A72CC" w:rsidP="00500CC0">
    <w:pPr>
      <w:pStyle w:val="Encabezado"/>
      <w:spacing w:line="360" w:lineRule="auto"/>
      <w:rPr>
        <w:sz w:val="22"/>
        <w:szCs w:val="22"/>
        <w:lang w:val="es-U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AD1EE68A"/>
    <w:name w:val="WW8Num6"/>
    <w:lvl w:ilvl="0">
      <w:start w:val="2"/>
      <w:numFmt w:val="decimal"/>
      <w:pStyle w:val="Continuarlista1"/>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
    <w:nsid w:val="00E345B3"/>
    <w:multiLevelType w:val="multilevel"/>
    <w:tmpl w:val="57D061FA"/>
    <w:lvl w:ilvl="0">
      <w:start w:val="1"/>
      <w:numFmt w:val="decimal"/>
      <w:lvlText w:val="%1)"/>
      <w:lvlJc w:val="left"/>
      <w:pPr>
        <w:tabs>
          <w:tab w:val="num" w:pos="360"/>
        </w:tabs>
        <w:ind w:left="340" w:hanging="340"/>
      </w:pPr>
      <w:rPr>
        <w:rFonts w:ascii="Arial" w:hAnsi="Arial" w:hint="default"/>
        <w:b/>
        <w:i w:val="0"/>
        <w:sz w:val="24"/>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037B2397"/>
    <w:multiLevelType w:val="multilevel"/>
    <w:tmpl w:val="2E46889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3E760FB"/>
    <w:multiLevelType w:val="multilevel"/>
    <w:tmpl w:val="F8E6382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5C288F"/>
    <w:multiLevelType w:val="hybridMultilevel"/>
    <w:tmpl w:val="A0A67CB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5">
    <w:nsid w:val="0F722B2F"/>
    <w:multiLevelType w:val="hybridMultilevel"/>
    <w:tmpl w:val="BC8CDDEE"/>
    <w:lvl w:ilvl="0" w:tplc="90463E56">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6">
    <w:nsid w:val="1D0A2C92"/>
    <w:multiLevelType w:val="multilevel"/>
    <w:tmpl w:val="28CEEF60"/>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E695EC7"/>
    <w:multiLevelType w:val="multilevel"/>
    <w:tmpl w:val="8468EFA8"/>
    <w:lvl w:ilvl="0">
      <w:start w:val="1"/>
      <w:numFmt w:val="bullet"/>
      <w:lvlText w:val=""/>
      <w:lvlJc w:val="left"/>
      <w:pPr>
        <w:tabs>
          <w:tab w:val="num" w:pos="680"/>
        </w:tabs>
        <w:ind w:left="624" w:hanging="624"/>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0F74C1A"/>
    <w:multiLevelType w:val="hybridMultilevel"/>
    <w:tmpl w:val="5414FCC0"/>
    <w:lvl w:ilvl="0" w:tplc="380A0001">
      <w:start w:val="1"/>
      <w:numFmt w:val="bullet"/>
      <w:lvlText w:val=""/>
      <w:lvlJc w:val="left"/>
      <w:pPr>
        <w:ind w:left="644" w:hanging="360"/>
      </w:pPr>
      <w:rPr>
        <w:rFonts w:ascii="Symbol" w:hAnsi="Symbol" w:hint="default"/>
      </w:rPr>
    </w:lvl>
    <w:lvl w:ilvl="1" w:tplc="380A0003" w:tentative="1">
      <w:start w:val="1"/>
      <w:numFmt w:val="bullet"/>
      <w:lvlText w:val="o"/>
      <w:lvlJc w:val="left"/>
      <w:pPr>
        <w:ind w:left="1364" w:hanging="360"/>
      </w:pPr>
      <w:rPr>
        <w:rFonts w:ascii="Courier New" w:hAnsi="Courier New" w:cs="Courier New" w:hint="default"/>
      </w:rPr>
    </w:lvl>
    <w:lvl w:ilvl="2" w:tplc="380A0005" w:tentative="1">
      <w:start w:val="1"/>
      <w:numFmt w:val="bullet"/>
      <w:lvlText w:val=""/>
      <w:lvlJc w:val="left"/>
      <w:pPr>
        <w:ind w:left="2084" w:hanging="360"/>
      </w:pPr>
      <w:rPr>
        <w:rFonts w:ascii="Wingdings" w:hAnsi="Wingdings" w:hint="default"/>
      </w:rPr>
    </w:lvl>
    <w:lvl w:ilvl="3" w:tplc="380A0001" w:tentative="1">
      <w:start w:val="1"/>
      <w:numFmt w:val="bullet"/>
      <w:lvlText w:val=""/>
      <w:lvlJc w:val="left"/>
      <w:pPr>
        <w:ind w:left="2804" w:hanging="360"/>
      </w:pPr>
      <w:rPr>
        <w:rFonts w:ascii="Symbol" w:hAnsi="Symbol" w:hint="default"/>
      </w:rPr>
    </w:lvl>
    <w:lvl w:ilvl="4" w:tplc="380A0003" w:tentative="1">
      <w:start w:val="1"/>
      <w:numFmt w:val="bullet"/>
      <w:lvlText w:val="o"/>
      <w:lvlJc w:val="left"/>
      <w:pPr>
        <w:ind w:left="3524" w:hanging="360"/>
      </w:pPr>
      <w:rPr>
        <w:rFonts w:ascii="Courier New" w:hAnsi="Courier New" w:cs="Courier New" w:hint="default"/>
      </w:rPr>
    </w:lvl>
    <w:lvl w:ilvl="5" w:tplc="380A0005" w:tentative="1">
      <w:start w:val="1"/>
      <w:numFmt w:val="bullet"/>
      <w:lvlText w:val=""/>
      <w:lvlJc w:val="left"/>
      <w:pPr>
        <w:ind w:left="4244" w:hanging="360"/>
      </w:pPr>
      <w:rPr>
        <w:rFonts w:ascii="Wingdings" w:hAnsi="Wingdings" w:hint="default"/>
      </w:rPr>
    </w:lvl>
    <w:lvl w:ilvl="6" w:tplc="380A0001" w:tentative="1">
      <w:start w:val="1"/>
      <w:numFmt w:val="bullet"/>
      <w:lvlText w:val=""/>
      <w:lvlJc w:val="left"/>
      <w:pPr>
        <w:ind w:left="4964" w:hanging="360"/>
      </w:pPr>
      <w:rPr>
        <w:rFonts w:ascii="Symbol" w:hAnsi="Symbol" w:hint="default"/>
      </w:rPr>
    </w:lvl>
    <w:lvl w:ilvl="7" w:tplc="380A0003" w:tentative="1">
      <w:start w:val="1"/>
      <w:numFmt w:val="bullet"/>
      <w:lvlText w:val="o"/>
      <w:lvlJc w:val="left"/>
      <w:pPr>
        <w:ind w:left="5684" w:hanging="360"/>
      </w:pPr>
      <w:rPr>
        <w:rFonts w:ascii="Courier New" w:hAnsi="Courier New" w:cs="Courier New" w:hint="default"/>
      </w:rPr>
    </w:lvl>
    <w:lvl w:ilvl="8" w:tplc="380A0005" w:tentative="1">
      <w:start w:val="1"/>
      <w:numFmt w:val="bullet"/>
      <w:lvlText w:val=""/>
      <w:lvlJc w:val="left"/>
      <w:pPr>
        <w:ind w:left="6404" w:hanging="360"/>
      </w:pPr>
      <w:rPr>
        <w:rFonts w:ascii="Wingdings" w:hAnsi="Wingdings" w:hint="default"/>
      </w:rPr>
    </w:lvl>
  </w:abstractNum>
  <w:abstractNum w:abstractNumId="9">
    <w:nsid w:val="2D932D86"/>
    <w:multiLevelType w:val="hybridMultilevel"/>
    <w:tmpl w:val="A75E6402"/>
    <w:lvl w:ilvl="0" w:tplc="0C0A0001">
      <w:start w:val="1"/>
      <w:numFmt w:val="bullet"/>
      <w:lvlText w:val=""/>
      <w:lvlJc w:val="left"/>
      <w:pPr>
        <w:tabs>
          <w:tab w:val="num" w:pos="855"/>
        </w:tabs>
        <w:ind w:left="855" w:hanging="360"/>
      </w:pPr>
      <w:rPr>
        <w:rFonts w:ascii="Symbol" w:hAnsi="Symbol" w:hint="default"/>
      </w:rPr>
    </w:lvl>
    <w:lvl w:ilvl="1" w:tplc="080E615A">
      <w:numFmt w:val="bullet"/>
      <w:lvlText w:val="-"/>
      <w:lvlJc w:val="left"/>
      <w:pPr>
        <w:tabs>
          <w:tab w:val="num" w:pos="1575"/>
        </w:tabs>
        <w:ind w:left="1575" w:hanging="360"/>
      </w:pPr>
      <w:rPr>
        <w:rFonts w:ascii="Times New Roman" w:eastAsia="Times New Roman" w:hAnsi="Times New Roman" w:cs="Times New Roman" w:hint="default"/>
      </w:rPr>
    </w:lvl>
    <w:lvl w:ilvl="2" w:tplc="0C0A0001">
      <w:start w:val="1"/>
      <w:numFmt w:val="bullet"/>
      <w:lvlText w:val=""/>
      <w:lvlJc w:val="left"/>
      <w:pPr>
        <w:tabs>
          <w:tab w:val="num" w:pos="2295"/>
        </w:tabs>
        <w:ind w:left="2295" w:hanging="360"/>
      </w:pPr>
      <w:rPr>
        <w:rFonts w:ascii="Symbol" w:hAnsi="Symbol"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10">
    <w:nsid w:val="35495E5A"/>
    <w:multiLevelType w:val="hybridMultilevel"/>
    <w:tmpl w:val="E6FAC802"/>
    <w:lvl w:ilvl="0" w:tplc="380A0001">
      <w:start w:val="1"/>
      <w:numFmt w:val="bullet"/>
      <w:lvlText w:val=""/>
      <w:lvlJc w:val="left"/>
      <w:pPr>
        <w:ind w:left="960" w:hanging="360"/>
      </w:pPr>
      <w:rPr>
        <w:rFonts w:ascii="Symbol" w:hAnsi="Symbol" w:hint="default"/>
      </w:rPr>
    </w:lvl>
    <w:lvl w:ilvl="1" w:tplc="380A0003" w:tentative="1">
      <w:start w:val="1"/>
      <w:numFmt w:val="bullet"/>
      <w:lvlText w:val="o"/>
      <w:lvlJc w:val="left"/>
      <w:pPr>
        <w:ind w:left="1680" w:hanging="360"/>
      </w:pPr>
      <w:rPr>
        <w:rFonts w:ascii="Courier New" w:hAnsi="Courier New" w:cs="Courier New" w:hint="default"/>
      </w:rPr>
    </w:lvl>
    <w:lvl w:ilvl="2" w:tplc="380A0005" w:tentative="1">
      <w:start w:val="1"/>
      <w:numFmt w:val="bullet"/>
      <w:lvlText w:val=""/>
      <w:lvlJc w:val="left"/>
      <w:pPr>
        <w:ind w:left="2400" w:hanging="360"/>
      </w:pPr>
      <w:rPr>
        <w:rFonts w:ascii="Wingdings" w:hAnsi="Wingdings" w:hint="default"/>
      </w:rPr>
    </w:lvl>
    <w:lvl w:ilvl="3" w:tplc="380A0001" w:tentative="1">
      <w:start w:val="1"/>
      <w:numFmt w:val="bullet"/>
      <w:lvlText w:val=""/>
      <w:lvlJc w:val="left"/>
      <w:pPr>
        <w:ind w:left="3120" w:hanging="360"/>
      </w:pPr>
      <w:rPr>
        <w:rFonts w:ascii="Symbol" w:hAnsi="Symbol" w:hint="default"/>
      </w:rPr>
    </w:lvl>
    <w:lvl w:ilvl="4" w:tplc="380A0003" w:tentative="1">
      <w:start w:val="1"/>
      <w:numFmt w:val="bullet"/>
      <w:lvlText w:val="o"/>
      <w:lvlJc w:val="left"/>
      <w:pPr>
        <w:ind w:left="3840" w:hanging="360"/>
      </w:pPr>
      <w:rPr>
        <w:rFonts w:ascii="Courier New" w:hAnsi="Courier New" w:cs="Courier New" w:hint="default"/>
      </w:rPr>
    </w:lvl>
    <w:lvl w:ilvl="5" w:tplc="380A0005" w:tentative="1">
      <w:start w:val="1"/>
      <w:numFmt w:val="bullet"/>
      <w:lvlText w:val=""/>
      <w:lvlJc w:val="left"/>
      <w:pPr>
        <w:ind w:left="4560" w:hanging="360"/>
      </w:pPr>
      <w:rPr>
        <w:rFonts w:ascii="Wingdings" w:hAnsi="Wingdings" w:hint="default"/>
      </w:rPr>
    </w:lvl>
    <w:lvl w:ilvl="6" w:tplc="380A0001" w:tentative="1">
      <w:start w:val="1"/>
      <w:numFmt w:val="bullet"/>
      <w:lvlText w:val=""/>
      <w:lvlJc w:val="left"/>
      <w:pPr>
        <w:ind w:left="5280" w:hanging="360"/>
      </w:pPr>
      <w:rPr>
        <w:rFonts w:ascii="Symbol" w:hAnsi="Symbol" w:hint="default"/>
      </w:rPr>
    </w:lvl>
    <w:lvl w:ilvl="7" w:tplc="380A0003" w:tentative="1">
      <w:start w:val="1"/>
      <w:numFmt w:val="bullet"/>
      <w:lvlText w:val="o"/>
      <w:lvlJc w:val="left"/>
      <w:pPr>
        <w:ind w:left="6000" w:hanging="360"/>
      </w:pPr>
      <w:rPr>
        <w:rFonts w:ascii="Courier New" w:hAnsi="Courier New" w:cs="Courier New" w:hint="default"/>
      </w:rPr>
    </w:lvl>
    <w:lvl w:ilvl="8" w:tplc="380A0005" w:tentative="1">
      <w:start w:val="1"/>
      <w:numFmt w:val="bullet"/>
      <w:lvlText w:val=""/>
      <w:lvlJc w:val="left"/>
      <w:pPr>
        <w:ind w:left="6720" w:hanging="360"/>
      </w:pPr>
      <w:rPr>
        <w:rFonts w:ascii="Wingdings" w:hAnsi="Wingdings" w:hint="default"/>
      </w:rPr>
    </w:lvl>
  </w:abstractNum>
  <w:abstractNum w:abstractNumId="11">
    <w:nsid w:val="3C3A3A18"/>
    <w:multiLevelType w:val="hybridMultilevel"/>
    <w:tmpl w:val="EA66D74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2">
    <w:nsid w:val="48245595"/>
    <w:multiLevelType w:val="multilevel"/>
    <w:tmpl w:val="D4ECF7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A6C4A5B"/>
    <w:multiLevelType w:val="hybridMultilevel"/>
    <w:tmpl w:val="B0682E48"/>
    <w:lvl w:ilvl="0" w:tplc="9426192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nsid w:val="54B145F9"/>
    <w:multiLevelType w:val="hybridMultilevel"/>
    <w:tmpl w:val="DA28C22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5">
    <w:nsid w:val="6F7E099B"/>
    <w:multiLevelType w:val="hybridMultilevel"/>
    <w:tmpl w:val="BE007DC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6">
    <w:nsid w:val="7A9A2A10"/>
    <w:multiLevelType w:val="hybridMultilevel"/>
    <w:tmpl w:val="3A60E066"/>
    <w:lvl w:ilvl="0" w:tplc="CE423C2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7">
    <w:nsid w:val="7BE55560"/>
    <w:multiLevelType w:val="hybridMultilevel"/>
    <w:tmpl w:val="8A7092E2"/>
    <w:lvl w:ilvl="0" w:tplc="6012EAD0">
      <w:start w:val="3"/>
      <w:numFmt w:val="decimal"/>
      <w:lvlText w:val="%1)"/>
      <w:lvlJc w:val="left"/>
      <w:pPr>
        <w:ind w:left="502" w:hanging="360"/>
      </w:pPr>
      <w:rPr>
        <w:rFonts w:hint="default"/>
        <w:b/>
      </w:rPr>
    </w:lvl>
    <w:lvl w:ilvl="1" w:tplc="380A0019" w:tentative="1">
      <w:start w:val="1"/>
      <w:numFmt w:val="lowerLetter"/>
      <w:lvlText w:val="%2."/>
      <w:lvlJc w:val="left"/>
      <w:pPr>
        <w:ind w:left="1222" w:hanging="360"/>
      </w:pPr>
    </w:lvl>
    <w:lvl w:ilvl="2" w:tplc="380A001B" w:tentative="1">
      <w:start w:val="1"/>
      <w:numFmt w:val="lowerRoman"/>
      <w:lvlText w:val="%3."/>
      <w:lvlJc w:val="right"/>
      <w:pPr>
        <w:ind w:left="1942" w:hanging="180"/>
      </w:pPr>
    </w:lvl>
    <w:lvl w:ilvl="3" w:tplc="380A000F" w:tentative="1">
      <w:start w:val="1"/>
      <w:numFmt w:val="decimal"/>
      <w:lvlText w:val="%4."/>
      <w:lvlJc w:val="left"/>
      <w:pPr>
        <w:ind w:left="2662" w:hanging="360"/>
      </w:pPr>
    </w:lvl>
    <w:lvl w:ilvl="4" w:tplc="380A0019" w:tentative="1">
      <w:start w:val="1"/>
      <w:numFmt w:val="lowerLetter"/>
      <w:lvlText w:val="%5."/>
      <w:lvlJc w:val="left"/>
      <w:pPr>
        <w:ind w:left="3382" w:hanging="360"/>
      </w:pPr>
    </w:lvl>
    <w:lvl w:ilvl="5" w:tplc="380A001B" w:tentative="1">
      <w:start w:val="1"/>
      <w:numFmt w:val="lowerRoman"/>
      <w:lvlText w:val="%6."/>
      <w:lvlJc w:val="right"/>
      <w:pPr>
        <w:ind w:left="4102" w:hanging="180"/>
      </w:pPr>
    </w:lvl>
    <w:lvl w:ilvl="6" w:tplc="380A000F" w:tentative="1">
      <w:start w:val="1"/>
      <w:numFmt w:val="decimal"/>
      <w:lvlText w:val="%7."/>
      <w:lvlJc w:val="left"/>
      <w:pPr>
        <w:ind w:left="4822" w:hanging="360"/>
      </w:pPr>
    </w:lvl>
    <w:lvl w:ilvl="7" w:tplc="380A0019" w:tentative="1">
      <w:start w:val="1"/>
      <w:numFmt w:val="lowerLetter"/>
      <w:lvlText w:val="%8."/>
      <w:lvlJc w:val="left"/>
      <w:pPr>
        <w:ind w:left="5542" w:hanging="360"/>
      </w:pPr>
    </w:lvl>
    <w:lvl w:ilvl="8" w:tplc="380A001B" w:tentative="1">
      <w:start w:val="1"/>
      <w:numFmt w:val="lowerRoman"/>
      <w:lvlText w:val="%9."/>
      <w:lvlJc w:val="right"/>
      <w:pPr>
        <w:ind w:left="6262" w:hanging="180"/>
      </w:pPr>
    </w:lvl>
  </w:abstractNum>
  <w:num w:numId="1">
    <w:abstractNumId w:val="1"/>
  </w:num>
  <w:num w:numId="2">
    <w:abstractNumId w:val="9"/>
  </w:num>
  <w:num w:numId="3">
    <w:abstractNumId w:val="7"/>
  </w:num>
  <w:num w:numId="4">
    <w:abstractNumId w:val="4"/>
  </w:num>
  <w:num w:numId="5">
    <w:abstractNumId w:val="15"/>
  </w:num>
  <w:num w:numId="6">
    <w:abstractNumId w:val="12"/>
  </w:num>
  <w:num w:numId="7">
    <w:abstractNumId w:val="1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1"/>
  </w:num>
  <w:num w:numId="12">
    <w:abstractNumId w:val="14"/>
  </w:num>
  <w:num w:numId="13">
    <w:abstractNumId w:val="8"/>
  </w:num>
  <w:num w:numId="14">
    <w:abstractNumId w:val="6"/>
  </w:num>
  <w:num w:numId="15">
    <w:abstractNumId w:val="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D8"/>
    <w:rsid w:val="00011039"/>
    <w:rsid w:val="00033075"/>
    <w:rsid w:val="00040A41"/>
    <w:rsid w:val="00042874"/>
    <w:rsid w:val="00043FD5"/>
    <w:rsid w:val="00046C09"/>
    <w:rsid w:val="000771D8"/>
    <w:rsid w:val="000D5EFD"/>
    <w:rsid w:val="001112C4"/>
    <w:rsid w:val="00113DE4"/>
    <w:rsid w:val="00126291"/>
    <w:rsid w:val="00143CB0"/>
    <w:rsid w:val="00160871"/>
    <w:rsid w:val="00221835"/>
    <w:rsid w:val="00244540"/>
    <w:rsid w:val="002C28AC"/>
    <w:rsid w:val="002F6C75"/>
    <w:rsid w:val="00334223"/>
    <w:rsid w:val="00341004"/>
    <w:rsid w:val="00344E60"/>
    <w:rsid w:val="00374C5A"/>
    <w:rsid w:val="00382954"/>
    <w:rsid w:val="003837C3"/>
    <w:rsid w:val="003D4061"/>
    <w:rsid w:val="003F1415"/>
    <w:rsid w:val="003F61AE"/>
    <w:rsid w:val="00413087"/>
    <w:rsid w:val="004874E8"/>
    <w:rsid w:val="004D499A"/>
    <w:rsid w:val="004E0158"/>
    <w:rsid w:val="00500CC0"/>
    <w:rsid w:val="005040E4"/>
    <w:rsid w:val="0051745C"/>
    <w:rsid w:val="00542301"/>
    <w:rsid w:val="00592124"/>
    <w:rsid w:val="005A72CC"/>
    <w:rsid w:val="00635A63"/>
    <w:rsid w:val="006406AB"/>
    <w:rsid w:val="006439D7"/>
    <w:rsid w:val="00647E48"/>
    <w:rsid w:val="00681CB3"/>
    <w:rsid w:val="006A14E6"/>
    <w:rsid w:val="006A1DE3"/>
    <w:rsid w:val="006A29B4"/>
    <w:rsid w:val="006B3768"/>
    <w:rsid w:val="006D5957"/>
    <w:rsid w:val="007045E6"/>
    <w:rsid w:val="00722613"/>
    <w:rsid w:val="00737A4E"/>
    <w:rsid w:val="00766F6D"/>
    <w:rsid w:val="007863D9"/>
    <w:rsid w:val="007E3839"/>
    <w:rsid w:val="00827E88"/>
    <w:rsid w:val="008A562C"/>
    <w:rsid w:val="008B63AE"/>
    <w:rsid w:val="009024F8"/>
    <w:rsid w:val="009049C9"/>
    <w:rsid w:val="009452A5"/>
    <w:rsid w:val="009734DB"/>
    <w:rsid w:val="00974E56"/>
    <w:rsid w:val="009C47B2"/>
    <w:rsid w:val="009D5808"/>
    <w:rsid w:val="00A51AAC"/>
    <w:rsid w:val="00A70684"/>
    <w:rsid w:val="00A83803"/>
    <w:rsid w:val="00A83EBC"/>
    <w:rsid w:val="00A96C09"/>
    <w:rsid w:val="00AF63D1"/>
    <w:rsid w:val="00B40820"/>
    <w:rsid w:val="00B52965"/>
    <w:rsid w:val="00B93C42"/>
    <w:rsid w:val="00C11891"/>
    <w:rsid w:val="00C266ED"/>
    <w:rsid w:val="00C77483"/>
    <w:rsid w:val="00C93E6D"/>
    <w:rsid w:val="00C96531"/>
    <w:rsid w:val="00C97772"/>
    <w:rsid w:val="00CA6C01"/>
    <w:rsid w:val="00CD5362"/>
    <w:rsid w:val="00CE360D"/>
    <w:rsid w:val="00DA73BF"/>
    <w:rsid w:val="00DC2514"/>
    <w:rsid w:val="00DD1C1C"/>
    <w:rsid w:val="00DF1276"/>
    <w:rsid w:val="00E03EFA"/>
    <w:rsid w:val="00E04F42"/>
    <w:rsid w:val="00E3002D"/>
    <w:rsid w:val="00E335C2"/>
    <w:rsid w:val="00F3394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D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0CC0"/>
    <w:pPr>
      <w:keepNext/>
      <w:spacing w:after="260" w:line="360" w:lineRule="auto"/>
      <w:jc w:val="both"/>
      <w:outlineLvl w:val="0"/>
    </w:pPr>
    <w:rPr>
      <w:b/>
    </w:rPr>
  </w:style>
  <w:style w:type="paragraph" w:styleId="Ttulo2">
    <w:name w:val="heading 2"/>
    <w:basedOn w:val="Normal"/>
    <w:next w:val="Normal"/>
    <w:link w:val="Ttulo2Car"/>
    <w:qFormat/>
    <w:rsid w:val="00500CC0"/>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771D8"/>
    <w:pPr>
      <w:tabs>
        <w:tab w:val="center" w:pos="4252"/>
        <w:tab w:val="right" w:pos="8504"/>
      </w:tabs>
    </w:pPr>
  </w:style>
  <w:style w:type="character" w:customStyle="1" w:styleId="EncabezadoCar">
    <w:name w:val="Encabezado Car"/>
    <w:basedOn w:val="Fuentedeprrafopredeter"/>
    <w:link w:val="Encabezado"/>
    <w:rsid w:val="000771D8"/>
    <w:rPr>
      <w:rFonts w:ascii="Arial" w:eastAsia="Times New Roman" w:hAnsi="Arial" w:cs="Times New Roman"/>
      <w:sz w:val="24"/>
      <w:szCs w:val="24"/>
      <w:lang w:val="es-ES" w:eastAsia="es-ES"/>
    </w:rPr>
  </w:style>
  <w:style w:type="paragraph" w:styleId="Piedepgina">
    <w:name w:val="footer"/>
    <w:basedOn w:val="Normal"/>
    <w:link w:val="PiedepginaCar"/>
    <w:semiHidden/>
    <w:rsid w:val="000771D8"/>
    <w:pPr>
      <w:tabs>
        <w:tab w:val="center" w:pos="4252"/>
        <w:tab w:val="right" w:pos="8504"/>
      </w:tabs>
    </w:pPr>
  </w:style>
  <w:style w:type="character" w:customStyle="1" w:styleId="PiedepginaCar">
    <w:name w:val="Pie de página Car"/>
    <w:basedOn w:val="Fuentedeprrafopredeter"/>
    <w:link w:val="Piedepgina"/>
    <w:semiHidden/>
    <w:rsid w:val="000771D8"/>
    <w:rPr>
      <w:rFonts w:ascii="Arial" w:eastAsia="Times New Roman" w:hAnsi="Arial" w:cs="Times New Roman"/>
      <w:sz w:val="24"/>
      <w:szCs w:val="24"/>
      <w:lang w:val="es-ES" w:eastAsia="es-ES"/>
    </w:rPr>
  </w:style>
  <w:style w:type="character" w:styleId="Nmerodepgina">
    <w:name w:val="page number"/>
    <w:basedOn w:val="Fuentedeprrafopredeter"/>
    <w:semiHidden/>
    <w:rsid w:val="000771D8"/>
  </w:style>
  <w:style w:type="character" w:customStyle="1" w:styleId="Ttulo1Car">
    <w:name w:val="Título 1 Car"/>
    <w:basedOn w:val="Fuentedeprrafopredeter"/>
    <w:link w:val="Ttulo1"/>
    <w:rsid w:val="00500CC0"/>
    <w:rPr>
      <w:rFonts w:ascii="Arial" w:eastAsia="Times New Roman" w:hAnsi="Arial" w:cs="Times New Roman"/>
      <w:b/>
      <w:sz w:val="24"/>
      <w:szCs w:val="24"/>
      <w:lang w:val="es-ES" w:eastAsia="es-ES"/>
    </w:rPr>
  </w:style>
  <w:style w:type="paragraph" w:styleId="Sangradetextonormal">
    <w:name w:val="Body Text Indent"/>
    <w:basedOn w:val="Normal"/>
    <w:link w:val="SangradetextonormalCar"/>
    <w:semiHidden/>
    <w:rsid w:val="00500CC0"/>
    <w:pPr>
      <w:ind w:left="360"/>
    </w:pPr>
    <w:rPr>
      <w:rFonts w:cs="Arial"/>
    </w:rPr>
  </w:style>
  <w:style w:type="character" w:customStyle="1" w:styleId="SangradetextonormalCar">
    <w:name w:val="Sangría de texto normal Car"/>
    <w:basedOn w:val="Fuentedeprrafopredeter"/>
    <w:link w:val="Sangradetextonormal"/>
    <w:semiHidden/>
    <w:rsid w:val="00500CC0"/>
    <w:rPr>
      <w:rFonts w:ascii="Arial" w:eastAsia="Times New Roman" w:hAnsi="Arial" w:cs="Arial"/>
      <w:sz w:val="24"/>
      <w:szCs w:val="24"/>
      <w:lang w:val="es-ES" w:eastAsia="es-ES"/>
    </w:rPr>
  </w:style>
  <w:style w:type="paragraph" w:styleId="Ttulo">
    <w:name w:val="Title"/>
    <w:basedOn w:val="Normal"/>
    <w:link w:val="TtuloCar"/>
    <w:qFormat/>
    <w:rsid w:val="00500CC0"/>
    <w:pPr>
      <w:jc w:val="center"/>
    </w:pPr>
    <w:rPr>
      <w:b/>
      <w:sz w:val="20"/>
      <w:szCs w:val="20"/>
      <w:lang w:val="es-ES_tradnl"/>
    </w:rPr>
  </w:style>
  <w:style w:type="character" w:customStyle="1" w:styleId="TtuloCar">
    <w:name w:val="Título Car"/>
    <w:basedOn w:val="Fuentedeprrafopredeter"/>
    <w:link w:val="Ttulo"/>
    <w:rsid w:val="00500CC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semiHidden/>
    <w:rsid w:val="00500CC0"/>
    <w:pPr>
      <w:spacing w:after="120"/>
    </w:pPr>
    <w:rPr>
      <w:sz w:val="16"/>
      <w:szCs w:val="16"/>
    </w:rPr>
  </w:style>
  <w:style w:type="character" w:customStyle="1" w:styleId="Textoindependiente3Car">
    <w:name w:val="Texto independiente 3 Car"/>
    <w:basedOn w:val="Fuentedeprrafopredeter"/>
    <w:link w:val="Textoindependiente3"/>
    <w:semiHidden/>
    <w:rsid w:val="00500CC0"/>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500CC0"/>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500CC0"/>
    <w:pPr>
      <w:spacing w:line="360" w:lineRule="auto"/>
      <w:jc w:val="both"/>
    </w:pPr>
    <w:rPr>
      <w:lang w:val="es-ES_tradnl"/>
    </w:rPr>
  </w:style>
  <w:style w:type="character" w:customStyle="1" w:styleId="Textoindependiente2Car">
    <w:name w:val="Texto independiente 2 Car"/>
    <w:basedOn w:val="Fuentedeprrafopredeter"/>
    <w:link w:val="Textoindependiente2"/>
    <w:semiHidden/>
    <w:rsid w:val="00500CC0"/>
    <w:rPr>
      <w:rFonts w:ascii="Arial" w:eastAsia="Times New Roman" w:hAnsi="Arial" w:cs="Times New Roman"/>
      <w:sz w:val="24"/>
      <w:szCs w:val="24"/>
      <w:lang w:val="es-ES_tradnl" w:eastAsia="es-ES"/>
    </w:rPr>
  </w:style>
  <w:style w:type="paragraph" w:styleId="Sangra2detindependiente">
    <w:name w:val="Body Text Indent 2"/>
    <w:basedOn w:val="Normal"/>
    <w:link w:val="Sangra2detindependienteCar"/>
    <w:semiHidden/>
    <w:rsid w:val="00500CC0"/>
    <w:pPr>
      <w:spacing w:line="360" w:lineRule="auto"/>
      <w:ind w:left="720"/>
      <w:jc w:val="both"/>
    </w:pPr>
    <w:rPr>
      <w:szCs w:val="20"/>
    </w:rPr>
  </w:style>
  <w:style w:type="character" w:customStyle="1" w:styleId="Sangra2detindependienteCar">
    <w:name w:val="Sangría 2 de t. independiente Car"/>
    <w:basedOn w:val="Fuentedeprrafopredeter"/>
    <w:link w:val="Sangra2detindependiente"/>
    <w:semiHidden/>
    <w:rsid w:val="00500CC0"/>
    <w:rPr>
      <w:rFonts w:ascii="Arial" w:eastAsia="Times New Roman" w:hAnsi="Arial" w:cs="Times New Roman"/>
      <w:sz w:val="24"/>
      <w:szCs w:val="20"/>
      <w:lang w:val="es-ES" w:eastAsia="es-ES"/>
    </w:rPr>
  </w:style>
  <w:style w:type="paragraph" w:styleId="Sangra3detindependiente">
    <w:name w:val="Body Text Indent 3"/>
    <w:basedOn w:val="Normal"/>
    <w:link w:val="Sangra3detindependienteCar"/>
    <w:semiHidden/>
    <w:rsid w:val="00500CC0"/>
    <w:pPr>
      <w:ind w:left="360"/>
      <w:jc w:val="both"/>
    </w:pPr>
    <w:rPr>
      <w:rFonts w:cs="Arial"/>
    </w:rPr>
  </w:style>
  <w:style w:type="character" w:customStyle="1" w:styleId="Sangra3detindependienteCar">
    <w:name w:val="Sangría 3 de t. independiente Car"/>
    <w:basedOn w:val="Fuentedeprrafopredeter"/>
    <w:link w:val="Sangra3detindependiente"/>
    <w:semiHidden/>
    <w:rsid w:val="00500CC0"/>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500CC0"/>
    <w:rPr>
      <w:rFonts w:ascii="Bookman Old Style" w:hAnsi="Bookman Old Style"/>
      <w:szCs w:val="20"/>
      <w:lang w:val="es-ES_tradnl"/>
    </w:rPr>
  </w:style>
  <w:style w:type="character" w:customStyle="1" w:styleId="TextoindependienteCar">
    <w:name w:val="Texto independiente Car"/>
    <w:basedOn w:val="Fuentedeprrafopredeter"/>
    <w:link w:val="Textoindependiente"/>
    <w:semiHidden/>
    <w:rsid w:val="00500CC0"/>
    <w:rPr>
      <w:rFonts w:ascii="Bookman Old Style" w:eastAsia="Times New Roman" w:hAnsi="Bookman Old Style" w:cs="Times New Roman"/>
      <w:sz w:val="24"/>
      <w:szCs w:val="20"/>
      <w:lang w:val="es-ES_tradnl" w:eastAsia="es-ES"/>
    </w:rPr>
  </w:style>
  <w:style w:type="paragraph" w:styleId="Prrafodelista">
    <w:name w:val="List Paragraph"/>
    <w:basedOn w:val="Normal"/>
    <w:uiPriority w:val="34"/>
    <w:qFormat/>
    <w:rsid w:val="00500CC0"/>
    <w:pPr>
      <w:ind w:left="720"/>
      <w:contextualSpacing/>
    </w:pPr>
  </w:style>
  <w:style w:type="character" w:customStyle="1" w:styleId="apple-converted-space">
    <w:name w:val="apple-converted-space"/>
    <w:basedOn w:val="Fuentedeprrafopredeter"/>
    <w:rsid w:val="009049C9"/>
  </w:style>
  <w:style w:type="paragraph" w:customStyle="1" w:styleId="Continuarlista1">
    <w:name w:val="Continuar lista1"/>
    <w:basedOn w:val="Normal"/>
    <w:rsid w:val="009049C9"/>
    <w:pPr>
      <w:numPr>
        <w:numId w:val="9"/>
      </w:numPr>
      <w:suppressAutoHyphens/>
      <w:spacing w:after="120"/>
    </w:pPr>
    <w:rPr>
      <w:rFonts w:ascii="Times New Roman" w:hAnsi="Times New Roman"/>
      <w:lang w:eastAsia="ar-SA"/>
    </w:rPr>
  </w:style>
  <w:style w:type="paragraph" w:customStyle="1" w:styleId="Textoindependiente1">
    <w:name w:val="Texto independiente1"/>
    <w:basedOn w:val="Normal"/>
    <w:rsid w:val="009049C9"/>
    <w:pPr>
      <w:suppressAutoHyphens/>
      <w:spacing w:before="120" w:after="120"/>
      <w:jc w:val="both"/>
    </w:pPr>
    <w:rPr>
      <w:rFonts w:ascii="Helvetica" w:hAnsi="Helvetica"/>
      <w:sz w:val="20"/>
      <w:szCs w:val="20"/>
      <w:lang w:val="es-ES_tradnl" w:eastAsia="ar-SA"/>
    </w:rPr>
  </w:style>
  <w:style w:type="paragraph" w:customStyle="1" w:styleId="sangra3detindependiente3">
    <w:name w:val="sangra3detindependiente3"/>
    <w:basedOn w:val="Normal"/>
    <w:rsid w:val="009049C9"/>
    <w:pPr>
      <w:spacing w:line="360" w:lineRule="auto"/>
      <w:ind w:left="426"/>
      <w:jc w:val="both"/>
    </w:pPr>
    <w:rPr>
      <w:rFonts w:ascii="Bookman Old Style" w:hAnsi="Bookman Old Style"/>
    </w:rPr>
  </w:style>
  <w:style w:type="paragraph" w:customStyle="1" w:styleId="Bodyby">
    <w:name w:val="Body.by"/>
    <w:basedOn w:val="Normal"/>
    <w:rsid w:val="009049C9"/>
    <w:pPr>
      <w:spacing w:after="260" w:line="260" w:lineRule="exact"/>
    </w:pPr>
    <w:rPr>
      <w:rFonts w:ascii="Times" w:hAnsi="Times"/>
      <w:sz w:val="22"/>
      <w:szCs w:val="20"/>
      <w:lang w:eastAsia="es-UY"/>
    </w:rPr>
  </w:style>
  <w:style w:type="character" w:styleId="nfasis">
    <w:name w:val="Emphasis"/>
    <w:basedOn w:val="Fuentedeprrafopredeter"/>
    <w:uiPriority w:val="20"/>
    <w:qFormat/>
    <w:rsid w:val="009049C9"/>
    <w:rPr>
      <w:i/>
      <w:iCs/>
    </w:rPr>
  </w:style>
  <w:style w:type="paragraph" w:styleId="Textodeglobo">
    <w:name w:val="Balloon Text"/>
    <w:basedOn w:val="Normal"/>
    <w:link w:val="TextodegloboCar"/>
    <w:uiPriority w:val="99"/>
    <w:semiHidden/>
    <w:unhideWhenUsed/>
    <w:rsid w:val="0072261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61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D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0CC0"/>
    <w:pPr>
      <w:keepNext/>
      <w:spacing w:after="260" w:line="360" w:lineRule="auto"/>
      <w:jc w:val="both"/>
      <w:outlineLvl w:val="0"/>
    </w:pPr>
    <w:rPr>
      <w:b/>
    </w:rPr>
  </w:style>
  <w:style w:type="paragraph" w:styleId="Ttulo2">
    <w:name w:val="heading 2"/>
    <w:basedOn w:val="Normal"/>
    <w:next w:val="Normal"/>
    <w:link w:val="Ttulo2Car"/>
    <w:qFormat/>
    <w:rsid w:val="00500CC0"/>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771D8"/>
    <w:pPr>
      <w:tabs>
        <w:tab w:val="center" w:pos="4252"/>
        <w:tab w:val="right" w:pos="8504"/>
      </w:tabs>
    </w:pPr>
  </w:style>
  <w:style w:type="character" w:customStyle="1" w:styleId="EncabezadoCar">
    <w:name w:val="Encabezado Car"/>
    <w:basedOn w:val="Fuentedeprrafopredeter"/>
    <w:link w:val="Encabezado"/>
    <w:rsid w:val="000771D8"/>
    <w:rPr>
      <w:rFonts w:ascii="Arial" w:eastAsia="Times New Roman" w:hAnsi="Arial" w:cs="Times New Roman"/>
      <w:sz w:val="24"/>
      <w:szCs w:val="24"/>
      <w:lang w:val="es-ES" w:eastAsia="es-ES"/>
    </w:rPr>
  </w:style>
  <w:style w:type="paragraph" w:styleId="Piedepgina">
    <w:name w:val="footer"/>
    <w:basedOn w:val="Normal"/>
    <w:link w:val="PiedepginaCar"/>
    <w:semiHidden/>
    <w:rsid w:val="000771D8"/>
    <w:pPr>
      <w:tabs>
        <w:tab w:val="center" w:pos="4252"/>
        <w:tab w:val="right" w:pos="8504"/>
      </w:tabs>
    </w:pPr>
  </w:style>
  <w:style w:type="character" w:customStyle="1" w:styleId="PiedepginaCar">
    <w:name w:val="Pie de página Car"/>
    <w:basedOn w:val="Fuentedeprrafopredeter"/>
    <w:link w:val="Piedepgina"/>
    <w:semiHidden/>
    <w:rsid w:val="000771D8"/>
    <w:rPr>
      <w:rFonts w:ascii="Arial" w:eastAsia="Times New Roman" w:hAnsi="Arial" w:cs="Times New Roman"/>
      <w:sz w:val="24"/>
      <w:szCs w:val="24"/>
      <w:lang w:val="es-ES" w:eastAsia="es-ES"/>
    </w:rPr>
  </w:style>
  <w:style w:type="character" w:styleId="Nmerodepgina">
    <w:name w:val="page number"/>
    <w:basedOn w:val="Fuentedeprrafopredeter"/>
    <w:semiHidden/>
    <w:rsid w:val="000771D8"/>
  </w:style>
  <w:style w:type="character" w:customStyle="1" w:styleId="Ttulo1Car">
    <w:name w:val="Título 1 Car"/>
    <w:basedOn w:val="Fuentedeprrafopredeter"/>
    <w:link w:val="Ttulo1"/>
    <w:rsid w:val="00500CC0"/>
    <w:rPr>
      <w:rFonts w:ascii="Arial" w:eastAsia="Times New Roman" w:hAnsi="Arial" w:cs="Times New Roman"/>
      <w:b/>
      <w:sz w:val="24"/>
      <w:szCs w:val="24"/>
      <w:lang w:val="es-ES" w:eastAsia="es-ES"/>
    </w:rPr>
  </w:style>
  <w:style w:type="paragraph" w:styleId="Sangradetextonormal">
    <w:name w:val="Body Text Indent"/>
    <w:basedOn w:val="Normal"/>
    <w:link w:val="SangradetextonormalCar"/>
    <w:semiHidden/>
    <w:rsid w:val="00500CC0"/>
    <w:pPr>
      <w:ind w:left="360"/>
    </w:pPr>
    <w:rPr>
      <w:rFonts w:cs="Arial"/>
    </w:rPr>
  </w:style>
  <w:style w:type="character" w:customStyle="1" w:styleId="SangradetextonormalCar">
    <w:name w:val="Sangría de texto normal Car"/>
    <w:basedOn w:val="Fuentedeprrafopredeter"/>
    <w:link w:val="Sangradetextonormal"/>
    <w:semiHidden/>
    <w:rsid w:val="00500CC0"/>
    <w:rPr>
      <w:rFonts w:ascii="Arial" w:eastAsia="Times New Roman" w:hAnsi="Arial" w:cs="Arial"/>
      <w:sz w:val="24"/>
      <w:szCs w:val="24"/>
      <w:lang w:val="es-ES" w:eastAsia="es-ES"/>
    </w:rPr>
  </w:style>
  <w:style w:type="paragraph" w:styleId="Ttulo">
    <w:name w:val="Title"/>
    <w:basedOn w:val="Normal"/>
    <w:link w:val="TtuloCar"/>
    <w:qFormat/>
    <w:rsid w:val="00500CC0"/>
    <w:pPr>
      <w:jc w:val="center"/>
    </w:pPr>
    <w:rPr>
      <w:b/>
      <w:sz w:val="20"/>
      <w:szCs w:val="20"/>
      <w:lang w:val="es-ES_tradnl"/>
    </w:rPr>
  </w:style>
  <w:style w:type="character" w:customStyle="1" w:styleId="TtuloCar">
    <w:name w:val="Título Car"/>
    <w:basedOn w:val="Fuentedeprrafopredeter"/>
    <w:link w:val="Ttulo"/>
    <w:rsid w:val="00500CC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semiHidden/>
    <w:rsid w:val="00500CC0"/>
    <w:pPr>
      <w:spacing w:after="120"/>
    </w:pPr>
    <w:rPr>
      <w:sz w:val="16"/>
      <w:szCs w:val="16"/>
    </w:rPr>
  </w:style>
  <w:style w:type="character" w:customStyle="1" w:styleId="Textoindependiente3Car">
    <w:name w:val="Texto independiente 3 Car"/>
    <w:basedOn w:val="Fuentedeprrafopredeter"/>
    <w:link w:val="Textoindependiente3"/>
    <w:semiHidden/>
    <w:rsid w:val="00500CC0"/>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500CC0"/>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500CC0"/>
    <w:pPr>
      <w:spacing w:line="360" w:lineRule="auto"/>
      <w:jc w:val="both"/>
    </w:pPr>
    <w:rPr>
      <w:lang w:val="es-ES_tradnl"/>
    </w:rPr>
  </w:style>
  <w:style w:type="character" w:customStyle="1" w:styleId="Textoindependiente2Car">
    <w:name w:val="Texto independiente 2 Car"/>
    <w:basedOn w:val="Fuentedeprrafopredeter"/>
    <w:link w:val="Textoindependiente2"/>
    <w:semiHidden/>
    <w:rsid w:val="00500CC0"/>
    <w:rPr>
      <w:rFonts w:ascii="Arial" w:eastAsia="Times New Roman" w:hAnsi="Arial" w:cs="Times New Roman"/>
      <w:sz w:val="24"/>
      <w:szCs w:val="24"/>
      <w:lang w:val="es-ES_tradnl" w:eastAsia="es-ES"/>
    </w:rPr>
  </w:style>
  <w:style w:type="paragraph" w:styleId="Sangra2detindependiente">
    <w:name w:val="Body Text Indent 2"/>
    <w:basedOn w:val="Normal"/>
    <w:link w:val="Sangra2detindependienteCar"/>
    <w:semiHidden/>
    <w:rsid w:val="00500CC0"/>
    <w:pPr>
      <w:spacing w:line="360" w:lineRule="auto"/>
      <w:ind w:left="720"/>
      <w:jc w:val="both"/>
    </w:pPr>
    <w:rPr>
      <w:szCs w:val="20"/>
    </w:rPr>
  </w:style>
  <w:style w:type="character" w:customStyle="1" w:styleId="Sangra2detindependienteCar">
    <w:name w:val="Sangría 2 de t. independiente Car"/>
    <w:basedOn w:val="Fuentedeprrafopredeter"/>
    <w:link w:val="Sangra2detindependiente"/>
    <w:semiHidden/>
    <w:rsid w:val="00500CC0"/>
    <w:rPr>
      <w:rFonts w:ascii="Arial" w:eastAsia="Times New Roman" w:hAnsi="Arial" w:cs="Times New Roman"/>
      <w:sz w:val="24"/>
      <w:szCs w:val="20"/>
      <w:lang w:val="es-ES" w:eastAsia="es-ES"/>
    </w:rPr>
  </w:style>
  <w:style w:type="paragraph" w:styleId="Sangra3detindependiente">
    <w:name w:val="Body Text Indent 3"/>
    <w:basedOn w:val="Normal"/>
    <w:link w:val="Sangra3detindependienteCar"/>
    <w:semiHidden/>
    <w:rsid w:val="00500CC0"/>
    <w:pPr>
      <w:ind w:left="360"/>
      <w:jc w:val="both"/>
    </w:pPr>
    <w:rPr>
      <w:rFonts w:cs="Arial"/>
    </w:rPr>
  </w:style>
  <w:style w:type="character" w:customStyle="1" w:styleId="Sangra3detindependienteCar">
    <w:name w:val="Sangría 3 de t. independiente Car"/>
    <w:basedOn w:val="Fuentedeprrafopredeter"/>
    <w:link w:val="Sangra3detindependiente"/>
    <w:semiHidden/>
    <w:rsid w:val="00500CC0"/>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500CC0"/>
    <w:rPr>
      <w:rFonts w:ascii="Bookman Old Style" w:hAnsi="Bookman Old Style"/>
      <w:szCs w:val="20"/>
      <w:lang w:val="es-ES_tradnl"/>
    </w:rPr>
  </w:style>
  <w:style w:type="character" w:customStyle="1" w:styleId="TextoindependienteCar">
    <w:name w:val="Texto independiente Car"/>
    <w:basedOn w:val="Fuentedeprrafopredeter"/>
    <w:link w:val="Textoindependiente"/>
    <w:semiHidden/>
    <w:rsid w:val="00500CC0"/>
    <w:rPr>
      <w:rFonts w:ascii="Bookman Old Style" w:eastAsia="Times New Roman" w:hAnsi="Bookman Old Style" w:cs="Times New Roman"/>
      <w:sz w:val="24"/>
      <w:szCs w:val="20"/>
      <w:lang w:val="es-ES_tradnl" w:eastAsia="es-ES"/>
    </w:rPr>
  </w:style>
  <w:style w:type="paragraph" w:styleId="Prrafodelista">
    <w:name w:val="List Paragraph"/>
    <w:basedOn w:val="Normal"/>
    <w:uiPriority w:val="34"/>
    <w:qFormat/>
    <w:rsid w:val="00500CC0"/>
    <w:pPr>
      <w:ind w:left="720"/>
      <w:contextualSpacing/>
    </w:pPr>
  </w:style>
  <w:style w:type="character" w:customStyle="1" w:styleId="apple-converted-space">
    <w:name w:val="apple-converted-space"/>
    <w:basedOn w:val="Fuentedeprrafopredeter"/>
    <w:rsid w:val="009049C9"/>
  </w:style>
  <w:style w:type="paragraph" w:customStyle="1" w:styleId="Continuarlista1">
    <w:name w:val="Continuar lista1"/>
    <w:basedOn w:val="Normal"/>
    <w:rsid w:val="009049C9"/>
    <w:pPr>
      <w:numPr>
        <w:numId w:val="9"/>
      </w:numPr>
      <w:suppressAutoHyphens/>
      <w:spacing w:after="120"/>
    </w:pPr>
    <w:rPr>
      <w:rFonts w:ascii="Times New Roman" w:hAnsi="Times New Roman"/>
      <w:lang w:eastAsia="ar-SA"/>
    </w:rPr>
  </w:style>
  <w:style w:type="paragraph" w:customStyle="1" w:styleId="Textoindependiente1">
    <w:name w:val="Texto independiente1"/>
    <w:basedOn w:val="Normal"/>
    <w:rsid w:val="009049C9"/>
    <w:pPr>
      <w:suppressAutoHyphens/>
      <w:spacing w:before="120" w:after="120"/>
      <w:jc w:val="both"/>
    </w:pPr>
    <w:rPr>
      <w:rFonts w:ascii="Helvetica" w:hAnsi="Helvetica"/>
      <w:sz w:val="20"/>
      <w:szCs w:val="20"/>
      <w:lang w:val="es-ES_tradnl" w:eastAsia="ar-SA"/>
    </w:rPr>
  </w:style>
  <w:style w:type="paragraph" w:customStyle="1" w:styleId="sangra3detindependiente3">
    <w:name w:val="sangra3detindependiente3"/>
    <w:basedOn w:val="Normal"/>
    <w:rsid w:val="009049C9"/>
    <w:pPr>
      <w:spacing w:line="360" w:lineRule="auto"/>
      <w:ind w:left="426"/>
      <w:jc w:val="both"/>
    </w:pPr>
    <w:rPr>
      <w:rFonts w:ascii="Bookman Old Style" w:hAnsi="Bookman Old Style"/>
    </w:rPr>
  </w:style>
  <w:style w:type="paragraph" w:customStyle="1" w:styleId="Bodyby">
    <w:name w:val="Body.by"/>
    <w:basedOn w:val="Normal"/>
    <w:rsid w:val="009049C9"/>
    <w:pPr>
      <w:spacing w:after="260" w:line="260" w:lineRule="exact"/>
    </w:pPr>
    <w:rPr>
      <w:rFonts w:ascii="Times" w:hAnsi="Times"/>
      <w:sz w:val="22"/>
      <w:szCs w:val="20"/>
      <w:lang w:eastAsia="es-UY"/>
    </w:rPr>
  </w:style>
  <w:style w:type="character" w:styleId="nfasis">
    <w:name w:val="Emphasis"/>
    <w:basedOn w:val="Fuentedeprrafopredeter"/>
    <w:uiPriority w:val="20"/>
    <w:qFormat/>
    <w:rsid w:val="009049C9"/>
    <w:rPr>
      <w:i/>
      <w:iCs/>
    </w:rPr>
  </w:style>
  <w:style w:type="paragraph" w:styleId="Textodeglobo">
    <w:name w:val="Balloon Text"/>
    <w:basedOn w:val="Normal"/>
    <w:link w:val="TextodegloboCar"/>
    <w:uiPriority w:val="99"/>
    <w:semiHidden/>
    <w:unhideWhenUsed/>
    <w:rsid w:val="0072261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61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956">
      <w:bodyDiv w:val="1"/>
      <w:marLeft w:val="0"/>
      <w:marRight w:val="0"/>
      <w:marTop w:val="0"/>
      <w:marBottom w:val="0"/>
      <w:divBdr>
        <w:top w:val="none" w:sz="0" w:space="0" w:color="auto"/>
        <w:left w:val="none" w:sz="0" w:space="0" w:color="auto"/>
        <w:bottom w:val="none" w:sz="0" w:space="0" w:color="auto"/>
        <w:right w:val="none" w:sz="0" w:space="0" w:color="auto"/>
      </w:divBdr>
    </w:div>
    <w:div w:id="1373504808">
      <w:bodyDiv w:val="1"/>
      <w:marLeft w:val="0"/>
      <w:marRight w:val="0"/>
      <w:marTop w:val="0"/>
      <w:marBottom w:val="0"/>
      <w:divBdr>
        <w:top w:val="none" w:sz="0" w:space="0" w:color="auto"/>
        <w:left w:val="none" w:sz="0" w:space="0" w:color="auto"/>
        <w:bottom w:val="none" w:sz="0" w:space="0" w:color="auto"/>
        <w:right w:val="none" w:sz="0" w:space="0" w:color="auto"/>
      </w:divBdr>
    </w:div>
    <w:div w:id="1473207728">
      <w:bodyDiv w:val="1"/>
      <w:marLeft w:val="0"/>
      <w:marRight w:val="0"/>
      <w:marTop w:val="0"/>
      <w:marBottom w:val="0"/>
      <w:divBdr>
        <w:top w:val="none" w:sz="0" w:space="0" w:color="auto"/>
        <w:left w:val="none" w:sz="0" w:space="0" w:color="auto"/>
        <w:bottom w:val="none" w:sz="0" w:space="0" w:color="auto"/>
        <w:right w:val="none" w:sz="0" w:space="0" w:color="auto"/>
      </w:divBdr>
    </w:div>
    <w:div w:id="1592548022">
      <w:bodyDiv w:val="1"/>
      <w:marLeft w:val="0"/>
      <w:marRight w:val="0"/>
      <w:marTop w:val="0"/>
      <w:marBottom w:val="0"/>
      <w:divBdr>
        <w:top w:val="none" w:sz="0" w:space="0" w:color="auto"/>
        <w:left w:val="none" w:sz="0" w:space="0" w:color="auto"/>
        <w:bottom w:val="none" w:sz="0" w:space="0" w:color="auto"/>
        <w:right w:val="none" w:sz="0" w:space="0" w:color="auto"/>
      </w:divBdr>
    </w:div>
    <w:div w:id="1776516568">
      <w:bodyDiv w:val="1"/>
      <w:marLeft w:val="0"/>
      <w:marRight w:val="0"/>
      <w:marTop w:val="0"/>
      <w:marBottom w:val="0"/>
      <w:divBdr>
        <w:top w:val="none" w:sz="0" w:space="0" w:color="auto"/>
        <w:left w:val="none" w:sz="0" w:space="0" w:color="auto"/>
        <w:bottom w:val="none" w:sz="0" w:space="0" w:color="auto"/>
        <w:right w:val="none" w:sz="0" w:space="0" w:color="auto"/>
      </w:divBdr>
    </w:div>
    <w:div w:id="2053730362">
      <w:bodyDiv w:val="1"/>
      <w:marLeft w:val="0"/>
      <w:marRight w:val="0"/>
      <w:marTop w:val="0"/>
      <w:marBottom w:val="0"/>
      <w:divBdr>
        <w:top w:val="none" w:sz="0" w:space="0" w:color="auto"/>
        <w:left w:val="none" w:sz="0" w:space="0" w:color="auto"/>
        <w:bottom w:val="none" w:sz="0" w:space="0" w:color="auto"/>
        <w:right w:val="none" w:sz="0" w:space="0" w:color="auto"/>
      </w:divBdr>
    </w:div>
    <w:div w:id="21182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5A063-F0F5-4F90-8B48-978E9CF7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1536</Words>
  <Characters>8453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Castro</dc:creator>
  <cp:lastModifiedBy> </cp:lastModifiedBy>
  <cp:revision>24</cp:revision>
  <cp:lastPrinted>2016-09-15T13:36:00Z</cp:lastPrinted>
  <dcterms:created xsi:type="dcterms:W3CDTF">2016-09-14T17:11:00Z</dcterms:created>
  <dcterms:modified xsi:type="dcterms:W3CDTF">2017-01-20T16:01:00Z</dcterms:modified>
</cp:coreProperties>
</file>