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42" w:rsidRPr="00205A42" w:rsidRDefault="00205A42" w:rsidP="00205A4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205A42">
        <w:rPr>
          <w:rFonts w:ascii="Arial" w:hAnsi="Arial" w:cs="Arial"/>
          <w:b/>
          <w:sz w:val="28"/>
          <w:szCs w:val="28"/>
          <w:lang w:val="es-ES_tradnl"/>
        </w:rPr>
        <w:t>RES. 407</w:t>
      </w:r>
      <w:r w:rsidR="001B5649">
        <w:rPr>
          <w:rFonts w:ascii="Arial" w:hAnsi="Arial" w:cs="Arial"/>
          <w:b/>
          <w:sz w:val="28"/>
          <w:szCs w:val="28"/>
          <w:lang w:val="es-ES_tradnl"/>
        </w:rPr>
        <w:t>9</w:t>
      </w:r>
      <w:r w:rsidRPr="00205A42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05A42" w:rsidRPr="00205A42" w:rsidRDefault="00205A42" w:rsidP="00205A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205A42" w:rsidRPr="00B96800" w:rsidRDefault="00205A42" w:rsidP="00205A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680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05A42" w:rsidRPr="00B96800" w:rsidRDefault="00205A42" w:rsidP="00205A4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05A42" w:rsidRPr="00B96800" w:rsidRDefault="00205A42" w:rsidP="00205A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680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05A42" w:rsidRPr="00B96800" w:rsidRDefault="00205A42" w:rsidP="00205A4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05A42" w:rsidRPr="00B96800" w:rsidRDefault="00205A42" w:rsidP="00205A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6800">
        <w:rPr>
          <w:rFonts w:ascii="Arial" w:hAnsi="Arial" w:cs="Arial"/>
          <w:b/>
          <w:sz w:val="24"/>
          <w:szCs w:val="24"/>
          <w:lang w:val="es-ES_tradnl"/>
        </w:rPr>
        <w:t>EN SESION DE FECHA 23 DE NOVIEMBRE DE 2016</w:t>
      </w:r>
    </w:p>
    <w:p w:rsidR="00205A42" w:rsidRPr="00B96800" w:rsidRDefault="00205A42" w:rsidP="00205A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05A42" w:rsidRPr="001B5649" w:rsidRDefault="00205A42" w:rsidP="00205A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B5649">
        <w:rPr>
          <w:rFonts w:ascii="Arial" w:hAnsi="Arial" w:cs="Arial"/>
          <w:b/>
          <w:sz w:val="24"/>
          <w:szCs w:val="24"/>
          <w:lang w:val="es-UY"/>
        </w:rPr>
        <w:t>(E. E. Nº 2013-17-1-000</w:t>
      </w:r>
      <w:r w:rsidR="001B5649" w:rsidRPr="001B5649">
        <w:rPr>
          <w:rFonts w:ascii="Arial" w:hAnsi="Arial" w:cs="Arial"/>
          <w:b/>
          <w:sz w:val="24"/>
          <w:szCs w:val="24"/>
          <w:lang w:val="es-UY"/>
        </w:rPr>
        <w:t>0637</w:t>
      </w:r>
      <w:r w:rsidRPr="001B5649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1B5649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B5649">
        <w:rPr>
          <w:rFonts w:ascii="Arial" w:hAnsi="Arial" w:cs="Arial"/>
          <w:b/>
          <w:sz w:val="24"/>
          <w:szCs w:val="24"/>
          <w:lang w:val="es-UY"/>
        </w:rPr>
        <w:t>. N° 5</w:t>
      </w:r>
      <w:r w:rsidR="001B5649">
        <w:rPr>
          <w:rFonts w:ascii="Arial" w:hAnsi="Arial" w:cs="Arial"/>
          <w:b/>
          <w:sz w:val="24"/>
          <w:szCs w:val="24"/>
          <w:lang w:val="es-UY"/>
        </w:rPr>
        <w:t>684</w:t>
      </w:r>
      <w:r w:rsidRPr="001B5649">
        <w:rPr>
          <w:rFonts w:ascii="Arial" w:hAnsi="Arial" w:cs="Arial"/>
          <w:b/>
          <w:sz w:val="24"/>
          <w:szCs w:val="24"/>
          <w:lang w:val="es-UY"/>
        </w:rPr>
        <w:t>/16)</w:t>
      </w:r>
    </w:p>
    <w:p w:rsidR="00205A42" w:rsidRPr="001B5649" w:rsidRDefault="00205A42" w:rsidP="00205A42">
      <w:pPr>
        <w:tabs>
          <w:tab w:val="center" w:pos="4253"/>
        </w:tabs>
        <w:suppressAutoHyphens/>
        <w:jc w:val="center"/>
        <w:rPr>
          <w:rFonts w:cs="Arial"/>
          <w:b/>
          <w:sz w:val="24"/>
          <w:szCs w:val="24"/>
          <w:lang w:val="es-UY"/>
        </w:rPr>
      </w:pPr>
    </w:p>
    <w:p w:rsidR="008B7094" w:rsidRDefault="008B7094" w:rsidP="001B564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80119E" w:rsidRPr="0080119E">
        <w:rPr>
          <w:rFonts w:ascii="Arial" w:hAnsi="Arial" w:cs="Arial"/>
          <w:bCs/>
          <w:sz w:val="24"/>
          <w:szCs w:val="24"/>
        </w:rPr>
        <w:t>las</w:t>
      </w:r>
      <w:r w:rsidR="0080119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actuaciones remitidas por la Contadora Delegada </w:t>
      </w:r>
      <w:r w:rsidR="001B5649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la Intendencia de Maldonado, relacionadas con  la reiteración del gasto derivado de  prórroga de la  contratación directa de la firma </w:t>
      </w:r>
      <w:proofErr w:type="spellStart"/>
      <w:r>
        <w:rPr>
          <w:rFonts w:ascii="Arial" w:hAnsi="Arial" w:cs="Arial"/>
          <w:sz w:val="24"/>
          <w:szCs w:val="24"/>
        </w:rPr>
        <w:t>Foreing</w:t>
      </w:r>
      <w:proofErr w:type="spellEnd"/>
      <w:r>
        <w:rPr>
          <w:rFonts w:ascii="Arial" w:hAnsi="Arial" w:cs="Arial"/>
          <w:sz w:val="24"/>
          <w:szCs w:val="24"/>
        </w:rPr>
        <w:t xml:space="preserve"> Security Ltda., para realizar el servicio de seguridad y vigilancia de la planta de la Direcci</w:t>
      </w:r>
      <w:r w:rsidR="001B5649">
        <w:rPr>
          <w:rFonts w:ascii="Arial" w:hAnsi="Arial" w:cs="Arial"/>
          <w:sz w:val="24"/>
          <w:szCs w:val="24"/>
        </w:rPr>
        <w:t>ón General de Obras y Talleres;</w:t>
      </w:r>
    </w:p>
    <w:p w:rsidR="008B7094" w:rsidRDefault="008B7094" w:rsidP="00030F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por Resolución 09018/2015 de fecha 15/12/15, el Intendente dispuso contratar al amparo del </w:t>
      </w:r>
      <w:r w:rsidR="00030F9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 </w:t>
      </w:r>
      <w:r w:rsidR="00030F9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numeral 9 del TOCAF,  a la empresa </w:t>
      </w:r>
      <w:proofErr w:type="spellStart"/>
      <w:r>
        <w:rPr>
          <w:rFonts w:ascii="Arial" w:hAnsi="Arial" w:cs="Arial"/>
          <w:sz w:val="24"/>
          <w:szCs w:val="24"/>
        </w:rPr>
        <w:t>Foreing</w:t>
      </w:r>
      <w:proofErr w:type="spellEnd"/>
      <w:r>
        <w:rPr>
          <w:rFonts w:ascii="Arial" w:hAnsi="Arial" w:cs="Arial"/>
          <w:sz w:val="24"/>
          <w:szCs w:val="24"/>
        </w:rPr>
        <w:t xml:space="preserve"> Security Ltda., para las tareas de vigilancia de la Dirección General de Obras y Talleres, por un monto mensual de  </w:t>
      </w:r>
      <w:r w:rsidR="00030F98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>$ 724.3366, siendo el plazo de contratación hasta la adjudicaci</w:t>
      </w:r>
      <w:r w:rsidR="00030F98">
        <w:rPr>
          <w:rFonts w:ascii="Arial" w:hAnsi="Arial" w:cs="Arial"/>
          <w:sz w:val="24"/>
          <w:szCs w:val="24"/>
        </w:rPr>
        <w:t>ón de la licitación en trámite.</w:t>
      </w:r>
    </w:p>
    <w:p w:rsidR="008B7094" w:rsidRDefault="008B7094" w:rsidP="00030F9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30F9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que con fecha 21/12/2015 la Contadora Delegada observó el gasto por $ 2:173.098, por contravenirse el </w:t>
      </w:r>
      <w:r w:rsidR="00030F9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030F9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 la Constitución de la República y </w:t>
      </w:r>
      <w:r w:rsidR="00030F9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030F98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 del TOCAF, siendo reiterado el gasto por Resolución Nº 09293/2015 de 23/12/2015;</w:t>
      </w:r>
    </w:p>
    <w:p w:rsidR="008B7094" w:rsidRDefault="008B7094" w:rsidP="00030F9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30F9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la Contadora Delegada informó, con fecha 04/03/16,  que el gasto de $ 4:346.196 correspondiente al período enero-junio 2016 fue imputado al rubro 5291 Servicio de Vigilancia y Custodia - derivado 10500 Dirección General de Obra, el que cuenta con disponibilidad suficiente;</w:t>
      </w:r>
    </w:p>
    <w:p w:rsidR="008B7094" w:rsidRDefault="008B7094" w:rsidP="00C4333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4333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que, en sesión de fecha 16/03/2016, este Tribunal  observó el gasto, por encontrarse indefinido el monto de la contratación, contar las actuaciones con principio de ejecución, y no ajustarse a lo dispuesto por los </w:t>
      </w:r>
      <w:r w:rsidR="00C4333C">
        <w:rPr>
          <w:rFonts w:ascii="Arial" w:hAnsi="Arial" w:cs="Arial"/>
          <w:sz w:val="24"/>
          <w:szCs w:val="24"/>
        </w:rPr>
        <w:lastRenderedPageBreak/>
        <w:t>A</w:t>
      </w:r>
      <w:r>
        <w:rPr>
          <w:rFonts w:ascii="Arial" w:hAnsi="Arial" w:cs="Arial"/>
          <w:sz w:val="24"/>
          <w:szCs w:val="24"/>
        </w:rPr>
        <w:t xml:space="preserve">rtículos 33 </w:t>
      </w:r>
      <w:r w:rsidR="00C4333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C</w:t>
      </w:r>
      <w:r w:rsidR="00C4333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numeral 9 y 157 del TOCAF, reiterándose el gasto por Resolución Nº 2862 de 26/04/16, por razones de buena administración e interés general, mientras se concluye con el procedimiento de contratación en curso, manteniéndose la observaci</w:t>
      </w:r>
      <w:r w:rsidR="00C4333C">
        <w:rPr>
          <w:rFonts w:ascii="Arial" w:hAnsi="Arial" w:cs="Arial"/>
          <w:sz w:val="24"/>
          <w:szCs w:val="24"/>
        </w:rPr>
        <w:t>ón en sesión de fecha 01/06/16;</w:t>
      </w:r>
    </w:p>
    <w:p w:rsidR="008B7094" w:rsidRDefault="008B7094" w:rsidP="00C4333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C4333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que, posteriormente, el Contador Delegado informó que se efectuó la imputación de la suma de $ 4:346.196, correspondiente al período julio-diciembre 2016,</w:t>
      </w:r>
      <w:r w:rsidR="006F49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cargo al rubro 591- servicio de vigilancia y custodia- derivado 10500 Dirección General de Obra, el que no contaba  con disponibilidad suficiente, por lo que, en sesión de fecha 31/08/2016 se </w:t>
      </w:r>
      <w:r w:rsidR="00C4333C">
        <w:rPr>
          <w:rFonts w:ascii="Arial" w:hAnsi="Arial" w:cs="Arial"/>
          <w:sz w:val="24"/>
          <w:szCs w:val="24"/>
        </w:rPr>
        <w:t>observó</w:t>
      </w:r>
      <w:r>
        <w:rPr>
          <w:rFonts w:ascii="Arial" w:hAnsi="Arial" w:cs="Arial"/>
          <w:sz w:val="24"/>
          <w:szCs w:val="24"/>
        </w:rPr>
        <w:t xml:space="preserve"> el gasto;</w:t>
      </w:r>
    </w:p>
    <w:p w:rsidR="008B7094" w:rsidRDefault="00C4333C" w:rsidP="00C4333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8B7094"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</w:t>
      </w:r>
      <w:r w:rsidR="008B70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B7094">
        <w:rPr>
          <w:rFonts w:ascii="Arial" w:hAnsi="Arial" w:cs="Arial"/>
          <w:sz w:val="24"/>
          <w:szCs w:val="24"/>
        </w:rPr>
        <w:t>por Resolución 07501/2016,  el Intendente, aduciendo  razones de interés general  y de buena administración, reiter</w:t>
      </w:r>
      <w:r>
        <w:rPr>
          <w:rFonts w:ascii="Arial" w:hAnsi="Arial" w:cs="Arial"/>
          <w:sz w:val="24"/>
          <w:szCs w:val="24"/>
        </w:rPr>
        <w:t>ó</w:t>
      </w:r>
      <w:r w:rsidR="008B7094">
        <w:rPr>
          <w:rFonts w:ascii="Arial" w:hAnsi="Arial" w:cs="Arial"/>
          <w:sz w:val="24"/>
          <w:szCs w:val="24"/>
        </w:rPr>
        <w:t xml:space="preserve"> el gasto de $ 4:346.196</w:t>
      </w:r>
      <w:r>
        <w:rPr>
          <w:rFonts w:ascii="Arial" w:hAnsi="Arial" w:cs="Arial"/>
          <w:sz w:val="24"/>
          <w:szCs w:val="24"/>
        </w:rPr>
        <w:t>;</w:t>
      </w:r>
    </w:p>
    <w:p w:rsidR="008B7094" w:rsidRDefault="008B7094" w:rsidP="006F49B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el </w:t>
      </w:r>
      <w:r w:rsidR="00B80E06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>rt</w:t>
      </w:r>
      <w:r w:rsidR="00B80E06">
        <w:rPr>
          <w:rFonts w:ascii="Arial" w:hAnsi="Arial" w:cs="Arial"/>
          <w:sz w:val="24"/>
          <w:szCs w:val="24"/>
          <w:lang w:val="es-MX" w:eastAsia="es-ES"/>
        </w:rPr>
        <w:t>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</w:t>
      </w:r>
      <w:r w:rsidR="00B80E06">
        <w:rPr>
          <w:rFonts w:ascii="Arial" w:hAnsi="Arial" w:cs="Arial"/>
          <w:sz w:val="24"/>
          <w:szCs w:val="24"/>
          <w:lang w:val="es-MX" w:eastAsia="es-ES"/>
        </w:rPr>
        <w:t>L</w:t>
      </w:r>
      <w:r>
        <w:rPr>
          <w:rFonts w:ascii="Arial" w:hAnsi="Arial" w:cs="Arial"/>
          <w:sz w:val="24"/>
          <w:szCs w:val="24"/>
          <w:lang w:val="es-MX" w:eastAsia="es-ES"/>
        </w:rPr>
        <w:t>iteral B) del</w:t>
      </w:r>
      <w:r w:rsidR="00B80E06">
        <w:rPr>
          <w:rFonts w:ascii="Arial" w:hAnsi="Arial" w:cs="Arial"/>
          <w:sz w:val="24"/>
          <w:szCs w:val="24"/>
          <w:lang w:val="es-MX" w:eastAsia="es-ES"/>
        </w:rPr>
        <w:t xml:space="preserve"> A</w:t>
      </w:r>
      <w:r>
        <w:rPr>
          <w:rFonts w:ascii="Arial" w:hAnsi="Arial" w:cs="Arial"/>
          <w:sz w:val="24"/>
          <w:szCs w:val="24"/>
          <w:lang w:val="es-MX" w:eastAsia="es-ES"/>
        </w:rPr>
        <w:t xml:space="preserve">rtículo 211 de la Constitución de la República, deben hacerlo en forma fundada,  expresando de manera detallada los motivos que justifican a su juicio seguir el curso del gasto del pago;                                  </w:t>
      </w:r>
    </w:p>
    <w:p w:rsidR="008B7094" w:rsidRDefault="008B7094" w:rsidP="00B80E0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los argumentos aducidos por  la Administración no guardan relación directa con  la observación formulada oportunamente por este Tribunal;</w:t>
      </w:r>
    </w:p>
    <w:p w:rsidR="008B7094" w:rsidRDefault="008B7094" w:rsidP="00B80E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 xml:space="preserve">a lo expuesto y a lo dispuesto por los </w:t>
      </w:r>
      <w:r w:rsidR="00B80E06">
        <w:rPr>
          <w:rFonts w:ascii="Arial" w:hAnsi="Arial" w:cs="Arial"/>
          <w:sz w:val="24"/>
          <w:szCs w:val="24"/>
          <w:lang w:eastAsia="es-ES"/>
        </w:rPr>
        <w:t>A</w:t>
      </w:r>
      <w:r>
        <w:rPr>
          <w:rFonts w:ascii="Arial" w:hAnsi="Arial" w:cs="Arial"/>
          <w:sz w:val="24"/>
          <w:szCs w:val="24"/>
          <w:lang w:eastAsia="es-ES"/>
        </w:rPr>
        <w:t>rt</w:t>
      </w:r>
      <w:r w:rsidR="00B80E06">
        <w:rPr>
          <w:rFonts w:ascii="Arial" w:hAnsi="Arial" w:cs="Arial"/>
          <w:sz w:val="24"/>
          <w:szCs w:val="24"/>
          <w:lang w:eastAsia="es-ES"/>
        </w:rPr>
        <w:t>ículo</w:t>
      </w:r>
      <w:r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B80E06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>iteral B) de la Constitución de la República</w:t>
      </w:r>
      <w:r w:rsidR="00B80E06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8B7094" w:rsidRDefault="008B7094" w:rsidP="001B5649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8B7094" w:rsidRPr="00B80E06" w:rsidRDefault="008B7094" w:rsidP="00B80E06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 w:rsidRPr="00B80E06">
        <w:rPr>
          <w:rFonts w:ascii="Arial" w:hAnsi="Arial" w:cs="Arial"/>
          <w:sz w:val="24"/>
          <w:szCs w:val="24"/>
          <w:lang w:val="es-MX" w:eastAsia="es-ES"/>
        </w:rPr>
        <w:t>Mantener la observación formulada en sesión de fecha 31.08.16;</w:t>
      </w:r>
    </w:p>
    <w:p w:rsidR="008B7094" w:rsidRPr="00B80E06" w:rsidRDefault="008B7094" w:rsidP="00B80E06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 w:rsidRPr="00B80E06">
        <w:rPr>
          <w:rFonts w:ascii="Arial" w:hAnsi="Arial" w:cs="Arial"/>
          <w:sz w:val="24"/>
          <w:szCs w:val="24"/>
          <w:lang w:val="es-MX" w:eastAsia="es-ES"/>
        </w:rPr>
        <w:t>Dar cuenta  a la Junta Departamental de Maldonado;</w:t>
      </w:r>
    </w:p>
    <w:p w:rsidR="008B7094" w:rsidRDefault="008B7094" w:rsidP="00B80E06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 w:rsidRPr="00B80E06">
        <w:rPr>
          <w:rFonts w:ascii="Arial" w:hAnsi="Arial" w:cs="Arial"/>
          <w:sz w:val="24"/>
          <w:szCs w:val="24"/>
          <w:lang w:val="es-MX" w:eastAsia="es-ES"/>
        </w:rPr>
        <w:t>Comunicar a la Intendencia de Maldonado.</w:t>
      </w:r>
    </w:p>
    <w:p w:rsidR="00B80E06" w:rsidRDefault="00B80E06" w:rsidP="00B80E06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</w:p>
    <w:p w:rsidR="00B80E06" w:rsidRPr="00B80E06" w:rsidRDefault="00B80E06" w:rsidP="00B80E06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 w:eastAsia="es-ES"/>
        </w:rPr>
        <w:t>ag</w:t>
      </w:r>
      <w:proofErr w:type="spellEnd"/>
      <w:proofErr w:type="gramEnd"/>
    </w:p>
    <w:sectPr w:rsidR="00B80E06" w:rsidRPr="00B80E06" w:rsidSect="00BD5CE3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920"/>
    <w:multiLevelType w:val="hybridMultilevel"/>
    <w:tmpl w:val="B636AD68"/>
    <w:lvl w:ilvl="0" w:tplc="0254AC1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ascii="Arial" w:hAnsi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1">
    <w:nsid w:val="2B076B92"/>
    <w:multiLevelType w:val="singleLevel"/>
    <w:tmpl w:val="4B6CD9F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94"/>
    <w:rsid w:val="00030F98"/>
    <w:rsid w:val="001B5649"/>
    <w:rsid w:val="00205A42"/>
    <w:rsid w:val="006F49B1"/>
    <w:rsid w:val="00761EC0"/>
    <w:rsid w:val="0080119E"/>
    <w:rsid w:val="008B7094"/>
    <w:rsid w:val="00B80E06"/>
    <w:rsid w:val="00B96800"/>
    <w:rsid w:val="00BD5CE3"/>
    <w:rsid w:val="00C4333C"/>
    <w:rsid w:val="00FD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0E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CE3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0E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CE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518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2013-17-1-0000637</vt:lpstr>
    </vt:vector>
  </TitlesOfParts>
  <Company>Tribunal de Cuentas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2013-17-1-0000637</dc:title>
  <dc:subject/>
  <dc:creator>Tribunal1</dc:creator>
  <cp:keywords/>
  <dc:description/>
  <cp:lastModifiedBy>Andrea Gerner</cp:lastModifiedBy>
  <cp:revision>12</cp:revision>
  <cp:lastPrinted>2016-11-24T16:13:00Z</cp:lastPrinted>
  <dcterms:created xsi:type="dcterms:W3CDTF">2016-11-24T13:14:00Z</dcterms:created>
  <dcterms:modified xsi:type="dcterms:W3CDTF">2016-11-24T16:13:00Z</dcterms:modified>
</cp:coreProperties>
</file>