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B6" w:rsidRPr="00CC12B6" w:rsidRDefault="00CC12B6" w:rsidP="00CC12B6">
      <w:pPr>
        <w:tabs>
          <w:tab w:val="center" w:pos="4253"/>
        </w:tabs>
        <w:suppressAutoHyphens/>
        <w:spacing w:after="0" w:line="240" w:lineRule="auto"/>
        <w:jc w:val="right"/>
        <w:rPr>
          <w:rFonts w:ascii="Arial" w:hAnsi="Arial" w:cs="Arial"/>
          <w:b/>
          <w:sz w:val="28"/>
          <w:szCs w:val="28"/>
          <w:lang w:val="es-ES_tradnl"/>
        </w:rPr>
      </w:pPr>
      <w:r w:rsidRPr="00CC12B6">
        <w:rPr>
          <w:rFonts w:ascii="Arial" w:hAnsi="Arial" w:cs="Arial"/>
          <w:b/>
          <w:sz w:val="28"/>
          <w:szCs w:val="28"/>
          <w:lang w:val="es-ES_tradnl"/>
        </w:rPr>
        <w:t>RES. 425</w:t>
      </w:r>
      <w:r w:rsidR="00B837DE">
        <w:rPr>
          <w:rFonts w:ascii="Arial" w:hAnsi="Arial" w:cs="Arial"/>
          <w:b/>
          <w:sz w:val="28"/>
          <w:szCs w:val="28"/>
          <w:lang w:val="es-ES_tradnl"/>
        </w:rPr>
        <w:t>2</w:t>
      </w:r>
      <w:r w:rsidRPr="00CC12B6">
        <w:rPr>
          <w:rFonts w:ascii="Arial" w:hAnsi="Arial" w:cs="Arial"/>
          <w:b/>
          <w:sz w:val="28"/>
          <w:szCs w:val="28"/>
          <w:lang w:val="es-ES_tradnl"/>
        </w:rPr>
        <w:t>/16</w:t>
      </w:r>
    </w:p>
    <w:p w:rsidR="00CC12B6" w:rsidRPr="00CC12B6" w:rsidRDefault="00CC12B6" w:rsidP="00CC12B6">
      <w:pPr>
        <w:tabs>
          <w:tab w:val="center" w:pos="4253"/>
        </w:tabs>
        <w:suppressAutoHyphens/>
        <w:spacing w:after="0" w:line="240" w:lineRule="auto"/>
        <w:jc w:val="center"/>
        <w:rPr>
          <w:rFonts w:ascii="Arial" w:hAnsi="Arial" w:cs="Arial"/>
          <w:b/>
          <w:lang w:val="es-ES_tradnl"/>
        </w:rPr>
      </w:pPr>
    </w:p>
    <w:p w:rsidR="00CC12B6" w:rsidRPr="00CC12B6" w:rsidRDefault="00CC12B6" w:rsidP="00CC12B6">
      <w:pPr>
        <w:tabs>
          <w:tab w:val="center" w:pos="4253"/>
        </w:tabs>
        <w:suppressAutoHyphens/>
        <w:spacing w:after="0" w:line="240" w:lineRule="auto"/>
        <w:jc w:val="center"/>
        <w:rPr>
          <w:rFonts w:ascii="Arial" w:hAnsi="Arial" w:cs="Arial"/>
          <w:b/>
          <w:sz w:val="24"/>
          <w:szCs w:val="24"/>
          <w:lang w:val="es-ES_tradnl"/>
        </w:rPr>
      </w:pPr>
      <w:r w:rsidRPr="00CC12B6">
        <w:rPr>
          <w:rFonts w:ascii="Arial" w:hAnsi="Arial" w:cs="Arial"/>
          <w:b/>
          <w:sz w:val="24"/>
          <w:szCs w:val="24"/>
          <w:lang w:val="es-ES_tradnl"/>
        </w:rPr>
        <w:t>RESOLUCION ADOPTADA POR EL</w:t>
      </w:r>
    </w:p>
    <w:p w:rsidR="00CC12B6" w:rsidRPr="00CC12B6" w:rsidRDefault="00CC12B6" w:rsidP="00CC12B6">
      <w:pPr>
        <w:tabs>
          <w:tab w:val="left" w:pos="-720"/>
        </w:tabs>
        <w:suppressAutoHyphens/>
        <w:spacing w:after="0" w:line="240" w:lineRule="auto"/>
        <w:jc w:val="center"/>
        <w:rPr>
          <w:rFonts w:ascii="Arial" w:hAnsi="Arial" w:cs="Arial"/>
          <w:b/>
          <w:sz w:val="24"/>
          <w:szCs w:val="24"/>
          <w:lang w:val="es-ES_tradnl"/>
        </w:rPr>
      </w:pPr>
    </w:p>
    <w:p w:rsidR="00CC12B6" w:rsidRPr="00CC12B6" w:rsidRDefault="00CC12B6" w:rsidP="00CC12B6">
      <w:pPr>
        <w:tabs>
          <w:tab w:val="center" w:pos="4253"/>
        </w:tabs>
        <w:suppressAutoHyphens/>
        <w:spacing w:after="0" w:line="240" w:lineRule="auto"/>
        <w:jc w:val="center"/>
        <w:rPr>
          <w:rFonts w:ascii="Arial" w:hAnsi="Arial" w:cs="Arial"/>
          <w:b/>
          <w:sz w:val="24"/>
          <w:szCs w:val="24"/>
          <w:lang w:val="es-ES_tradnl"/>
        </w:rPr>
      </w:pPr>
      <w:r w:rsidRPr="00CC12B6">
        <w:rPr>
          <w:rFonts w:ascii="Arial" w:hAnsi="Arial" w:cs="Arial"/>
          <w:b/>
          <w:sz w:val="24"/>
          <w:szCs w:val="24"/>
          <w:lang w:val="es-ES_tradnl"/>
        </w:rPr>
        <w:t>TRIBUNAL DE CUENTAS</w:t>
      </w:r>
    </w:p>
    <w:p w:rsidR="00CC12B6" w:rsidRPr="00CC12B6" w:rsidRDefault="00CC12B6" w:rsidP="00CC12B6">
      <w:pPr>
        <w:tabs>
          <w:tab w:val="left" w:pos="-720"/>
        </w:tabs>
        <w:suppressAutoHyphens/>
        <w:spacing w:after="0" w:line="240" w:lineRule="auto"/>
        <w:jc w:val="center"/>
        <w:rPr>
          <w:rFonts w:ascii="Arial" w:hAnsi="Arial" w:cs="Arial"/>
          <w:b/>
          <w:sz w:val="24"/>
          <w:szCs w:val="24"/>
          <w:lang w:val="es-ES_tradnl"/>
        </w:rPr>
      </w:pPr>
    </w:p>
    <w:p w:rsidR="00CC12B6" w:rsidRPr="00CC12B6" w:rsidRDefault="00CC12B6" w:rsidP="00CC12B6">
      <w:pPr>
        <w:tabs>
          <w:tab w:val="center" w:pos="4253"/>
        </w:tabs>
        <w:suppressAutoHyphens/>
        <w:spacing w:after="0" w:line="240" w:lineRule="auto"/>
        <w:jc w:val="center"/>
        <w:rPr>
          <w:rFonts w:ascii="Arial" w:hAnsi="Arial" w:cs="Arial"/>
          <w:b/>
          <w:sz w:val="24"/>
          <w:szCs w:val="24"/>
          <w:lang w:val="es-ES_tradnl"/>
        </w:rPr>
      </w:pPr>
      <w:r w:rsidRPr="00CC12B6">
        <w:rPr>
          <w:rFonts w:ascii="Arial" w:hAnsi="Arial" w:cs="Arial"/>
          <w:b/>
          <w:sz w:val="24"/>
          <w:szCs w:val="24"/>
          <w:lang w:val="es-ES_tradnl"/>
        </w:rPr>
        <w:t>EN SESION DE FECHA 30 DE NOVIEMBRE DE 2016</w:t>
      </w:r>
    </w:p>
    <w:p w:rsidR="00CC12B6" w:rsidRPr="00CC12B6" w:rsidRDefault="00CC12B6" w:rsidP="00CC12B6">
      <w:pPr>
        <w:tabs>
          <w:tab w:val="center" w:pos="4253"/>
        </w:tabs>
        <w:suppressAutoHyphens/>
        <w:spacing w:after="0" w:line="240" w:lineRule="auto"/>
        <w:jc w:val="center"/>
        <w:rPr>
          <w:rFonts w:ascii="Arial" w:hAnsi="Arial" w:cs="Arial"/>
          <w:b/>
          <w:sz w:val="24"/>
          <w:szCs w:val="24"/>
          <w:lang w:val="es-ES_tradnl"/>
        </w:rPr>
      </w:pPr>
    </w:p>
    <w:p w:rsidR="00CC12B6" w:rsidRPr="00CC12B6" w:rsidRDefault="00CC12B6" w:rsidP="00CC12B6">
      <w:pPr>
        <w:tabs>
          <w:tab w:val="center" w:pos="4253"/>
        </w:tabs>
        <w:suppressAutoHyphens/>
        <w:spacing w:after="0" w:line="240" w:lineRule="auto"/>
        <w:jc w:val="center"/>
        <w:rPr>
          <w:rFonts w:ascii="Arial" w:hAnsi="Arial" w:cs="Arial"/>
          <w:b/>
          <w:sz w:val="24"/>
          <w:szCs w:val="24"/>
          <w:lang w:val="es-UY"/>
        </w:rPr>
      </w:pPr>
      <w:r w:rsidRPr="00CC12B6">
        <w:rPr>
          <w:rFonts w:ascii="Arial" w:hAnsi="Arial" w:cs="Arial"/>
          <w:b/>
          <w:sz w:val="24"/>
          <w:szCs w:val="24"/>
          <w:lang w:val="es-UY"/>
        </w:rPr>
        <w:t xml:space="preserve">(E. E. Nº 2014-17-1-0008777, </w:t>
      </w:r>
      <w:proofErr w:type="spellStart"/>
      <w:r w:rsidRPr="00CC12B6">
        <w:rPr>
          <w:rFonts w:ascii="Arial" w:hAnsi="Arial" w:cs="Arial"/>
          <w:b/>
          <w:sz w:val="24"/>
          <w:szCs w:val="24"/>
          <w:lang w:val="es-UY"/>
        </w:rPr>
        <w:t>Ent</w:t>
      </w:r>
      <w:proofErr w:type="spellEnd"/>
      <w:r w:rsidRPr="00CC12B6">
        <w:rPr>
          <w:rFonts w:ascii="Arial" w:hAnsi="Arial" w:cs="Arial"/>
          <w:b/>
          <w:sz w:val="24"/>
          <w:szCs w:val="24"/>
          <w:lang w:val="es-UY"/>
        </w:rPr>
        <w:t>. N° 5929/16)</w:t>
      </w:r>
    </w:p>
    <w:p w:rsidR="00CC12B6" w:rsidRPr="00CC12B6" w:rsidRDefault="00CC12B6" w:rsidP="00CC12B6">
      <w:pPr>
        <w:spacing w:after="0" w:line="360" w:lineRule="auto"/>
        <w:jc w:val="center"/>
        <w:rPr>
          <w:rFonts w:ascii="Arial" w:hAnsi="Arial" w:cs="Arial"/>
          <w:b/>
          <w:bCs/>
          <w:color w:val="000000"/>
          <w:sz w:val="24"/>
          <w:szCs w:val="24"/>
          <w:lang w:val="es-ES_tradnl" w:eastAsia="es-ES"/>
        </w:rPr>
      </w:pPr>
    </w:p>
    <w:p w:rsidR="00C708DE" w:rsidRDefault="00C708DE">
      <w:pPr>
        <w:pStyle w:val="Ttulo"/>
        <w:jc w:val="both"/>
        <w:rPr>
          <w:rFonts w:ascii="Times New Roman" w:hAnsi="Times New Roman" w:cs="Times New Roman"/>
          <w:b w:val="0"/>
          <w:bCs w:val="0"/>
          <w:u w:val="none"/>
          <w:lang w:val="es-ES_tradnl"/>
        </w:rPr>
      </w:pPr>
    </w:p>
    <w:p w:rsidR="00C708DE" w:rsidRDefault="00C708DE" w:rsidP="005008FC">
      <w:pPr>
        <w:pStyle w:val="Ttulo"/>
        <w:ind w:firstLine="851"/>
        <w:jc w:val="both"/>
        <w:rPr>
          <w:u w:val="none"/>
        </w:rPr>
      </w:pPr>
      <w:r>
        <w:rPr>
          <w:u w:val="none"/>
        </w:rPr>
        <w:t xml:space="preserve">VISTO: </w:t>
      </w:r>
      <w:r>
        <w:rPr>
          <w:b w:val="0"/>
          <w:bCs w:val="0"/>
          <w:u w:val="none"/>
        </w:rPr>
        <w:t xml:space="preserve">el Oficio Nº 436/16 de fecha 28.10.16 remitido por la Intendencia de Tacuarembó relacionado con la ampliación de la Licitación Pública Internacional Nº 01/2014 referente a la ejecución de construcción de puentes sobre Paso del Bote en la ciudad de Tacuarembó; </w:t>
      </w:r>
    </w:p>
    <w:p w:rsidR="00C708DE" w:rsidRDefault="00C708DE" w:rsidP="005008FC">
      <w:pPr>
        <w:pStyle w:val="Ttulo"/>
        <w:ind w:firstLine="851"/>
        <w:jc w:val="both"/>
        <w:rPr>
          <w:u w:val="none"/>
          <w:lang w:val="es-ES_tradnl"/>
        </w:rPr>
      </w:pPr>
      <w:r>
        <w:rPr>
          <w:u w:val="none"/>
        </w:rPr>
        <w:t xml:space="preserve">RESULTANDO: 1) </w:t>
      </w:r>
      <w:r>
        <w:rPr>
          <w:b w:val="0"/>
          <w:bCs w:val="0"/>
          <w:u w:val="none"/>
        </w:rPr>
        <w:t xml:space="preserve">que el Intendente por Resolución Nº 807/2014 de fecha 5.06.14, adjudicó el llamado, a la firma Consorcio </w:t>
      </w:r>
      <w:proofErr w:type="spellStart"/>
      <w:r>
        <w:rPr>
          <w:b w:val="0"/>
          <w:bCs w:val="0"/>
          <w:u w:val="none"/>
        </w:rPr>
        <w:t>Saceem</w:t>
      </w:r>
      <w:proofErr w:type="spellEnd"/>
      <w:r>
        <w:rPr>
          <w:b w:val="0"/>
          <w:bCs w:val="0"/>
          <w:u w:val="none"/>
        </w:rPr>
        <w:t xml:space="preserve"> S.A- José </w:t>
      </w:r>
      <w:proofErr w:type="spellStart"/>
      <w:r>
        <w:rPr>
          <w:b w:val="0"/>
          <w:bCs w:val="0"/>
          <w:u w:val="none"/>
        </w:rPr>
        <w:t>Cujó</w:t>
      </w:r>
      <w:proofErr w:type="spellEnd"/>
      <w:r>
        <w:rPr>
          <w:b w:val="0"/>
          <w:bCs w:val="0"/>
          <w:u w:val="none"/>
        </w:rPr>
        <w:t xml:space="preserve"> S.A, por un total de $ 188:938.548,20 IVA y Leyes Sociales incluidos, más los ajustes paramétricos;</w:t>
      </w:r>
    </w:p>
    <w:p w:rsidR="00C708DE" w:rsidRDefault="00C708DE" w:rsidP="00262AD5">
      <w:pPr>
        <w:pStyle w:val="Ttulo"/>
        <w:ind w:firstLine="2694"/>
        <w:jc w:val="both"/>
        <w:rPr>
          <w:b w:val="0"/>
          <w:bCs w:val="0"/>
          <w:u w:val="none"/>
          <w:lang w:val="es-ES_tradnl"/>
        </w:rPr>
      </w:pPr>
      <w:r>
        <w:rPr>
          <w:u w:val="none"/>
          <w:lang w:val="es-ES_tradnl"/>
        </w:rPr>
        <w:t xml:space="preserve">2) </w:t>
      </w:r>
      <w:r>
        <w:rPr>
          <w:b w:val="0"/>
          <w:bCs w:val="0"/>
          <w:u w:val="none"/>
          <w:lang w:val="es-ES_tradnl"/>
        </w:rPr>
        <w:t>que de dicho monto, el PDGS financia con Préstamo BID referido la suma de $ 3:389.101,5, quedando a cargo de la Intendencia de Tacuarembó la suma de $ 43:549.100 con asignaciones presupuestales del Ejercicio 2014, y la suma de $ 145:389.448,2 con las del Ejercicio 2015;</w:t>
      </w:r>
    </w:p>
    <w:p w:rsidR="00C708DE" w:rsidRDefault="00C708DE" w:rsidP="00262AD5">
      <w:pPr>
        <w:pStyle w:val="Ttulo"/>
        <w:widowControl w:val="0"/>
        <w:ind w:firstLine="2694"/>
        <w:jc w:val="both"/>
        <w:rPr>
          <w:b w:val="0"/>
          <w:bCs w:val="0"/>
          <w:u w:val="none"/>
          <w:lang w:val="es-ES_tradnl"/>
        </w:rPr>
      </w:pPr>
      <w:r>
        <w:rPr>
          <w:u w:val="none"/>
          <w:lang w:val="es-ES_tradnl"/>
        </w:rPr>
        <w:t>3)</w:t>
      </w:r>
      <w:r>
        <w:rPr>
          <w:b w:val="0"/>
          <w:bCs w:val="0"/>
          <w:u w:val="none"/>
          <w:lang w:val="es-ES_tradnl"/>
        </w:rPr>
        <w:t xml:space="preserve"> que este Tribunal con fecha 10.12.14, considerando de aplicación al  procedimiento el Art</w:t>
      </w:r>
      <w:r w:rsidR="00262AD5">
        <w:rPr>
          <w:b w:val="0"/>
          <w:bCs w:val="0"/>
          <w:u w:val="none"/>
          <w:lang w:val="es-ES_tradnl"/>
        </w:rPr>
        <w:t>ículo</w:t>
      </w:r>
      <w:r>
        <w:rPr>
          <w:b w:val="0"/>
          <w:bCs w:val="0"/>
          <w:u w:val="none"/>
          <w:lang w:val="es-ES_tradnl"/>
        </w:rPr>
        <w:t xml:space="preserve"> 45 del TOCAF, por tratarse de un contrato de obra financiado parcialmente por un organismo internacional de crédito, acordó cometer a la Contadora Delegada ante Presidencia de la República la intervención de la transferencia a realizar por </w:t>
      </w:r>
      <w:r w:rsidR="00384487">
        <w:rPr>
          <w:b w:val="0"/>
          <w:bCs w:val="0"/>
          <w:u w:val="none"/>
          <w:lang w:val="es-ES_tradnl"/>
        </w:rPr>
        <w:t xml:space="preserve">       </w:t>
      </w:r>
      <w:r>
        <w:rPr>
          <w:b w:val="0"/>
          <w:bCs w:val="0"/>
          <w:u w:val="none"/>
          <w:lang w:val="es-ES_tradnl"/>
        </w:rPr>
        <w:t xml:space="preserve">$ 86.027.024, más ajustes paramétricos hasta el equivalente a </w:t>
      </w:r>
      <w:r w:rsidR="00384487">
        <w:rPr>
          <w:b w:val="0"/>
          <w:bCs w:val="0"/>
          <w:u w:val="none"/>
          <w:lang w:val="es-ES_tradnl"/>
        </w:rPr>
        <w:t xml:space="preserve">                                  </w:t>
      </w:r>
      <w:r>
        <w:rPr>
          <w:b w:val="0"/>
          <w:bCs w:val="0"/>
          <w:u w:val="none"/>
          <w:lang w:val="es-ES_tradnl"/>
        </w:rPr>
        <w:t>U$S 3:389.101,5;</w:t>
      </w:r>
    </w:p>
    <w:p w:rsidR="00C708DE" w:rsidRDefault="00C708DE" w:rsidP="00384487">
      <w:pPr>
        <w:pStyle w:val="Ttulo"/>
        <w:widowControl w:val="0"/>
        <w:ind w:firstLine="2694"/>
        <w:jc w:val="both"/>
        <w:rPr>
          <w:b w:val="0"/>
          <w:bCs w:val="0"/>
          <w:u w:val="none"/>
          <w:lang w:val="es-ES_tradnl"/>
        </w:rPr>
      </w:pPr>
      <w:r>
        <w:rPr>
          <w:u w:val="none"/>
          <w:lang w:val="es-ES_tradnl"/>
        </w:rPr>
        <w:t xml:space="preserve">4) </w:t>
      </w:r>
      <w:r>
        <w:rPr>
          <w:b w:val="0"/>
          <w:bCs w:val="0"/>
          <w:u w:val="none"/>
          <w:lang w:val="es-ES_tradnl"/>
        </w:rPr>
        <w:t>que asimismo se cometió a la Contadora Delegada en la Intendencia de Tacuarembó la intervención del saldo a financiar a cargo de dicha Administración, previo control de la disponibilidad del objeto del gasto;</w:t>
      </w:r>
    </w:p>
    <w:p w:rsidR="00C708DE" w:rsidRDefault="00C708DE" w:rsidP="00466EE3">
      <w:pPr>
        <w:pStyle w:val="Ttulo"/>
        <w:widowControl w:val="0"/>
        <w:ind w:firstLine="2694"/>
        <w:jc w:val="both"/>
        <w:rPr>
          <w:b w:val="0"/>
          <w:bCs w:val="0"/>
          <w:u w:val="none"/>
          <w:lang w:val="es-ES_tradnl"/>
        </w:rPr>
      </w:pPr>
      <w:r>
        <w:rPr>
          <w:u w:val="none"/>
          <w:lang w:val="es-ES_tradnl"/>
        </w:rPr>
        <w:t xml:space="preserve">5) </w:t>
      </w:r>
      <w:r>
        <w:rPr>
          <w:b w:val="0"/>
          <w:bCs w:val="0"/>
          <w:u w:val="none"/>
          <w:lang w:val="es-ES_tradnl"/>
        </w:rPr>
        <w:t>que el Intendente de Tacuarembó, por Resolución Nº 1491/2016 de fecha 3.08.16 dispuso ampliar la licitación de referencia, al am</w:t>
      </w:r>
      <w:r w:rsidR="00466EE3">
        <w:rPr>
          <w:b w:val="0"/>
          <w:bCs w:val="0"/>
          <w:u w:val="none"/>
          <w:lang w:val="es-ES_tradnl"/>
        </w:rPr>
        <w:t>paro de lo dispuesto por el Artículo</w:t>
      </w:r>
      <w:r>
        <w:rPr>
          <w:b w:val="0"/>
          <w:bCs w:val="0"/>
          <w:u w:val="none"/>
          <w:lang w:val="es-ES_tradnl"/>
        </w:rPr>
        <w:t xml:space="preserve"> 74 del TOCAF, en $ 17:925.085 incluido IVA </w:t>
      </w:r>
      <w:r>
        <w:rPr>
          <w:b w:val="0"/>
          <w:bCs w:val="0"/>
          <w:u w:val="none"/>
          <w:lang w:val="es-ES_tradnl"/>
        </w:rPr>
        <w:lastRenderedPageBreak/>
        <w:t>y Leyes Sociales, expresando que el 85% de la ampliación será financiado por el  FDI y el 15% con fondos propios, surgiendo de informe  de fecha 12.08.16, que el Programa 208- Proyecto 09- Rubro 387 denominado “Vías de Comunicación”, cuenta con el saldo de $ 94:808.194,39;</w:t>
      </w:r>
    </w:p>
    <w:p w:rsidR="00C708DE" w:rsidRDefault="00C708DE" w:rsidP="00466EE3">
      <w:pPr>
        <w:pStyle w:val="Ttulo"/>
        <w:widowControl w:val="0"/>
        <w:ind w:firstLine="2694"/>
        <w:jc w:val="both"/>
        <w:rPr>
          <w:b w:val="0"/>
          <w:bCs w:val="0"/>
          <w:u w:val="none"/>
          <w:lang w:val="es-ES_tradnl"/>
        </w:rPr>
      </w:pPr>
      <w:r>
        <w:rPr>
          <w:u w:val="none"/>
          <w:lang w:val="es-ES_tradnl"/>
        </w:rPr>
        <w:t xml:space="preserve">6) </w:t>
      </w:r>
      <w:r>
        <w:rPr>
          <w:b w:val="0"/>
          <w:bCs w:val="0"/>
          <w:u w:val="none"/>
          <w:lang w:val="es-ES_tradnl"/>
        </w:rPr>
        <w:t xml:space="preserve">que este Tribunal por Resolución Nº 3120/16 de fecha 7.09.16, resolvió observar el gasto derivado de la citada ampliación, por no resultar </w:t>
      </w:r>
      <w:r w:rsidR="00466EE3">
        <w:rPr>
          <w:b w:val="0"/>
          <w:bCs w:val="0"/>
          <w:u w:val="none"/>
          <w:lang w:val="es-ES_tradnl"/>
        </w:rPr>
        <w:t>aplicable lo previsto en el Artículo</w:t>
      </w:r>
      <w:r>
        <w:rPr>
          <w:b w:val="0"/>
          <w:bCs w:val="0"/>
          <w:u w:val="none"/>
          <w:lang w:val="es-ES_tradnl"/>
        </w:rPr>
        <w:t xml:space="preserve"> 74 del TOCAF, en virtud de tratarse de un gasto financiado por la Intendencia y el Fondo Desarrollo del Interior, condición distinta a la original, que implica que las consideraciones vertidas por este Tribunal respecto de la aplica</w:t>
      </w:r>
      <w:r w:rsidR="00466EE3">
        <w:rPr>
          <w:b w:val="0"/>
          <w:bCs w:val="0"/>
          <w:u w:val="none"/>
          <w:lang w:val="es-ES_tradnl"/>
        </w:rPr>
        <w:t>ción de las previsiones del Artículo</w:t>
      </w:r>
      <w:r>
        <w:rPr>
          <w:b w:val="0"/>
          <w:bCs w:val="0"/>
          <w:u w:val="none"/>
          <w:lang w:val="es-ES_tradnl"/>
        </w:rPr>
        <w:t xml:space="preserve"> 45 del TOCAF, no sean extensibles a la ampliación proyectada, debiéndose haber acudido en la oportunid</w:t>
      </w:r>
      <w:r w:rsidR="00466EE3">
        <w:rPr>
          <w:b w:val="0"/>
          <w:bCs w:val="0"/>
          <w:u w:val="none"/>
          <w:lang w:val="es-ES_tradnl"/>
        </w:rPr>
        <w:t>ad a los procedimientos del                     Artículo</w:t>
      </w:r>
      <w:r>
        <w:rPr>
          <w:b w:val="0"/>
          <w:bCs w:val="0"/>
          <w:u w:val="none"/>
          <w:lang w:val="es-ES_tradnl"/>
        </w:rPr>
        <w:t xml:space="preserve"> 33 del TOCAF;</w:t>
      </w:r>
    </w:p>
    <w:p w:rsidR="00C708DE" w:rsidRDefault="00C708DE" w:rsidP="00EF3F67">
      <w:pPr>
        <w:pStyle w:val="Ttulo"/>
        <w:widowControl w:val="0"/>
        <w:ind w:firstLine="2694"/>
        <w:jc w:val="both"/>
        <w:rPr>
          <w:lang w:val="es-ES_tradnl"/>
        </w:rPr>
      </w:pPr>
      <w:r>
        <w:rPr>
          <w:u w:val="none"/>
          <w:lang w:val="es-ES_tradnl"/>
        </w:rPr>
        <w:t xml:space="preserve">7) </w:t>
      </w:r>
      <w:r>
        <w:rPr>
          <w:b w:val="0"/>
          <w:bCs w:val="0"/>
          <w:u w:val="none"/>
          <w:lang w:val="es-ES_tradnl"/>
        </w:rPr>
        <w:t>que por Resolución Nº 1989/16 de fecha 4.10.16 el Intendente de Tacuarembó resolvió reiterar el gasto, argumentando razones de necesidad;</w:t>
      </w:r>
    </w:p>
    <w:p w:rsidR="00C708DE" w:rsidRDefault="00C708DE" w:rsidP="00EF3F67">
      <w:pPr>
        <w:pStyle w:val="Ttulo"/>
        <w:widowControl w:val="0"/>
        <w:ind w:firstLine="2694"/>
        <w:jc w:val="both"/>
        <w:rPr>
          <w:b w:val="0"/>
          <w:bCs w:val="0"/>
          <w:u w:val="none"/>
          <w:lang w:val="es-ES_tradnl"/>
        </w:rPr>
      </w:pPr>
      <w:r>
        <w:rPr>
          <w:u w:val="none"/>
          <w:lang w:val="es-ES_tradnl"/>
        </w:rPr>
        <w:t xml:space="preserve">8) </w:t>
      </w:r>
      <w:r>
        <w:rPr>
          <w:b w:val="0"/>
          <w:bCs w:val="0"/>
          <w:u w:val="none"/>
          <w:lang w:val="es-ES_tradnl"/>
        </w:rPr>
        <w:t>que habiendo manifestado su conformidad la empresa adjudicataria, por Resolución Nº 2257/16 de fecha 28.10.16,  el Intendente de Tacuarembó resolvió ampliar, al amparo del Art. 74 del TOCAF, en hasta $ 20:825.126 precio básico con IVA y Leyes Sociales, la presente licitación;</w:t>
      </w:r>
    </w:p>
    <w:p w:rsidR="00C708DE" w:rsidRDefault="00C708DE" w:rsidP="00EF3F67">
      <w:pPr>
        <w:pStyle w:val="Ttulo"/>
        <w:widowControl w:val="0"/>
        <w:ind w:firstLine="2694"/>
        <w:jc w:val="both"/>
        <w:rPr>
          <w:b w:val="0"/>
          <w:bCs w:val="0"/>
          <w:u w:val="none"/>
          <w:lang w:val="es-ES_tradnl"/>
        </w:rPr>
      </w:pPr>
      <w:r>
        <w:rPr>
          <w:u w:val="none"/>
          <w:lang w:val="es-ES_tradnl"/>
        </w:rPr>
        <w:t xml:space="preserve">9) </w:t>
      </w:r>
      <w:r>
        <w:rPr>
          <w:b w:val="0"/>
          <w:bCs w:val="0"/>
          <w:u w:val="none"/>
          <w:lang w:val="es-ES_tradnl"/>
        </w:rPr>
        <w:t xml:space="preserve">que según se indica la nueva ampliación será financiada, un 43% con recursos provenientes del PDGS (Programa de Desarrollo y Gestión </w:t>
      </w:r>
      <w:proofErr w:type="spellStart"/>
      <w:r>
        <w:rPr>
          <w:b w:val="0"/>
          <w:bCs w:val="0"/>
          <w:u w:val="none"/>
          <w:lang w:val="es-ES_tradnl"/>
        </w:rPr>
        <w:t>Subnacional</w:t>
      </w:r>
      <w:proofErr w:type="spellEnd"/>
      <w:r>
        <w:rPr>
          <w:b w:val="0"/>
          <w:bCs w:val="0"/>
          <w:u w:val="none"/>
          <w:lang w:val="es-ES_tradnl"/>
        </w:rPr>
        <w:t xml:space="preserve">), un 37% del Fondo de Desarrollo del Interior, y un 20% con </w:t>
      </w:r>
      <w:proofErr w:type="gramStart"/>
      <w:r>
        <w:rPr>
          <w:b w:val="0"/>
          <w:bCs w:val="0"/>
          <w:u w:val="none"/>
          <w:lang w:val="es-ES_tradnl"/>
        </w:rPr>
        <w:t>fondos</w:t>
      </w:r>
      <w:proofErr w:type="gramEnd"/>
      <w:r>
        <w:rPr>
          <w:b w:val="0"/>
          <w:bCs w:val="0"/>
          <w:u w:val="none"/>
          <w:lang w:val="es-ES_tradnl"/>
        </w:rPr>
        <w:t xml:space="preserve"> propios, sin embargo a diferencia de la contratación original no consta la conformidad del BID ni informe de la Unidad Coordinadora del PDGS; </w:t>
      </w:r>
    </w:p>
    <w:p w:rsidR="00C708DE" w:rsidRDefault="00C708DE" w:rsidP="006F1F04">
      <w:pPr>
        <w:pStyle w:val="Ttulo"/>
        <w:widowControl w:val="0"/>
        <w:ind w:firstLine="2694"/>
        <w:jc w:val="both"/>
        <w:rPr>
          <w:b w:val="0"/>
          <w:bCs w:val="0"/>
          <w:u w:val="none"/>
          <w:lang w:val="es-ES_tradnl"/>
        </w:rPr>
      </w:pPr>
      <w:r>
        <w:rPr>
          <w:u w:val="none"/>
          <w:lang w:val="es-ES_tradnl"/>
        </w:rPr>
        <w:t xml:space="preserve">10) </w:t>
      </w:r>
      <w:r>
        <w:rPr>
          <w:b w:val="0"/>
          <w:bCs w:val="0"/>
          <w:u w:val="none"/>
          <w:lang w:val="es-ES_tradnl"/>
        </w:rPr>
        <w:t>que no consta información contable;</w:t>
      </w:r>
    </w:p>
    <w:p w:rsidR="00C708DE" w:rsidRDefault="00C708DE" w:rsidP="006F1F04">
      <w:pPr>
        <w:spacing w:after="0" w:line="360" w:lineRule="auto"/>
        <w:ind w:firstLine="851"/>
        <w:jc w:val="both"/>
        <w:rPr>
          <w:rFonts w:ascii="Arial" w:hAnsi="Arial" w:cs="Arial"/>
          <w:sz w:val="24"/>
          <w:szCs w:val="24"/>
          <w:lang w:val="es-MX" w:eastAsia="es-ES"/>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rPr>
        <w:t xml:space="preserve">1) </w:t>
      </w:r>
      <w:r>
        <w:rPr>
          <w:rFonts w:ascii="Arial" w:hAnsi="Arial" w:cs="Arial"/>
          <w:sz w:val="24"/>
          <w:szCs w:val="24"/>
          <w:lang w:val="es-MX" w:eastAsia="es-ES"/>
        </w:rPr>
        <w:t>que en  razón de lo expresado en Resultando 9), se mantiene en esta segunda ampliación la causal de observación formulada por este Tribunal en oportunidad de la primera ampliación (Resultando  6);</w:t>
      </w:r>
    </w:p>
    <w:p w:rsidR="00C708DE" w:rsidRDefault="00C708DE" w:rsidP="006F1F04">
      <w:pPr>
        <w:spacing w:after="0" w:line="360" w:lineRule="auto"/>
        <w:ind w:firstLine="2977"/>
        <w:jc w:val="both"/>
        <w:rPr>
          <w:rFonts w:ascii="Arial" w:hAnsi="Arial" w:cs="Arial"/>
          <w:sz w:val="24"/>
          <w:szCs w:val="24"/>
          <w:lang w:val="es-MX" w:eastAsia="es-ES"/>
        </w:rPr>
      </w:pPr>
      <w:r>
        <w:rPr>
          <w:rFonts w:ascii="Arial" w:hAnsi="Arial" w:cs="Arial"/>
          <w:b/>
          <w:bCs/>
          <w:sz w:val="24"/>
          <w:szCs w:val="24"/>
          <w:lang w:val="es-MX" w:eastAsia="es-ES"/>
        </w:rPr>
        <w:t xml:space="preserve">2) </w:t>
      </w:r>
      <w:r>
        <w:rPr>
          <w:rFonts w:ascii="Arial" w:hAnsi="Arial" w:cs="Arial"/>
          <w:sz w:val="24"/>
          <w:szCs w:val="24"/>
          <w:lang w:val="es-MX" w:eastAsia="es-ES"/>
        </w:rPr>
        <w:t xml:space="preserve">que no se ha dado cumplimiento a lo dispuesto por la Ordenanza No.27 del 22.5.958, </w:t>
      </w:r>
      <w:r w:rsidR="006F1F04">
        <w:rPr>
          <w:rFonts w:ascii="Arial" w:hAnsi="Arial" w:cs="Arial"/>
          <w:sz w:val="24"/>
          <w:szCs w:val="24"/>
          <w:lang w:val="es-MX" w:eastAsia="es-ES"/>
        </w:rPr>
        <w:t>A</w:t>
      </w:r>
      <w:r>
        <w:rPr>
          <w:rFonts w:ascii="Arial" w:hAnsi="Arial" w:cs="Arial"/>
          <w:sz w:val="24"/>
          <w:szCs w:val="24"/>
          <w:lang w:val="es-MX" w:eastAsia="es-ES"/>
        </w:rPr>
        <w:t xml:space="preserve">rtículo 13 </w:t>
      </w:r>
      <w:r w:rsidR="006F1F04">
        <w:rPr>
          <w:rFonts w:ascii="Arial" w:hAnsi="Arial" w:cs="Arial"/>
          <w:sz w:val="24"/>
          <w:szCs w:val="24"/>
          <w:lang w:val="es-MX" w:eastAsia="es-ES"/>
        </w:rPr>
        <w:t>L</w:t>
      </w:r>
      <w:r>
        <w:rPr>
          <w:rFonts w:ascii="Arial" w:hAnsi="Arial" w:cs="Arial"/>
          <w:sz w:val="24"/>
          <w:szCs w:val="24"/>
          <w:lang w:val="es-MX" w:eastAsia="es-ES"/>
        </w:rPr>
        <w:t>iteral D</w:t>
      </w:r>
      <w:r w:rsidR="006F1F04">
        <w:rPr>
          <w:rFonts w:ascii="Arial" w:hAnsi="Arial" w:cs="Arial"/>
          <w:sz w:val="24"/>
          <w:szCs w:val="24"/>
          <w:lang w:val="es-MX" w:eastAsia="es-ES"/>
        </w:rPr>
        <w:t>)</w:t>
      </w:r>
      <w:r>
        <w:rPr>
          <w:rFonts w:ascii="Arial" w:hAnsi="Arial" w:cs="Arial"/>
          <w:sz w:val="24"/>
          <w:szCs w:val="24"/>
          <w:lang w:val="es-MX" w:eastAsia="es-ES"/>
        </w:rPr>
        <w:t xml:space="preserve"> (Resultando 10);       </w:t>
      </w:r>
      <w:r>
        <w:rPr>
          <w:rFonts w:ascii="Arial" w:hAnsi="Arial" w:cs="Arial"/>
          <w:b/>
          <w:bCs/>
          <w:sz w:val="24"/>
          <w:szCs w:val="24"/>
          <w:lang w:val="es-MX" w:eastAsia="es-ES"/>
        </w:rPr>
        <w:t xml:space="preserve">              </w:t>
      </w:r>
      <w:r>
        <w:rPr>
          <w:rFonts w:ascii="Arial" w:hAnsi="Arial" w:cs="Arial"/>
          <w:sz w:val="24"/>
          <w:szCs w:val="24"/>
          <w:lang w:val="es-MX" w:eastAsia="es-ES"/>
        </w:rPr>
        <w:t xml:space="preserve">  </w:t>
      </w:r>
    </w:p>
    <w:p w:rsidR="00C708DE" w:rsidRDefault="00C708DE" w:rsidP="006F1F04">
      <w:pPr>
        <w:spacing w:after="0" w:line="360" w:lineRule="auto"/>
        <w:ind w:firstLine="851"/>
        <w:jc w:val="both"/>
        <w:rPr>
          <w:rFonts w:ascii="Arial" w:hAnsi="Arial" w:cs="Arial"/>
          <w:sz w:val="24"/>
          <w:szCs w:val="24"/>
          <w:lang w:val="es-MX" w:eastAsia="es-ES"/>
        </w:rPr>
      </w:pPr>
      <w:bookmarkStart w:id="0" w:name="_GoBack"/>
      <w:bookmarkEnd w:id="0"/>
      <w:r>
        <w:rPr>
          <w:rFonts w:ascii="Arial" w:hAnsi="Arial" w:cs="Arial"/>
          <w:b/>
          <w:bCs/>
          <w:sz w:val="24"/>
          <w:szCs w:val="24"/>
          <w:lang w:eastAsia="es-ES"/>
        </w:rPr>
        <w:t xml:space="preserve">ATENTO: </w:t>
      </w:r>
      <w:r>
        <w:rPr>
          <w:rFonts w:ascii="Arial" w:hAnsi="Arial" w:cs="Arial"/>
          <w:sz w:val="24"/>
          <w:szCs w:val="24"/>
          <w:lang w:eastAsia="es-ES"/>
        </w:rPr>
        <w:t>a lo expues</w:t>
      </w:r>
      <w:r w:rsidR="006F1F04">
        <w:rPr>
          <w:rFonts w:ascii="Arial" w:hAnsi="Arial" w:cs="Arial"/>
          <w:sz w:val="24"/>
          <w:szCs w:val="24"/>
          <w:lang w:eastAsia="es-ES"/>
        </w:rPr>
        <w:t>to y a lo dispuesto por los Artículo</w:t>
      </w:r>
      <w:r>
        <w:rPr>
          <w:rFonts w:ascii="Arial" w:hAnsi="Arial" w:cs="Arial"/>
          <w:sz w:val="24"/>
          <w:szCs w:val="24"/>
          <w:lang w:eastAsia="es-ES"/>
        </w:rPr>
        <w:t xml:space="preserve"> 211 </w:t>
      </w:r>
      <w:r w:rsidR="006F1F04">
        <w:rPr>
          <w:rFonts w:ascii="Arial" w:hAnsi="Arial" w:cs="Arial"/>
          <w:sz w:val="24"/>
          <w:szCs w:val="24"/>
          <w:lang w:eastAsia="es-ES"/>
        </w:rPr>
        <w:t>L</w:t>
      </w:r>
      <w:r>
        <w:rPr>
          <w:rFonts w:ascii="Arial" w:hAnsi="Arial" w:cs="Arial"/>
          <w:sz w:val="24"/>
          <w:szCs w:val="24"/>
          <w:lang w:eastAsia="es-ES"/>
        </w:rPr>
        <w:t>iteral B) de la Constitución de la República</w:t>
      </w:r>
      <w:r w:rsidR="006F1F04">
        <w:rPr>
          <w:rFonts w:ascii="Arial" w:hAnsi="Arial" w:cs="Arial"/>
          <w:sz w:val="24"/>
          <w:szCs w:val="24"/>
          <w:lang w:val="es-MX" w:eastAsia="es-ES"/>
        </w:rPr>
        <w:t>;</w:t>
      </w:r>
    </w:p>
    <w:p w:rsidR="00C708DE" w:rsidRDefault="00C708DE">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C708DE" w:rsidRDefault="00C708DE">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Observar el gasto;</w:t>
      </w:r>
    </w:p>
    <w:p w:rsidR="00C708DE" w:rsidRDefault="00C708DE">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Devolver las actuaciones.</w:t>
      </w:r>
    </w:p>
    <w:p w:rsidR="00C708DE" w:rsidRDefault="00C708DE">
      <w:pPr>
        <w:spacing w:after="0" w:line="360" w:lineRule="auto"/>
        <w:ind w:left="360"/>
        <w:rPr>
          <w:rFonts w:ascii="Arial" w:hAnsi="Arial" w:cs="Arial"/>
          <w:sz w:val="24"/>
          <w:szCs w:val="24"/>
          <w:lang w:val="es-MX" w:eastAsia="es-ES"/>
        </w:rPr>
      </w:pPr>
    </w:p>
    <w:p w:rsidR="00C708DE" w:rsidRDefault="006F1F04">
      <w:pPr>
        <w:spacing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C708DE" w:rsidSect="00E7679B">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B92"/>
    <w:multiLevelType w:val="singleLevel"/>
    <w:tmpl w:val="4B685114"/>
    <w:lvl w:ilvl="0">
      <w:start w:val="1"/>
      <w:numFmt w:val="decimal"/>
      <w:lvlText w:val="%1)"/>
      <w:lvlJc w:val="left"/>
      <w:pPr>
        <w:ind w:left="360" w:hanging="360"/>
      </w:pPr>
      <w:rPr>
        <w:rFonts w:ascii="Arial" w:hAnsi="Arial" w:cs="Arial" w:hint="default"/>
        <w:b/>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DE"/>
    <w:rsid w:val="00262AD5"/>
    <w:rsid w:val="00384487"/>
    <w:rsid w:val="00466EE3"/>
    <w:rsid w:val="005008FC"/>
    <w:rsid w:val="005C19D2"/>
    <w:rsid w:val="00627C67"/>
    <w:rsid w:val="006F1F04"/>
    <w:rsid w:val="00B654F1"/>
    <w:rsid w:val="00B837DE"/>
    <w:rsid w:val="00C708DE"/>
    <w:rsid w:val="00CB5674"/>
    <w:rsid w:val="00CC12B6"/>
    <w:rsid w:val="00E7679B"/>
    <w:rsid w:val="00EF3F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642</Words>
  <Characters>3431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CARPETA N°: 2014-17-1-0008777</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2014-17-1-0008777</dc:title>
  <dc:subject/>
  <dc:creator>ANDREA AREOSO USHER</dc:creator>
  <cp:keywords/>
  <dc:description/>
  <cp:lastModifiedBy>Andrea Gerner</cp:lastModifiedBy>
  <cp:revision>15</cp:revision>
  <cp:lastPrinted>2016-12-06T16:49:00Z</cp:lastPrinted>
  <dcterms:created xsi:type="dcterms:W3CDTF">2016-12-06T14:32:00Z</dcterms:created>
  <dcterms:modified xsi:type="dcterms:W3CDTF">2016-12-06T16:49:00Z</dcterms:modified>
</cp:coreProperties>
</file>