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FF9" w:rsidRPr="00156FF9" w:rsidRDefault="00156FF9" w:rsidP="00156FF9">
      <w:pPr>
        <w:tabs>
          <w:tab w:val="center" w:pos="4253"/>
        </w:tabs>
        <w:jc w:val="right"/>
        <w:rPr>
          <w:rFonts w:eastAsia="Arial"/>
        </w:rPr>
      </w:pPr>
      <w:bookmarkStart w:id="0" w:name="_GoBack"/>
      <w:bookmarkEnd w:id="0"/>
      <w:r w:rsidRPr="00786EEB">
        <w:rPr>
          <w:b/>
          <w:sz w:val="28"/>
          <w:szCs w:val="28"/>
          <w:lang w:val="es-ES_tradnl"/>
        </w:rPr>
        <w:t xml:space="preserve">RES. </w:t>
      </w:r>
      <w:r>
        <w:rPr>
          <w:b/>
          <w:sz w:val="28"/>
          <w:szCs w:val="28"/>
          <w:lang w:val="es-ES_tradnl"/>
        </w:rPr>
        <w:t>2947</w:t>
      </w:r>
      <w:r w:rsidRPr="00786EEB">
        <w:rPr>
          <w:b/>
          <w:sz w:val="28"/>
          <w:szCs w:val="28"/>
          <w:lang w:val="es-ES_tradnl"/>
        </w:rPr>
        <w:t>/16</w:t>
      </w:r>
    </w:p>
    <w:p w:rsidR="00156FF9" w:rsidRDefault="00156FF9" w:rsidP="008612FE">
      <w:pPr>
        <w:tabs>
          <w:tab w:val="center" w:pos="4253"/>
        </w:tabs>
        <w:jc w:val="right"/>
        <w:rPr>
          <w:b/>
          <w:lang w:val="es-ES_tradnl"/>
        </w:rPr>
      </w:pPr>
    </w:p>
    <w:p w:rsidR="00156FF9" w:rsidRPr="00156FF9" w:rsidRDefault="00156FF9">
      <w:pPr>
        <w:tabs>
          <w:tab w:val="center" w:pos="4253"/>
        </w:tabs>
        <w:jc w:val="center"/>
        <w:rPr>
          <w:b/>
          <w:lang w:val="es-ES_tradnl"/>
        </w:rPr>
      </w:pPr>
      <w:r w:rsidRPr="00156FF9">
        <w:rPr>
          <w:b/>
          <w:lang w:val="es-ES_tradnl"/>
        </w:rPr>
        <w:t>RESOLUCION ADOPTADA POR EL</w:t>
      </w:r>
    </w:p>
    <w:p w:rsidR="00156FF9" w:rsidRPr="00156FF9" w:rsidRDefault="00156FF9">
      <w:pPr>
        <w:tabs>
          <w:tab w:val="left" w:pos="-720"/>
        </w:tabs>
        <w:jc w:val="center"/>
        <w:rPr>
          <w:b/>
          <w:lang w:val="es-ES_tradnl"/>
        </w:rPr>
      </w:pPr>
    </w:p>
    <w:p w:rsidR="00156FF9" w:rsidRPr="00156FF9" w:rsidRDefault="00156FF9">
      <w:pPr>
        <w:tabs>
          <w:tab w:val="center" w:pos="4253"/>
        </w:tabs>
        <w:jc w:val="center"/>
        <w:rPr>
          <w:b/>
          <w:lang w:val="es-ES_tradnl"/>
        </w:rPr>
      </w:pPr>
      <w:r w:rsidRPr="00156FF9">
        <w:rPr>
          <w:b/>
          <w:lang w:val="es-ES_tradnl"/>
        </w:rPr>
        <w:t>TRIBUNAL DE CUENTAS</w:t>
      </w:r>
    </w:p>
    <w:p w:rsidR="00156FF9" w:rsidRPr="00156FF9" w:rsidRDefault="00156FF9">
      <w:pPr>
        <w:tabs>
          <w:tab w:val="left" w:pos="-720"/>
        </w:tabs>
        <w:jc w:val="center"/>
        <w:rPr>
          <w:b/>
          <w:lang w:val="es-ES_tradnl"/>
        </w:rPr>
      </w:pPr>
    </w:p>
    <w:p w:rsidR="00156FF9" w:rsidRPr="00156FF9" w:rsidRDefault="00156FF9">
      <w:pPr>
        <w:tabs>
          <w:tab w:val="center" w:pos="4253"/>
        </w:tabs>
        <w:jc w:val="center"/>
        <w:rPr>
          <w:b/>
          <w:lang w:val="es-ES_tradnl"/>
        </w:rPr>
      </w:pPr>
      <w:r w:rsidRPr="00156FF9">
        <w:rPr>
          <w:b/>
          <w:lang w:val="es-ES_tradnl"/>
        </w:rPr>
        <w:t>EN SESION DE FECHA 24 DE AGOSTO DE 2016</w:t>
      </w:r>
    </w:p>
    <w:p w:rsidR="00156FF9" w:rsidRPr="00156FF9" w:rsidRDefault="00156FF9">
      <w:pPr>
        <w:tabs>
          <w:tab w:val="center" w:pos="4253"/>
        </w:tabs>
        <w:jc w:val="center"/>
        <w:rPr>
          <w:b/>
          <w:lang w:val="es-ES_tradnl"/>
        </w:rPr>
      </w:pPr>
    </w:p>
    <w:p w:rsidR="00156FF9" w:rsidRPr="00156FF9" w:rsidRDefault="00156FF9">
      <w:pPr>
        <w:tabs>
          <w:tab w:val="center" w:pos="4253"/>
        </w:tabs>
        <w:jc w:val="center"/>
        <w:rPr>
          <w:b/>
        </w:rPr>
      </w:pPr>
      <w:r w:rsidRPr="00156FF9">
        <w:rPr>
          <w:b/>
        </w:rPr>
        <w:t xml:space="preserve">(E. E. Nº 2016-17-1-0003896, </w:t>
      </w:r>
      <w:proofErr w:type="spellStart"/>
      <w:r w:rsidRPr="00156FF9">
        <w:rPr>
          <w:b/>
        </w:rPr>
        <w:t>Ent</w:t>
      </w:r>
      <w:proofErr w:type="spellEnd"/>
      <w:r w:rsidRPr="00156FF9">
        <w:rPr>
          <w:b/>
        </w:rPr>
        <w:t xml:space="preserve">. N° </w:t>
      </w:r>
      <w:r w:rsidRPr="00156FF9">
        <w:rPr>
          <w:b/>
          <w:bCs/>
        </w:rPr>
        <w:t>2961/16</w:t>
      </w:r>
      <w:r w:rsidRPr="00156FF9">
        <w:rPr>
          <w:b/>
        </w:rPr>
        <w:t>)</w:t>
      </w:r>
    </w:p>
    <w:p w:rsidR="00156FF9" w:rsidRPr="00156FF9" w:rsidRDefault="00156FF9">
      <w:pPr>
        <w:tabs>
          <w:tab w:val="center" w:pos="4253"/>
        </w:tabs>
        <w:jc w:val="center"/>
        <w:rPr>
          <w:rFonts w:ascii="Helvetica" w:hAnsi="Helvetica"/>
          <w:b/>
        </w:rPr>
      </w:pPr>
    </w:p>
    <w:p w:rsidR="00156FF9" w:rsidRPr="00156FF9" w:rsidRDefault="00156FF9" w:rsidP="008612FE">
      <w:pPr>
        <w:tabs>
          <w:tab w:val="center" w:pos="4253"/>
        </w:tabs>
        <w:jc w:val="right"/>
        <w:rPr>
          <w:spacing w:val="-3"/>
        </w:rPr>
      </w:pPr>
    </w:p>
    <w:p w:rsidR="00156FF9" w:rsidRPr="00156FF9" w:rsidRDefault="00156FF9">
      <w:pPr>
        <w:tabs>
          <w:tab w:val="center" w:pos="4253"/>
        </w:tabs>
        <w:rPr>
          <w:spacing w:val="-3"/>
        </w:rPr>
      </w:pPr>
    </w:p>
    <w:p w:rsidR="00C545CB" w:rsidRPr="00C00C1B" w:rsidRDefault="00C545CB" w:rsidP="00156FF9">
      <w:pPr>
        <w:spacing w:line="360" w:lineRule="auto"/>
        <w:ind w:firstLine="851"/>
        <w:jc w:val="both"/>
      </w:pPr>
      <w:r w:rsidRPr="00C00C1B">
        <w:rPr>
          <w:b/>
        </w:rPr>
        <w:t>VISTO:</w:t>
      </w:r>
      <w:r w:rsidRPr="00C00C1B">
        <w:t xml:space="preserve"> la Rendición de Cuentas y Balance de Ejecución Presupuestal de la Junta Departamental de </w:t>
      </w:r>
      <w:r w:rsidR="00131818">
        <w:t>Rocha</w:t>
      </w:r>
      <w:r w:rsidRPr="00C00C1B">
        <w:t xml:space="preserve"> correspondiente al </w:t>
      </w:r>
      <w:r w:rsidR="00156FF9">
        <w:t>E</w:t>
      </w:r>
      <w:r w:rsidRPr="00C00C1B">
        <w:t>jercicio 201</w:t>
      </w:r>
      <w:r w:rsidR="00131818">
        <w:t>5</w:t>
      </w:r>
      <w:r w:rsidRPr="00C00C1B">
        <w:t>;</w:t>
      </w:r>
    </w:p>
    <w:p w:rsidR="000A7E49" w:rsidRDefault="000A7E49" w:rsidP="00156FF9">
      <w:pPr>
        <w:spacing w:line="360" w:lineRule="auto"/>
        <w:ind w:firstLine="851"/>
        <w:jc w:val="both"/>
        <w:rPr>
          <w:rFonts w:eastAsia="Arial"/>
          <w:b/>
        </w:rPr>
      </w:pPr>
      <w:r>
        <w:rPr>
          <w:b/>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w:t>
      </w:r>
      <w:r w:rsidR="00BE5FDF">
        <w:t xml:space="preserve"> </w:t>
      </w:r>
      <w:r>
        <w:t>habiéndose llevado a cabo los procedimientos considerados necesarios en las circunstancias;</w:t>
      </w:r>
    </w:p>
    <w:p w:rsidR="000A7E49" w:rsidRDefault="000A7E49" w:rsidP="00156FF9">
      <w:pPr>
        <w:spacing w:line="360" w:lineRule="auto"/>
        <w:ind w:firstLine="851"/>
        <w:jc w:val="both"/>
        <w:rPr>
          <w:b/>
        </w:rPr>
      </w:pPr>
      <w:r>
        <w:rPr>
          <w:b/>
        </w:rPr>
        <w:t xml:space="preserve">CONSIDERANDO: </w:t>
      </w:r>
      <w:r>
        <w:t>que las conclusiones y evidencias obtenidas son las que se expresan en el Informe de Auditoría, que incluye Dictamen e Informe a la Administración;</w:t>
      </w:r>
    </w:p>
    <w:p w:rsidR="000A7E49" w:rsidRDefault="000A7E49" w:rsidP="00156FF9">
      <w:pPr>
        <w:spacing w:line="360" w:lineRule="auto"/>
        <w:ind w:firstLine="851"/>
        <w:jc w:val="both"/>
        <w:rPr>
          <w:b/>
          <w:bCs/>
        </w:rPr>
      </w:pPr>
      <w:r>
        <w:rPr>
          <w:b/>
        </w:rPr>
        <w:t xml:space="preserve">ATENTO: </w:t>
      </w:r>
      <w:r>
        <w:t>a lo dispuesto por el Art</w:t>
      </w:r>
      <w:r w:rsidR="00156FF9">
        <w:t>ículo</w:t>
      </w:r>
      <w:r>
        <w:t xml:space="preserve"> 211 Lit</w:t>
      </w:r>
      <w:r w:rsidR="00156FF9">
        <w:t>eral</w:t>
      </w:r>
      <w:r>
        <w:t xml:space="preserve"> C) de la Constitución de la República;</w:t>
      </w:r>
    </w:p>
    <w:p w:rsidR="000A7E49" w:rsidRDefault="000A7E49" w:rsidP="000A7E49">
      <w:pPr>
        <w:spacing w:line="360" w:lineRule="auto"/>
        <w:jc w:val="center"/>
      </w:pPr>
      <w:r>
        <w:rPr>
          <w:b/>
          <w:bCs/>
        </w:rPr>
        <w:t>EL TRIBUNAL ACUERDA</w:t>
      </w:r>
    </w:p>
    <w:p w:rsidR="00C545CB" w:rsidRPr="00C00C1B" w:rsidRDefault="00C545CB" w:rsidP="00C545CB">
      <w:pPr>
        <w:numPr>
          <w:ilvl w:val="0"/>
          <w:numId w:val="1"/>
        </w:numPr>
        <w:suppressAutoHyphens w:val="0"/>
        <w:spacing w:line="360" w:lineRule="auto"/>
        <w:jc w:val="both"/>
      </w:pPr>
      <w:r w:rsidRPr="00C00C1B">
        <w:t>E</w:t>
      </w:r>
      <w:r w:rsidR="00364CC7">
        <w:t xml:space="preserve">xpedirse </w:t>
      </w:r>
      <w:r w:rsidRPr="00C00C1B">
        <w:t>en los términos del Informe de Auditoría que se adjunta</w:t>
      </w:r>
      <w:r w:rsidR="00156FF9">
        <w:t>;</w:t>
      </w:r>
    </w:p>
    <w:p w:rsidR="00C545CB" w:rsidRPr="00C00C1B" w:rsidRDefault="00C545CB" w:rsidP="00C545CB">
      <w:pPr>
        <w:numPr>
          <w:ilvl w:val="0"/>
          <w:numId w:val="1"/>
        </w:numPr>
        <w:suppressAutoHyphens w:val="0"/>
        <w:spacing w:line="360" w:lineRule="auto"/>
        <w:jc w:val="both"/>
      </w:pPr>
      <w:r w:rsidRPr="00C00C1B">
        <w:t>Comunicar la presente Resolución a la Intendencia</w:t>
      </w:r>
      <w:r w:rsidR="001C656F">
        <w:t xml:space="preserve"> </w:t>
      </w:r>
      <w:r>
        <w:t>y a</w:t>
      </w:r>
      <w:r w:rsidR="00C46C05">
        <w:t xml:space="preserve"> </w:t>
      </w:r>
      <w:r>
        <w:t>l</w:t>
      </w:r>
      <w:r w:rsidR="00C46C05">
        <w:t>a</w:t>
      </w:r>
      <w:r>
        <w:t xml:space="preserve"> Junta Departamental </w:t>
      </w:r>
      <w:r w:rsidRPr="00C00C1B">
        <w:t xml:space="preserve">de </w:t>
      </w:r>
      <w:r w:rsidR="00131818">
        <w:t>Rocha</w:t>
      </w:r>
      <w:r w:rsidR="00156FF9">
        <w:t>;</w:t>
      </w:r>
    </w:p>
    <w:p w:rsidR="000A7E49" w:rsidRDefault="000A7E49" w:rsidP="000A7E49">
      <w:pPr>
        <w:numPr>
          <w:ilvl w:val="0"/>
          <w:numId w:val="1"/>
        </w:numPr>
        <w:spacing w:line="360" w:lineRule="auto"/>
        <w:jc w:val="both"/>
      </w:pPr>
      <w:r w:rsidRPr="00CB780A">
        <w:t>Dar cuenta a la Asamblea General</w:t>
      </w:r>
      <w:r>
        <w:t>.</w:t>
      </w:r>
    </w:p>
    <w:p w:rsidR="00A815E3" w:rsidRDefault="00A815E3" w:rsidP="00A815E3">
      <w:pPr>
        <w:spacing w:line="360" w:lineRule="auto"/>
        <w:ind w:left="360"/>
        <w:jc w:val="both"/>
      </w:pPr>
    </w:p>
    <w:p w:rsidR="000A7E49" w:rsidRDefault="00156FF9" w:rsidP="000A7E49">
      <w:pPr>
        <w:spacing w:line="360" w:lineRule="auto"/>
        <w:jc w:val="both"/>
      </w:pPr>
      <w:proofErr w:type="spellStart"/>
      <w:proofErr w:type="gramStart"/>
      <w:r>
        <w:t>bf</w:t>
      </w:r>
      <w:proofErr w:type="spellEnd"/>
      <w:proofErr w:type="gramEnd"/>
    </w:p>
    <w:p w:rsidR="000A7E49" w:rsidRDefault="000A7E49" w:rsidP="000A7E49">
      <w:pPr>
        <w:spacing w:line="360" w:lineRule="auto"/>
        <w:jc w:val="both"/>
      </w:pPr>
    </w:p>
    <w:p w:rsidR="00FF1F27" w:rsidRDefault="00FF1F27"/>
    <w:p w:rsidR="00620685" w:rsidRDefault="00620685"/>
    <w:p w:rsidR="00620685" w:rsidRPr="00031380" w:rsidRDefault="00620685" w:rsidP="008612FE">
      <w:pPr>
        <w:spacing w:line="360" w:lineRule="auto"/>
        <w:jc w:val="center"/>
        <w:outlineLvl w:val="0"/>
        <w:rPr>
          <w:b/>
          <w:caps/>
          <w:kern w:val="18"/>
          <w:lang w:eastAsia="es-ES"/>
        </w:rPr>
      </w:pPr>
      <w:bookmarkStart w:id="1" w:name="_Toc71366619"/>
      <w:bookmarkStart w:id="2" w:name="_Toc76280777"/>
      <w:bookmarkStart w:id="3" w:name="_Toc422141161"/>
      <w:r w:rsidRPr="00031380">
        <w:rPr>
          <w:b/>
          <w:caps/>
          <w:kern w:val="18"/>
          <w:lang w:eastAsia="es-ES"/>
        </w:rPr>
        <w:lastRenderedPageBreak/>
        <w:t>DICTAMEN</w:t>
      </w:r>
      <w:bookmarkEnd w:id="1"/>
      <w:bookmarkEnd w:id="2"/>
      <w:bookmarkEnd w:id="3"/>
    </w:p>
    <w:p w:rsidR="00620685" w:rsidRPr="00031380" w:rsidRDefault="00620685" w:rsidP="008612FE">
      <w:pPr>
        <w:rPr>
          <w:lang w:eastAsia="es-ES"/>
        </w:rPr>
      </w:pPr>
    </w:p>
    <w:p w:rsidR="00620685" w:rsidRPr="00031380" w:rsidRDefault="00620685" w:rsidP="008612FE">
      <w:pPr>
        <w:spacing w:line="360" w:lineRule="auto"/>
        <w:ind w:firstLine="851"/>
        <w:jc w:val="both"/>
        <w:rPr>
          <w:kern w:val="18"/>
          <w:szCs w:val="20"/>
          <w:lang w:eastAsia="es-ES"/>
        </w:rPr>
      </w:pPr>
      <w:r w:rsidRPr="00031380">
        <w:rPr>
          <w:kern w:val="18"/>
          <w:szCs w:val="20"/>
          <w:lang w:eastAsia="es-ES"/>
        </w:rPr>
        <w:t>El Tribunal de Cuentas ha examinado la Rendición de Cuentas y el Balance de Ejecución Presupuestal de la Junta Departamental de Rocha correspondiente al Ejercicio 2015, que incluye los siguientes estados: de ejecución presupuestal con relación a los créditos, de evolución de las obligaciones presupuestales impagas, de fondos indisponibles y</w:t>
      </w:r>
      <w:r w:rsidR="008612FE">
        <w:rPr>
          <w:kern w:val="18"/>
          <w:szCs w:val="20"/>
          <w:lang w:eastAsia="es-ES"/>
        </w:rPr>
        <w:t xml:space="preserve"> otros estados complementarios.</w:t>
      </w:r>
    </w:p>
    <w:p w:rsidR="00620685" w:rsidRPr="00031380" w:rsidRDefault="00620685" w:rsidP="008612FE">
      <w:pPr>
        <w:spacing w:line="360" w:lineRule="auto"/>
        <w:jc w:val="both"/>
        <w:rPr>
          <w:kern w:val="18"/>
          <w:szCs w:val="20"/>
          <w:lang w:eastAsia="es-ES"/>
        </w:rPr>
      </w:pPr>
      <w:r w:rsidRPr="00031380">
        <w:rPr>
          <w:kern w:val="18"/>
          <w:szCs w:val="20"/>
          <w:lang w:eastAsia="es-ES"/>
        </w:rPr>
        <w:t>El Tribunal de Cuentas también ha auditado el cumplimiento por parte de la Junta Departamental de las normas legales vigentes.</w:t>
      </w:r>
    </w:p>
    <w:p w:rsidR="00620685" w:rsidRPr="00031380" w:rsidRDefault="00620685" w:rsidP="008612FE">
      <w:pPr>
        <w:spacing w:line="360" w:lineRule="auto"/>
        <w:jc w:val="both"/>
        <w:rPr>
          <w:kern w:val="18"/>
          <w:szCs w:val="20"/>
          <w:lang w:eastAsia="es-ES"/>
        </w:rPr>
      </w:pPr>
    </w:p>
    <w:p w:rsidR="00620685" w:rsidRPr="00031380" w:rsidRDefault="00620685" w:rsidP="008612FE">
      <w:pPr>
        <w:spacing w:line="360" w:lineRule="auto"/>
        <w:jc w:val="both"/>
        <w:rPr>
          <w:b/>
          <w:bCs/>
          <w:kern w:val="18"/>
          <w:szCs w:val="20"/>
          <w:lang w:eastAsia="es-ES"/>
        </w:rPr>
      </w:pPr>
      <w:r w:rsidRPr="00031380">
        <w:rPr>
          <w:b/>
          <w:bCs/>
          <w:kern w:val="18"/>
          <w:szCs w:val="20"/>
          <w:lang w:eastAsia="es-ES"/>
        </w:rPr>
        <w:t>Responsabilidad de la Junta Departamental</w:t>
      </w:r>
    </w:p>
    <w:p w:rsidR="00620685" w:rsidRPr="00031380" w:rsidRDefault="00620685" w:rsidP="008612FE">
      <w:pPr>
        <w:spacing w:line="360" w:lineRule="auto"/>
        <w:ind w:firstLine="851"/>
        <w:jc w:val="both"/>
        <w:rPr>
          <w:kern w:val="18"/>
          <w:szCs w:val="20"/>
          <w:lang w:eastAsia="es-ES"/>
        </w:rPr>
      </w:pPr>
      <w:r w:rsidRPr="00031380">
        <w:rPr>
          <w:kern w:val="18"/>
          <w:szCs w:val="20"/>
          <w:lang w:eastAsia="es-ES"/>
        </w:rPr>
        <w:t xml:space="preserve">La Junta Departamental es responsable por la preparación y la razonable presentación de estos estados de acuerdo con la normativa vigente y con la Resolución de este Tribunal de fecha 28/01/04. Esta responsabilidad incluye diseñar, implementar y mantener un sistema de control interno adecuado para la preparación y presentación razonable de estados que estén libres de errores significativos, ya sea debido a fraude o error, seleccionar y aplicar </w:t>
      </w:r>
      <w:r w:rsidR="008612FE">
        <w:rPr>
          <w:kern w:val="18"/>
          <w:szCs w:val="20"/>
          <w:lang w:eastAsia="es-ES"/>
        </w:rPr>
        <w:t>políticas contables apropiadas.</w:t>
      </w:r>
    </w:p>
    <w:p w:rsidR="00620685" w:rsidRPr="00031380" w:rsidRDefault="00620685" w:rsidP="008612FE">
      <w:pPr>
        <w:spacing w:line="360" w:lineRule="auto"/>
        <w:jc w:val="both"/>
        <w:rPr>
          <w:kern w:val="18"/>
          <w:szCs w:val="20"/>
          <w:lang w:eastAsia="es-ES"/>
        </w:rPr>
      </w:pPr>
    </w:p>
    <w:p w:rsidR="00620685" w:rsidRPr="00031380" w:rsidRDefault="00620685" w:rsidP="008612FE">
      <w:pPr>
        <w:spacing w:line="360" w:lineRule="auto"/>
        <w:jc w:val="both"/>
        <w:rPr>
          <w:b/>
          <w:bCs/>
          <w:kern w:val="18"/>
          <w:szCs w:val="20"/>
          <w:lang w:eastAsia="es-ES"/>
        </w:rPr>
      </w:pPr>
      <w:r w:rsidRPr="00031380">
        <w:rPr>
          <w:b/>
          <w:bCs/>
          <w:kern w:val="18"/>
          <w:szCs w:val="20"/>
          <w:lang w:eastAsia="es-ES"/>
        </w:rPr>
        <w:t xml:space="preserve">Responsabilidad del </w:t>
      </w:r>
      <w:r>
        <w:rPr>
          <w:b/>
          <w:bCs/>
          <w:kern w:val="18"/>
          <w:szCs w:val="20"/>
          <w:lang w:eastAsia="es-ES"/>
        </w:rPr>
        <w:t>A</w:t>
      </w:r>
      <w:r w:rsidRPr="00031380">
        <w:rPr>
          <w:b/>
          <w:bCs/>
          <w:kern w:val="18"/>
          <w:szCs w:val="20"/>
          <w:lang w:eastAsia="es-ES"/>
        </w:rPr>
        <w:t>uditor</w:t>
      </w:r>
    </w:p>
    <w:p w:rsidR="00620685" w:rsidRPr="00031380" w:rsidRDefault="00620685" w:rsidP="008612FE">
      <w:pPr>
        <w:spacing w:line="360" w:lineRule="auto"/>
        <w:ind w:firstLine="851"/>
        <w:jc w:val="both"/>
        <w:rPr>
          <w:b/>
          <w:lang w:val="es-UY"/>
        </w:rPr>
      </w:pPr>
      <w:r w:rsidRPr="00031380">
        <w:rPr>
          <w:lang w:val="es-UY"/>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contables están li</w:t>
      </w:r>
      <w:r w:rsidR="008612FE">
        <w:rPr>
          <w:lang w:val="es-UY"/>
        </w:rPr>
        <w:t>bres de errores significativos.</w:t>
      </w:r>
    </w:p>
    <w:p w:rsidR="00620685" w:rsidRPr="00031380" w:rsidRDefault="00620685" w:rsidP="008612FE">
      <w:pPr>
        <w:spacing w:line="360" w:lineRule="auto"/>
        <w:ind w:firstLine="851"/>
        <w:jc w:val="both"/>
        <w:rPr>
          <w:b/>
          <w:lang w:val="es-UY"/>
        </w:rPr>
      </w:pPr>
      <w:r w:rsidRPr="00031380">
        <w:rPr>
          <w:lang w:val="es-UY"/>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620685" w:rsidRPr="00031380" w:rsidRDefault="00620685" w:rsidP="008612FE">
      <w:pPr>
        <w:spacing w:line="360" w:lineRule="auto"/>
        <w:ind w:firstLine="851"/>
        <w:jc w:val="both"/>
        <w:rPr>
          <w:kern w:val="18"/>
          <w:szCs w:val="20"/>
          <w:lang w:eastAsia="es-ES"/>
        </w:rPr>
      </w:pPr>
      <w:r w:rsidRPr="00031380">
        <w:rPr>
          <w:lang w:eastAsia="es-ES"/>
        </w:rPr>
        <w:t>Se considera que la evidencia de auditoría obtenida brinda una base suficiente y apropiada para sustentar la opinión.</w:t>
      </w:r>
    </w:p>
    <w:p w:rsidR="00620685" w:rsidRPr="00031380" w:rsidRDefault="00620685" w:rsidP="008612FE">
      <w:pPr>
        <w:spacing w:line="360" w:lineRule="auto"/>
        <w:jc w:val="both"/>
        <w:rPr>
          <w:kern w:val="18"/>
          <w:szCs w:val="20"/>
          <w:lang w:eastAsia="es-ES"/>
        </w:rPr>
      </w:pPr>
    </w:p>
    <w:p w:rsidR="00620685" w:rsidRPr="0040654C" w:rsidRDefault="00620685" w:rsidP="008612FE">
      <w:pPr>
        <w:spacing w:line="360" w:lineRule="auto"/>
        <w:jc w:val="both"/>
        <w:rPr>
          <w:b/>
          <w:highlight w:val="yellow"/>
          <w:lang w:val="es-UY"/>
        </w:rPr>
      </w:pPr>
      <w:r w:rsidRPr="0040654C">
        <w:rPr>
          <w:b/>
          <w:lang w:val="es-UY"/>
        </w:rPr>
        <w:t>Opinión</w:t>
      </w:r>
    </w:p>
    <w:p w:rsidR="00620685" w:rsidRPr="00031380" w:rsidRDefault="00620685" w:rsidP="008612FE">
      <w:pPr>
        <w:spacing w:line="360" w:lineRule="auto"/>
        <w:ind w:firstLine="851"/>
        <w:jc w:val="both"/>
        <w:rPr>
          <w:lang w:eastAsia="es-ES"/>
        </w:rPr>
      </w:pPr>
      <w:r w:rsidRPr="00031380">
        <w:rPr>
          <w:lang w:eastAsia="es-ES"/>
        </w:rPr>
        <w:t>En opinión del Tribunal de Cuentas, los estados mencionados presentan razonablemente, en todos sus aspectos importantes, la ejecución presupuestal del Ejercicio 2015, la evolución de las obligaciones presupuestales impagas y de los fondos indisponibles de acuerdo con las normas establecidas en el TOCAF y a la Resolución de este Tribunal de fecha 28/01/04.</w:t>
      </w:r>
    </w:p>
    <w:p w:rsidR="00620685" w:rsidRPr="00031380" w:rsidRDefault="00620685" w:rsidP="008612FE">
      <w:pPr>
        <w:spacing w:line="360" w:lineRule="auto"/>
        <w:jc w:val="both"/>
        <w:rPr>
          <w:lang w:eastAsia="es-ES"/>
        </w:rPr>
      </w:pPr>
    </w:p>
    <w:p w:rsidR="00620685" w:rsidRDefault="00620685" w:rsidP="008612FE">
      <w:pPr>
        <w:spacing w:line="360" w:lineRule="auto"/>
        <w:ind w:firstLine="851"/>
        <w:jc w:val="both"/>
        <w:rPr>
          <w:lang w:eastAsia="es-ES"/>
        </w:rPr>
      </w:pPr>
      <w:r w:rsidRPr="00031380">
        <w:rPr>
          <w:lang w:eastAsia="es-ES"/>
        </w:rPr>
        <w:t xml:space="preserve">Con relación al cumplimiento de las disposiciones legales que fueron objeto de examen y en aplicación a lo dispuesto por el Artículo 211 </w:t>
      </w:r>
      <w:r>
        <w:rPr>
          <w:lang w:eastAsia="es-ES"/>
        </w:rPr>
        <w:t>L</w:t>
      </w:r>
      <w:r w:rsidRPr="00031380">
        <w:rPr>
          <w:lang w:eastAsia="es-ES"/>
        </w:rPr>
        <w:t>iterales C) y E) de la Constitución de la República, en opinión del Tribunal de Cuentas no se ha dado cumplimiento a las siguientes normas:</w:t>
      </w:r>
    </w:p>
    <w:p w:rsidR="008612FE" w:rsidRPr="00031380" w:rsidRDefault="008612FE" w:rsidP="008612FE">
      <w:pPr>
        <w:spacing w:line="360" w:lineRule="auto"/>
        <w:ind w:firstLine="851"/>
        <w:jc w:val="both"/>
        <w:rPr>
          <w:lang w:eastAsia="es-ES"/>
        </w:rPr>
      </w:pPr>
    </w:p>
    <w:p w:rsidR="00620685" w:rsidRPr="00031380" w:rsidRDefault="00620685" w:rsidP="008612FE">
      <w:pPr>
        <w:spacing w:line="360" w:lineRule="auto"/>
        <w:jc w:val="both"/>
        <w:rPr>
          <w:lang w:eastAsia="es-ES"/>
        </w:rPr>
      </w:pPr>
      <w:r w:rsidRPr="00031380">
        <w:rPr>
          <w:b/>
          <w:bCs/>
          <w:lang w:eastAsia="es-ES"/>
        </w:rPr>
        <w:t xml:space="preserve">Artículo 94 del TOCAF y Ordenanza N° 81 del Tribunal de Cuentas: </w:t>
      </w:r>
      <w:r w:rsidRPr="00031380">
        <w:rPr>
          <w:lang w:eastAsia="es-ES"/>
        </w:rPr>
        <w:t xml:space="preserve">No se ha dado cumplimiento a lo establecido en la Ordenanza de este Tribunal al no </w:t>
      </w:r>
      <w:proofErr w:type="gramStart"/>
      <w:r w:rsidRPr="00031380">
        <w:rPr>
          <w:lang w:eastAsia="es-ES"/>
        </w:rPr>
        <w:t>presentarse</w:t>
      </w:r>
      <w:proofErr w:type="gramEnd"/>
      <w:r w:rsidRPr="00031380">
        <w:rPr>
          <w:lang w:eastAsia="es-ES"/>
        </w:rPr>
        <w:t xml:space="preserve"> los estados contables exigidos por la mencionada norma.</w:t>
      </w:r>
    </w:p>
    <w:p w:rsidR="00620685" w:rsidRPr="00031380" w:rsidRDefault="00620685" w:rsidP="008612FE">
      <w:pPr>
        <w:spacing w:line="360" w:lineRule="auto"/>
        <w:jc w:val="both"/>
        <w:rPr>
          <w:lang w:eastAsia="es-ES"/>
        </w:rPr>
      </w:pPr>
      <w:r w:rsidRPr="00031380">
        <w:rPr>
          <w:b/>
          <w:bCs/>
          <w:lang w:eastAsia="es-ES"/>
        </w:rPr>
        <w:t>Artículos 90 y 154 del TOCAF:</w:t>
      </w:r>
      <w:r w:rsidRPr="00031380">
        <w:rPr>
          <w:lang w:eastAsia="es-ES"/>
        </w:rPr>
        <w:t xml:space="preserve"> La Junta Departamental no ha contratado fianza o póliza de seguros respecto de los funcionarios que manejan o </w:t>
      </w:r>
      <w:r w:rsidR="008612FE">
        <w:rPr>
          <w:lang w:eastAsia="es-ES"/>
        </w:rPr>
        <w:t>custodian fondos o valores.</w:t>
      </w:r>
    </w:p>
    <w:p w:rsidR="00620685" w:rsidRPr="00031380" w:rsidRDefault="00620685" w:rsidP="008612FE">
      <w:pPr>
        <w:spacing w:line="360" w:lineRule="auto"/>
        <w:jc w:val="both"/>
        <w:rPr>
          <w:lang w:eastAsia="es-ES"/>
        </w:rPr>
      </w:pPr>
      <w:r w:rsidRPr="00031380">
        <w:rPr>
          <w:b/>
          <w:bCs/>
          <w:lang w:eastAsia="es-ES"/>
        </w:rPr>
        <w:t>Resoluciones 42/07, 43/07</w:t>
      </w:r>
      <w:r w:rsidRPr="008612FE">
        <w:rPr>
          <w:b/>
          <w:lang w:eastAsia="es-ES"/>
        </w:rPr>
        <w:t>,</w:t>
      </w:r>
      <w:r w:rsidRPr="00031380">
        <w:rPr>
          <w:lang w:eastAsia="es-ES"/>
        </w:rPr>
        <w:t xml:space="preserve"> </w:t>
      </w:r>
      <w:r w:rsidRPr="00031380">
        <w:rPr>
          <w:b/>
          <w:bCs/>
          <w:lang w:eastAsia="es-ES"/>
        </w:rPr>
        <w:t>80/11 y 81/11 de la Junta y Resolución del Tribunal de Cuentas de 22/12/10:</w:t>
      </w:r>
      <w:r w:rsidRPr="00031380">
        <w:rPr>
          <w:lang w:eastAsia="es-ES"/>
        </w:rPr>
        <w:t xml:space="preserve"> Durante el Ejercicio 2015 se abonaron partidas compensatorias de gastos por viáticos, traslados a los Señores Ediles sin verificarse el cumplimiento total de lo dispuesto por estas normas.</w:t>
      </w:r>
    </w:p>
    <w:p w:rsidR="00620685" w:rsidRPr="00031380" w:rsidRDefault="00620685" w:rsidP="008612FE">
      <w:pPr>
        <w:spacing w:after="240" w:line="360" w:lineRule="auto"/>
        <w:jc w:val="both"/>
        <w:rPr>
          <w:bCs/>
          <w:lang w:eastAsia="es-ES"/>
        </w:rPr>
      </w:pPr>
      <w:r w:rsidRPr="00031380">
        <w:rPr>
          <w:b/>
          <w:bCs/>
          <w:lang w:eastAsia="es-ES"/>
        </w:rPr>
        <w:t xml:space="preserve">Artículos 84 y 97 del TOCAF: </w:t>
      </w:r>
      <w:r w:rsidRPr="00031380">
        <w:rPr>
          <w:bCs/>
          <w:lang w:eastAsia="es-ES"/>
        </w:rPr>
        <w:t>No existe un inventario valuado al 31/12/2015 de los bienes de uso de la Junta.</w:t>
      </w:r>
    </w:p>
    <w:p w:rsidR="00620685" w:rsidRPr="00031380" w:rsidRDefault="00620685" w:rsidP="008612FE">
      <w:pPr>
        <w:spacing w:after="240" w:line="360" w:lineRule="auto"/>
        <w:jc w:val="both"/>
        <w:rPr>
          <w:kern w:val="18"/>
          <w:szCs w:val="20"/>
          <w:lang w:val="es-ES_tradnl" w:eastAsia="es-ES"/>
        </w:rPr>
      </w:pPr>
      <w:r w:rsidRPr="00031380">
        <w:rPr>
          <w:b/>
          <w:bCs/>
          <w:kern w:val="18"/>
          <w:szCs w:val="20"/>
          <w:lang w:val="es-ES_tradnl" w:eastAsia="es-ES"/>
        </w:rPr>
        <w:t>Art. 50 del TOCAF. No se realizaron las publicaciones en la página web de</w:t>
      </w:r>
      <w:r w:rsidRPr="00031380">
        <w:rPr>
          <w:kern w:val="18"/>
          <w:szCs w:val="20"/>
          <w:lang w:val="es-ES_tradnl" w:eastAsia="es-ES"/>
        </w:rPr>
        <w:t xml:space="preserve"> Compras y Contrataciones Estatales, de las contrataciones de obras, bienes y servic</w:t>
      </w:r>
      <w:r w:rsidR="008612FE">
        <w:rPr>
          <w:kern w:val="18"/>
          <w:szCs w:val="20"/>
          <w:lang w:val="es-ES_tradnl" w:eastAsia="es-ES"/>
        </w:rPr>
        <w:t>ios, así como las ampliaciones.</w:t>
      </w:r>
    </w:p>
    <w:p w:rsidR="00620685" w:rsidRPr="00031380" w:rsidRDefault="00620685" w:rsidP="008612FE">
      <w:pPr>
        <w:tabs>
          <w:tab w:val="left" w:pos="360"/>
        </w:tabs>
        <w:spacing w:line="360" w:lineRule="auto"/>
        <w:ind w:firstLine="851"/>
        <w:jc w:val="both"/>
        <w:rPr>
          <w:b/>
          <w:bCs/>
          <w:lang w:eastAsia="es-ES"/>
        </w:rPr>
      </w:pPr>
      <w:r w:rsidRPr="00031380">
        <w:rPr>
          <w:lang w:eastAsia="es-ES"/>
        </w:rPr>
        <w:t xml:space="preserve">Durante el </w:t>
      </w:r>
      <w:r>
        <w:rPr>
          <w:lang w:eastAsia="es-ES"/>
        </w:rPr>
        <w:t>E</w:t>
      </w:r>
      <w:r w:rsidRPr="00031380">
        <w:rPr>
          <w:lang w:eastAsia="es-ES"/>
        </w:rPr>
        <w:t>jercicio el Contador Delegado observó gastos que fueron reiterados por el Ordenador competente por incumplir con: la Re</w:t>
      </w:r>
      <w:r>
        <w:rPr>
          <w:lang w:eastAsia="es-ES"/>
        </w:rPr>
        <w:t>solución         N° 15/2009 de la Junta</w:t>
      </w:r>
      <w:r w:rsidRPr="00031380">
        <w:rPr>
          <w:lang w:eastAsia="es-ES"/>
        </w:rPr>
        <w:t>, con el Art</w:t>
      </w:r>
      <w:r>
        <w:rPr>
          <w:lang w:eastAsia="es-ES"/>
        </w:rPr>
        <w:t>ículo</w:t>
      </w:r>
      <w:r w:rsidRPr="00031380">
        <w:rPr>
          <w:lang w:eastAsia="es-ES"/>
        </w:rPr>
        <w:t xml:space="preserve"> 19 de la Ley 9515, con la Resolución del Tribunal de Cuentas de fecha 22/12/2010 y las Resoluciones Nro. 80 y 81 de la Junta, y con el  Art</w:t>
      </w:r>
      <w:r>
        <w:rPr>
          <w:lang w:eastAsia="es-ES"/>
        </w:rPr>
        <w:t>iculo</w:t>
      </w:r>
      <w:r w:rsidRPr="00031380">
        <w:rPr>
          <w:lang w:eastAsia="es-ES"/>
        </w:rPr>
        <w:t xml:space="preserve"> 9 del Decreto 199/2007.</w:t>
      </w:r>
    </w:p>
    <w:p w:rsidR="00620685" w:rsidRPr="00031380" w:rsidRDefault="00620685" w:rsidP="008612FE">
      <w:pPr>
        <w:spacing w:line="360" w:lineRule="auto"/>
        <w:jc w:val="right"/>
        <w:rPr>
          <w:lang w:eastAsia="es-ES"/>
        </w:rPr>
      </w:pPr>
      <w:r w:rsidRPr="00031380">
        <w:rPr>
          <w:lang w:eastAsia="es-ES"/>
        </w:rPr>
        <w:tab/>
      </w:r>
      <w:r w:rsidRPr="00031380">
        <w:rPr>
          <w:lang w:eastAsia="es-ES"/>
        </w:rPr>
        <w:tab/>
      </w:r>
      <w:r w:rsidRPr="00031380">
        <w:rPr>
          <w:lang w:eastAsia="es-ES"/>
        </w:rPr>
        <w:tab/>
      </w:r>
      <w:r w:rsidRPr="00031380">
        <w:rPr>
          <w:spacing w:val="-3"/>
          <w:lang w:val="es-ES_tradnl" w:eastAsia="es-ES"/>
        </w:rPr>
        <w:t xml:space="preserve">Montevideo, </w:t>
      </w:r>
      <w:r>
        <w:rPr>
          <w:spacing w:val="-3"/>
          <w:lang w:val="es-ES_tradnl" w:eastAsia="es-ES"/>
        </w:rPr>
        <w:t>15 de agosto de 2016</w:t>
      </w:r>
    </w:p>
    <w:p w:rsidR="00620685" w:rsidRDefault="00620685" w:rsidP="008612FE">
      <w:pPr>
        <w:spacing w:line="360" w:lineRule="auto"/>
        <w:rPr>
          <w:lang w:eastAsia="es-ES"/>
        </w:rPr>
      </w:pPr>
      <w:bookmarkStart w:id="4" w:name="_Toc37740557"/>
      <w:bookmarkStart w:id="5" w:name="_Toc37740809"/>
    </w:p>
    <w:p w:rsidR="00620685" w:rsidRPr="00031380" w:rsidRDefault="00620685" w:rsidP="008612FE">
      <w:pPr>
        <w:spacing w:line="360" w:lineRule="auto"/>
        <w:rPr>
          <w:lang w:eastAsia="es-ES"/>
        </w:rPr>
      </w:pPr>
      <w:proofErr w:type="spellStart"/>
      <w:proofErr w:type="gramStart"/>
      <w:r>
        <w:rPr>
          <w:lang w:eastAsia="es-ES"/>
        </w:rPr>
        <w:t>bf</w:t>
      </w:r>
      <w:proofErr w:type="spellEnd"/>
      <w:proofErr w:type="gramEnd"/>
    </w:p>
    <w:p w:rsidR="00620685" w:rsidRPr="00031380" w:rsidRDefault="00620685" w:rsidP="008612FE">
      <w:pPr>
        <w:spacing w:line="360" w:lineRule="auto"/>
        <w:rPr>
          <w:lang w:eastAsia="es-ES"/>
        </w:rPr>
      </w:pPr>
    </w:p>
    <w:p w:rsidR="00620685" w:rsidRDefault="00620685" w:rsidP="008612FE">
      <w:pPr>
        <w:spacing w:line="360" w:lineRule="auto"/>
        <w:rPr>
          <w:lang w:eastAsia="es-ES"/>
        </w:rPr>
      </w:pPr>
    </w:p>
    <w:p w:rsidR="000D63CF" w:rsidRPr="00031380" w:rsidRDefault="000D63CF" w:rsidP="008612FE">
      <w:pPr>
        <w:spacing w:line="360" w:lineRule="auto"/>
        <w:rPr>
          <w:lang w:eastAsia="es-ES"/>
        </w:rPr>
      </w:pPr>
    </w:p>
    <w:bookmarkEnd w:id="4"/>
    <w:bookmarkEnd w:id="5"/>
    <w:p w:rsidR="00620685" w:rsidRDefault="00620685"/>
    <w:p w:rsidR="00620685" w:rsidRDefault="00620685" w:rsidP="008612FE">
      <w:pPr>
        <w:keepNext/>
        <w:spacing w:before="240" w:after="60"/>
        <w:jc w:val="center"/>
        <w:outlineLvl w:val="0"/>
        <w:rPr>
          <w:b/>
          <w:bCs/>
          <w:kern w:val="32"/>
          <w:szCs w:val="32"/>
          <w:lang w:eastAsia="es-ES"/>
        </w:rPr>
      </w:pPr>
      <w:bookmarkStart w:id="6" w:name="_Toc71366623"/>
      <w:bookmarkStart w:id="7" w:name="_Toc76280779"/>
      <w:bookmarkStart w:id="8" w:name="_Toc422141163"/>
      <w:r w:rsidRPr="00031380">
        <w:rPr>
          <w:b/>
          <w:bCs/>
          <w:kern w:val="32"/>
          <w:szCs w:val="32"/>
          <w:lang w:eastAsia="es-ES"/>
        </w:rPr>
        <w:t>INFORME A LA ADMINISTRACIÓN</w:t>
      </w:r>
      <w:bookmarkEnd w:id="6"/>
      <w:bookmarkEnd w:id="7"/>
      <w:bookmarkEnd w:id="8"/>
    </w:p>
    <w:p w:rsidR="000D63CF" w:rsidRPr="00031380" w:rsidRDefault="000D63CF" w:rsidP="008612FE">
      <w:pPr>
        <w:keepNext/>
        <w:spacing w:before="240" w:after="60"/>
        <w:jc w:val="center"/>
        <w:outlineLvl w:val="0"/>
        <w:rPr>
          <w:b/>
          <w:bCs/>
          <w:kern w:val="32"/>
          <w:szCs w:val="32"/>
          <w:lang w:eastAsia="es-ES"/>
        </w:rPr>
      </w:pPr>
    </w:p>
    <w:p w:rsidR="00620685" w:rsidRPr="00031380" w:rsidRDefault="00620685" w:rsidP="008612FE">
      <w:pPr>
        <w:rPr>
          <w:b/>
          <w:bCs/>
          <w:lang w:eastAsia="es-ES"/>
        </w:rPr>
      </w:pPr>
    </w:p>
    <w:p w:rsidR="00620685" w:rsidRPr="00031380" w:rsidRDefault="00620685" w:rsidP="008612FE">
      <w:pPr>
        <w:spacing w:after="240" w:line="360" w:lineRule="auto"/>
        <w:ind w:firstLine="851"/>
        <w:jc w:val="both"/>
        <w:rPr>
          <w:kern w:val="18"/>
          <w:szCs w:val="20"/>
          <w:lang w:val="es-ES_tradnl" w:eastAsia="es-ES"/>
        </w:rPr>
      </w:pPr>
      <w:r w:rsidRPr="00031380">
        <w:rPr>
          <w:kern w:val="18"/>
          <w:szCs w:val="20"/>
          <w:lang w:val="es-ES_tradnl" w:eastAsia="es-ES"/>
        </w:rPr>
        <w:t xml:space="preserve">El Tribunal de Cuentas ha examinado la Rendición de Cuentas y Balance de Ejecución Presupuestal correspondiente al </w:t>
      </w:r>
      <w:r>
        <w:rPr>
          <w:kern w:val="18"/>
          <w:szCs w:val="20"/>
          <w:lang w:val="es-ES_tradnl" w:eastAsia="es-ES"/>
        </w:rPr>
        <w:t>E</w:t>
      </w:r>
      <w:r w:rsidRPr="00031380">
        <w:rPr>
          <w:kern w:val="18"/>
          <w:szCs w:val="20"/>
          <w:lang w:val="es-ES_tradnl" w:eastAsia="es-ES"/>
        </w:rPr>
        <w:t>jercicio 2015 y ha emitido su correspondiente dictamen.</w:t>
      </w:r>
    </w:p>
    <w:p w:rsidR="00620685" w:rsidRPr="00031380" w:rsidRDefault="00620685" w:rsidP="008612FE">
      <w:pPr>
        <w:spacing w:line="360" w:lineRule="auto"/>
        <w:ind w:firstLine="851"/>
        <w:jc w:val="both"/>
        <w:rPr>
          <w:kern w:val="18"/>
          <w:szCs w:val="20"/>
          <w:lang w:eastAsia="es-ES"/>
        </w:rPr>
      </w:pPr>
      <w:r w:rsidRPr="00031380">
        <w:rPr>
          <w:kern w:val="18"/>
          <w:szCs w:val="20"/>
          <w:lang w:eastAsia="es-ES"/>
        </w:rPr>
        <w:t>Como consecuencia del examen practicado se incluye en este informe un resumen de la situación en materia de fondos respecto a la Intendencia Departamental así como la evaluación de la forma de cumplimiento de la recomendación presentada en el informe de auditoría anterior.</w:t>
      </w:r>
    </w:p>
    <w:p w:rsidR="00620685" w:rsidRPr="00031380" w:rsidRDefault="00620685" w:rsidP="008612FE">
      <w:pPr>
        <w:spacing w:line="360" w:lineRule="auto"/>
        <w:jc w:val="both"/>
        <w:rPr>
          <w:kern w:val="18"/>
          <w:szCs w:val="20"/>
          <w:lang w:eastAsia="es-ES"/>
        </w:rPr>
      </w:pPr>
    </w:p>
    <w:p w:rsidR="00620685" w:rsidRPr="00031380" w:rsidRDefault="00620685" w:rsidP="00620685">
      <w:pPr>
        <w:numPr>
          <w:ilvl w:val="1"/>
          <w:numId w:val="3"/>
        </w:numPr>
        <w:suppressAutoHyphens w:val="0"/>
        <w:spacing w:line="360" w:lineRule="auto"/>
        <w:jc w:val="both"/>
        <w:outlineLvl w:val="1"/>
        <w:rPr>
          <w:b/>
          <w:kern w:val="18"/>
          <w:szCs w:val="20"/>
          <w:lang w:eastAsia="es-ES"/>
        </w:rPr>
      </w:pPr>
      <w:bookmarkStart w:id="9" w:name="_Toc76280780"/>
      <w:bookmarkStart w:id="10" w:name="_Toc422141164"/>
      <w:r w:rsidRPr="00031380">
        <w:rPr>
          <w:b/>
          <w:kern w:val="18"/>
          <w:szCs w:val="20"/>
          <w:lang w:eastAsia="es-ES"/>
        </w:rPr>
        <w:t>Situación en materia de fondos</w:t>
      </w:r>
      <w:bookmarkEnd w:id="9"/>
      <w:bookmarkEnd w:id="10"/>
    </w:p>
    <w:p w:rsidR="00620685" w:rsidRPr="00031380" w:rsidRDefault="00620685" w:rsidP="008612FE">
      <w:pPr>
        <w:spacing w:after="240" w:line="360" w:lineRule="auto"/>
        <w:ind w:firstLine="851"/>
        <w:jc w:val="both"/>
        <w:rPr>
          <w:kern w:val="18"/>
          <w:szCs w:val="20"/>
          <w:lang w:eastAsia="es-ES"/>
        </w:rPr>
      </w:pPr>
      <w:r w:rsidRPr="00031380">
        <w:rPr>
          <w:kern w:val="18"/>
          <w:szCs w:val="20"/>
          <w:lang w:eastAsia="es-ES"/>
        </w:rPr>
        <w:t>De acuerdo a los estados incluidos en la Rendición de Cuentas, se elaboró un resumen de la situación en materia de fondos de la Junta Departamental con relación a la Intendencia Departamental al 31/12/2015:</w:t>
      </w:r>
    </w:p>
    <w:tbl>
      <w:tblPr>
        <w:tblW w:w="7917" w:type="dxa"/>
        <w:shd w:val="clear" w:color="auto" w:fill="FFFFFF"/>
        <w:tblLook w:val="04A0" w:firstRow="1" w:lastRow="0" w:firstColumn="1" w:lastColumn="0" w:noHBand="0" w:noVBand="1"/>
      </w:tblPr>
      <w:tblGrid>
        <w:gridCol w:w="5118"/>
        <w:gridCol w:w="1560"/>
        <w:gridCol w:w="1239"/>
      </w:tblGrid>
      <w:tr w:rsidR="00620685" w:rsidRPr="00031380" w:rsidTr="000D63CF">
        <w:trPr>
          <w:trHeight w:val="255"/>
        </w:trPr>
        <w:tc>
          <w:tcPr>
            <w:tcW w:w="5118" w:type="dxa"/>
            <w:shd w:val="clear" w:color="auto" w:fill="FFFFFF"/>
            <w:noWrap/>
          </w:tcPr>
          <w:p w:rsidR="00620685" w:rsidRPr="00031380" w:rsidRDefault="00620685" w:rsidP="008612FE">
            <w:pPr>
              <w:rPr>
                <w:b/>
                <w:bCs/>
                <w:color w:val="000000"/>
                <w:sz w:val="20"/>
                <w:szCs w:val="20"/>
                <w:lang w:eastAsia="es-ES"/>
              </w:rPr>
            </w:pPr>
          </w:p>
        </w:tc>
        <w:tc>
          <w:tcPr>
            <w:tcW w:w="1560" w:type="dxa"/>
            <w:shd w:val="clear" w:color="auto" w:fill="FFFFFF"/>
            <w:noWrap/>
          </w:tcPr>
          <w:p w:rsidR="00620685" w:rsidRPr="00031380" w:rsidRDefault="00620685" w:rsidP="008612FE">
            <w:pPr>
              <w:jc w:val="right"/>
              <w:rPr>
                <w:b/>
                <w:bCs/>
                <w:color w:val="000000"/>
                <w:sz w:val="20"/>
                <w:szCs w:val="20"/>
                <w:lang w:eastAsia="es-ES"/>
              </w:rPr>
            </w:pPr>
          </w:p>
        </w:tc>
        <w:tc>
          <w:tcPr>
            <w:tcW w:w="1239" w:type="dxa"/>
            <w:shd w:val="clear" w:color="auto" w:fill="FFFFFF"/>
          </w:tcPr>
          <w:p w:rsidR="00620685" w:rsidRPr="00031380" w:rsidRDefault="00620685" w:rsidP="000D63CF">
            <w:pPr>
              <w:ind w:right="188"/>
              <w:jc w:val="right"/>
              <w:rPr>
                <w:b/>
                <w:bCs/>
                <w:color w:val="000000"/>
                <w:sz w:val="20"/>
                <w:szCs w:val="20"/>
                <w:lang w:eastAsia="es-ES"/>
              </w:rPr>
            </w:pPr>
          </w:p>
        </w:tc>
      </w:tr>
      <w:tr w:rsidR="00620685" w:rsidRPr="00031380" w:rsidTr="000D63CF">
        <w:trPr>
          <w:trHeight w:val="255"/>
        </w:trPr>
        <w:tc>
          <w:tcPr>
            <w:tcW w:w="5118" w:type="dxa"/>
            <w:shd w:val="clear" w:color="auto" w:fill="FFFFFF"/>
            <w:noWrap/>
          </w:tcPr>
          <w:p w:rsidR="00620685" w:rsidRPr="00031380" w:rsidRDefault="00620685" w:rsidP="008612FE">
            <w:pPr>
              <w:rPr>
                <w:b/>
                <w:bCs/>
                <w:color w:val="000000"/>
                <w:sz w:val="20"/>
                <w:szCs w:val="20"/>
                <w:lang w:eastAsia="es-ES"/>
              </w:rPr>
            </w:pPr>
          </w:p>
        </w:tc>
        <w:tc>
          <w:tcPr>
            <w:tcW w:w="1560" w:type="dxa"/>
            <w:shd w:val="clear" w:color="auto" w:fill="FFFFFF"/>
            <w:noWrap/>
          </w:tcPr>
          <w:p w:rsidR="00620685" w:rsidRPr="00031380" w:rsidRDefault="00620685" w:rsidP="008612FE">
            <w:pPr>
              <w:jc w:val="right"/>
              <w:rPr>
                <w:b/>
                <w:color w:val="000000"/>
                <w:sz w:val="20"/>
                <w:szCs w:val="20"/>
                <w:lang w:eastAsia="es-ES"/>
              </w:rPr>
            </w:pPr>
          </w:p>
        </w:tc>
        <w:tc>
          <w:tcPr>
            <w:tcW w:w="1239" w:type="dxa"/>
            <w:shd w:val="clear" w:color="auto" w:fill="FFFFFF"/>
          </w:tcPr>
          <w:p w:rsidR="00620685" w:rsidRPr="00031380" w:rsidRDefault="00620685" w:rsidP="008612FE">
            <w:pPr>
              <w:jc w:val="right"/>
              <w:rPr>
                <w:b/>
                <w:color w:val="000000"/>
                <w:sz w:val="20"/>
                <w:szCs w:val="20"/>
                <w:lang w:eastAsia="es-ES"/>
              </w:rPr>
            </w:pPr>
          </w:p>
        </w:tc>
      </w:tr>
      <w:tr w:rsidR="00620685" w:rsidRPr="00031380" w:rsidTr="000D63CF">
        <w:trPr>
          <w:trHeight w:val="255"/>
        </w:trPr>
        <w:tc>
          <w:tcPr>
            <w:tcW w:w="5118" w:type="dxa"/>
            <w:shd w:val="clear" w:color="auto" w:fill="FFFFFF"/>
            <w:noWrap/>
          </w:tcPr>
          <w:p w:rsidR="00620685" w:rsidRPr="00031380" w:rsidRDefault="00620685" w:rsidP="008612FE">
            <w:pPr>
              <w:rPr>
                <w:b/>
                <w:bCs/>
                <w:color w:val="000000"/>
                <w:sz w:val="20"/>
                <w:szCs w:val="20"/>
                <w:lang w:eastAsia="es-ES"/>
              </w:rPr>
            </w:pPr>
          </w:p>
        </w:tc>
        <w:tc>
          <w:tcPr>
            <w:tcW w:w="1560" w:type="dxa"/>
            <w:shd w:val="clear" w:color="auto" w:fill="FFFFFF"/>
            <w:noWrap/>
          </w:tcPr>
          <w:p w:rsidR="00620685" w:rsidRPr="00031380" w:rsidRDefault="00620685" w:rsidP="008612FE">
            <w:pPr>
              <w:jc w:val="right"/>
              <w:rPr>
                <w:color w:val="000000"/>
                <w:sz w:val="20"/>
                <w:szCs w:val="20"/>
                <w:lang w:eastAsia="es-ES"/>
              </w:rPr>
            </w:pPr>
          </w:p>
        </w:tc>
        <w:tc>
          <w:tcPr>
            <w:tcW w:w="1239" w:type="dxa"/>
            <w:shd w:val="clear" w:color="auto" w:fill="FFFFFF"/>
          </w:tcPr>
          <w:p w:rsidR="00620685" w:rsidRPr="00031380" w:rsidRDefault="00620685" w:rsidP="008612FE">
            <w:pPr>
              <w:jc w:val="right"/>
              <w:rPr>
                <w:color w:val="000000"/>
                <w:sz w:val="20"/>
                <w:szCs w:val="20"/>
                <w:lang w:eastAsia="es-ES"/>
              </w:rPr>
            </w:pPr>
          </w:p>
        </w:tc>
      </w:tr>
      <w:tr w:rsidR="00620685" w:rsidRPr="00031380" w:rsidTr="000D63CF">
        <w:trPr>
          <w:trHeight w:val="255"/>
        </w:trPr>
        <w:tc>
          <w:tcPr>
            <w:tcW w:w="5118" w:type="dxa"/>
            <w:shd w:val="clear" w:color="auto" w:fill="FFFFFF"/>
            <w:noWrap/>
          </w:tcPr>
          <w:p w:rsidR="00620685" w:rsidRPr="00031380" w:rsidRDefault="00620685" w:rsidP="008612FE">
            <w:pPr>
              <w:rPr>
                <w:bCs/>
                <w:color w:val="000000"/>
                <w:sz w:val="20"/>
                <w:szCs w:val="20"/>
                <w:lang w:eastAsia="es-ES"/>
              </w:rPr>
            </w:pPr>
            <w:r w:rsidRPr="00031380">
              <w:rPr>
                <w:bCs/>
                <w:color w:val="000000"/>
                <w:sz w:val="20"/>
                <w:szCs w:val="20"/>
                <w:lang w:eastAsia="es-ES"/>
              </w:rPr>
              <w:t>Disponibilidades</w:t>
            </w:r>
          </w:p>
        </w:tc>
        <w:tc>
          <w:tcPr>
            <w:tcW w:w="1560" w:type="dxa"/>
            <w:shd w:val="clear" w:color="auto" w:fill="FFFFFF"/>
            <w:noWrap/>
          </w:tcPr>
          <w:p w:rsidR="00620685" w:rsidRPr="00031380" w:rsidRDefault="00620685" w:rsidP="008612FE">
            <w:pPr>
              <w:jc w:val="right"/>
              <w:rPr>
                <w:color w:val="000000"/>
                <w:sz w:val="20"/>
                <w:szCs w:val="20"/>
                <w:lang w:eastAsia="es-ES"/>
              </w:rPr>
            </w:pPr>
            <w:r w:rsidRPr="00031380">
              <w:rPr>
                <w:color w:val="000000"/>
                <w:sz w:val="20"/>
                <w:szCs w:val="20"/>
                <w:lang w:eastAsia="es-ES"/>
              </w:rPr>
              <w:t xml:space="preserve">                 </w:t>
            </w:r>
          </w:p>
        </w:tc>
        <w:tc>
          <w:tcPr>
            <w:tcW w:w="1239" w:type="dxa"/>
            <w:shd w:val="clear" w:color="auto" w:fill="FFFFFF"/>
          </w:tcPr>
          <w:p w:rsidR="00620685" w:rsidRPr="00031380" w:rsidRDefault="00620685" w:rsidP="008612FE">
            <w:pPr>
              <w:jc w:val="center"/>
              <w:rPr>
                <w:color w:val="000000"/>
                <w:sz w:val="20"/>
                <w:szCs w:val="20"/>
                <w:lang w:eastAsia="es-ES"/>
              </w:rPr>
            </w:pPr>
            <w:r w:rsidRPr="00031380">
              <w:rPr>
                <w:color w:val="000000"/>
                <w:sz w:val="20"/>
                <w:szCs w:val="20"/>
                <w:lang w:eastAsia="es-ES"/>
              </w:rPr>
              <w:t xml:space="preserve">       1.211.476</w:t>
            </w:r>
          </w:p>
        </w:tc>
      </w:tr>
      <w:tr w:rsidR="00620685" w:rsidRPr="00031380" w:rsidTr="000D63CF">
        <w:trPr>
          <w:trHeight w:val="255"/>
        </w:trPr>
        <w:tc>
          <w:tcPr>
            <w:tcW w:w="5118" w:type="dxa"/>
            <w:shd w:val="clear" w:color="auto" w:fill="FFFFFF"/>
            <w:noWrap/>
          </w:tcPr>
          <w:p w:rsidR="00620685" w:rsidRPr="00031380" w:rsidRDefault="00620685" w:rsidP="008612FE">
            <w:pPr>
              <w:rPr>
                <w:b/>
                <w:bCs/>
                <w:color w:val="000000"/>
                <w:sz w:val="20"/>
                <w:szCs w:val="20"/>
                <w:lang w:eastAsia="es-ES"/>
              </w:rPr>
            </w:pPr>
            <w:r w:rsidRPr="00031380">
              <w:rPr>
                <w:b/>
                <w:bCs/>
                <w:color w:val="000000"/>
                <w:sz w:val="20"/>
                <w:szCs w:val="20"/>
                <w:lang w:eastAsia="es-ES"/>
              </w:rPr>
              <w:t>Menos:</w:t>
            </w:r>
          </w:p>
        </w:tc>
        <w:tc>
          <w:tcPr>
            <w:tcW w:w="1560" w:type="dxa"/>
            <w:shd w:val="clear" w:color="auto" w:fill="FFFFFF"/>
            <w:noWrap/>
          </w:tcPr>
          <w:p w:rsidR="00620685" w:rsidRPr="00031380" w:rsidRDefault="00620685" w:rsidP="008612FE">
            <w:pPr>
              <w:jc w:val="right"/>
              <w:rPr>
                <w:color w:val="000000"/>
                <w:sz w:val="20"/>
                <w:szCs w:val="20"/>
                <w:lang w:eastAsia="es-ES"/>
              </w:rPr>
            </w:pPr>
          </w:p>
        </w:tc>
        <w:tc>
          <w:tcPr>
            <w:tcW w:w="1239" w:type="dxa"/>
            <w:shd w:val="clear" w:color="auto" w:fill="FFFFFF"/>
          </w:tcPr>
          <w:p w:rsidR="00620685" w:rsidRPr="00031380" w:rsidRDefault="00620685" w:rsidP="008612FE">
            <w:pPr>
              <w:jc w:val="right"/>
              <w:rPr>
                <w:color w:val="000000"/>
                <w:sz w:val="20"/>
                <w:szCs w:val="20"/>
                <w:lang w:eastAsia="es-ES"/>
              </w:rPr>
            </w:pPr>
          </w:p>
        </w:tc>
      </w:tr>
      <w:tr w:rsidR="00620685" w:rsidRPr="00031380" w:rsidTr="000D63CF">
        <w:trPr>
          <w:trHeight w:val="255"/>
        </w:trPr>
        <w:tc>
          <w:tcPr>
            <w:tcW w:w="5118" w:type="dxa"/>
            <w:shd w:val="clear" w:color="auto" w:fill="FFFFFF"/>
            <w:noWrap/>
          </w:tcPr>
          <w:p w:rsidR="00620685" w:rsidRPr="00031380" w:rsidRDefault="00620685" w:rsidP="008612FE">
            <w:pPr>
              <w:rPr>
                <w:bCs/>
                <w:color w:val="000000"/>
                <w:sz w:val="20"/>
                <w:szCs w:val="20"/>
                <w:lang w:eastAsia="es-ES"/>
              </w:rPr>
            </w:pPr>
            <w:proofErr w:type="spellStart"/>
            <w:r w:rsidRPr="00031380">
              <w:rPr>
                <w:bCs/>
                <w:color w:val="000000"/>
                <w:sz w:val="20"/>
                <w:szCs w:val="20"/>
                <w:lang w:eastAsia="es-ES"/>
              </w:rPr>
              <w:t>Oblig</w:t>
            </w:r>
            <w:proofErr w:type="spellEnd"/>
            <w:r w:rsidRPr="00031380">
              <w:rPr>
                <w:bCs/>
                <w:color w:val="000000"/>
                <w:sz w:val="20"/>
                <w:szCs w:val="20"/>
                <w:lang w:eastAsia="es-ES"/>
              </w:rPr>
              <w:t xml:space="preserve">. </w:t>
            </w:r>
            <w:proofErr w:type="spellStart"/>
            <w:r w:rsidRPr="00031380">
              <w:rPr>
                <w:bCs/>
                <w:color w:val="000000"/>
                <w:sz w:val="20"/>
                <w:szCs w:val="20"/>
                <w:lang w:eastAsia="es-ES"/>
              </w:rPr>
              <w:t>Ptales</w:t>
            </w:r>
            <w:proofErr w:type="spellEnd"/>
            <w:r w:rsidRPr="00031380">
              <w:rPr>
                <w:bCs/>
                <w:color w:val="000000"/>
                <w:sz w:val="20"/>
                <w:szCs w:val="20"/>
                <w:lang w:eastAsia="es-ES"/>
              </w:rPr>
              <w:t>. Impagas</w:t>
            </w:r>
          </w:p>
        </w:tc>
        <w:tc>
          <w:tcPr>
            <w:tcW w:w="1560" w:type="dxa"/>
            <w:shd w:val="clear" w:color="auto" w:fill="FFFFFF"/>
            <w:noWrap/>
          </w:tcPr>
          <w:p w:rsidR="00620685" w:rsidRPr="00031380" w:rsidRDefault="00620685" w:rsidP="008612FE">
            <w:pPr>
              <w:jc w:val="right"/>
              <w:rPr>
                <w:color w:val="000000"/>
                <w:sz w:val="20"/>
                <w:szCs w:val="20"/>
                <w:lang w:eastAsia="es-ES"/>
              </w:rPr>
            </w:pPr>
            <w:r w:rsidRPr="00031380">
              <w:rPr>
                <w:color w:val="000000"/>
                <w:sz w:val="20"/>
                <w:szCs w:val="20"/>
                <w:lang w:eastAsia="es-ES"/>
              </w:rPr>
              <w:t xml:space="preserve">7.576.251 </w:t>
            </w:r>
          </w:p>
        </w:tc>
        <w:tc>
          <w:tcPr>
            <w:tcW w:w="1239" w:type="dxa"/>
            <w:shd w:val="clear" w:color="auto" w:fill="FFFFFF"/>
          </w:tcPr>
          <w:p w:rsidR="00620685" w:rsidRPr="00031380" w:rsidRDefault="00620685" w:rsidP="008612FE">
            <w:pPr>
              <w:jc w:val="right"/>
              <w:rPr>
                <w:color w:val="000000"/>
                <w:sz w:val="20"/>
                <w:szCs w:val="20"/>
                <w:lang w:eastAsia="es-ES"/>
              </w:rPr>
            </w:pPr>
          </w:p>
        </w:tc>
      </w:tr>
      <w:tr w:rsidR="00620685" w:rsidRPr="00031380" w:rsidTr="000D63CF">
        <w:trPr>
          <w:trHeight w:val="255"/>
        </w:trPr>
        <w:tc>
          <w:tcPr>
            <w:tcW w:w="5118" w:type="dxa"/>
            <w:shd w:val="clear" w:color="auto" w:fill="FFFFFF"/>
            <w:noWrap/>
          </w:tcPr>
          <w:p w:rsidR="00620685" w:rsidRPr="00031380" w:rsidRDefault="00620685" w:rsidP="008612FE">
            <w:pPr>
              <w:rPr>
                <w:bCs/>
                <w:color w:val="000000"/>
                <w:sz w:val="20"/>
                <w:szCs w:val="20"/>
                <w:lang w:eastAsia="es-ES"/>
              </w:rPr>
            </w:pPr>
            <w:r w:rsidRPr="00031380">
              <w:rPr>
                <w:bCs/>
                <w:color w:val="000000"/>
                <w:sz w:val="20"/>
                <w:szCs w:val="20"/>
                <w:lang w:eastAsia="es-ES"/>
              </w:rPr>
              <w:t>Indisponibles</w:t>
            </w:r>
          </w:p>
        </w:tc>
        <w:tc>
          <w:tcPr>
            <w:tcW w:w="1560" w:type="dxa"/>
            <w:shd w:val="clear" w:color="auto" w:fill="FFFFFF"/>
            <w:noWrap/>
          </w:tcPr>
          <w:p w:rsidR="00620685" w:rsidRPr="00031380" w:rsidRDefault="00620685" w:rsidP="008612FE">
            <w:pPr>
              <w:jc w:val="right"/>
              <w:rPr>
                <w:color w:val="000000"/>
                <w:sz w:val="20"/>
                <w:szCs w:val="20"/>
                <w:lang w:eastAsia="es-ES"/>
              </w:rPr>
            </w:pPr>
            <w:r w:rsidRPr="00031380">
              <w:rPr>
                <w:color w:val="000000"/>
                <w:sz w:val="20"/>
                <w:szCs w:val="20"/>
                <w:lang w:eastAsia="es-ES"/>
              </w:rPr>
              <w:t>633.954</w:t>
            </w:r>
          </w:p>
        </w:tc>
        <w:tc>
          <w:tcPr>
            <w:tcW w:w="1239" w:type="dxa"/>
            <w:shd w:val="clear" w:color="auto" w:fill="FFFFFF"/>
          </w:tcPr>
          <w:p w:rsidR="00620685" w:rsidRPr="00031380" w:rsidRDefault="00620685" w:rsidP="008612FE">
            <w:pPr>
              <w:jc w:val="right"/>
              <w:rPr>
                <w:color w:val="000000"/>
                <w:sz w:val="20"/>
                <w:szCs w:val="20"/>
                <w:lang w:eastAsia="es-ES"/>
              </w:rPr>
            </w:pPr>
          </w:p>
        </w:tc>
      </w:tr>
      <w:tr w:rsidR="00620685" w:rsidRPr="00031380" w:rsidTr="000D63CF">
        <w:trPr>
          <w:trHeight w:val="255"/>
        </w:trPr>
        <w:tc>
          <w:tcPr>
            <w:tcW w:w="5118" w:type="dxa"/>
            <w:shd w:val="clear" w:color="auto" w:fill="FFFFFF"/>
            <w:noWrap/>
          </w:tcPr>
          <w:p w:rsidR="00620685" w:rsidRPr="00031380" w:rsidRDefault="00620685" w:rsidP="008612FE">
            <w:pPr>
              <w:rPr>
                <w:bCs/>
                <w:color w:val="000000"/>
                <w:sz w:val="20"/>
                <w:szCs w:val="20"/>
                <w:lang w:eastAsia="es-ES"/>
              </w:rPr>
            </w:pPr>
            <w:proofErr w:type="spellStart"/>
            <w:r w:rsidRPr="00031380">
              <w:rPr>
                <w:bCs/>
                <w:color w:val="000000"/>
                <w:sz w:val="20"/>
                <w:szCs w:val="20"/>
                <w:lang w:eastAsia="es-ES"/>
              </w:rPr>
              <w:t>Extrap</w:t>
            </w:r>
            <w:proofErr w:type="spellEnd"/>
            <w:r w:rsidRPr="00031380">
              <w:rPr>
                <w:bCs/>
                <w:color w:val="000000"/>
                <w:sz w:val="20"/>
                <w:szCs w:val="20"/>
                <w:lang w:eastAsia="es-ES"/>
              </w:rPr>
              <w:t>. a pagar</w:t>
            </w:r>
          </w:p>
        </w:tc>
        <w:tc>
          <w:tcPr>
            <w:tcW w:w="1560" w:type="dxa"/>
            <w:shd w:val="clear" w:color="auto" w:fill="FFFFFF"/>
            <w:noWrap/>
          </w:tcPr>
          <w:p w:rsidR="00620685" w:rsidRPr="00031380" w:rsidRDefault="00620685" w:rsidP="008612FE">
            <w:pPr>
              <w:jc w:val="right"/>
              <w:rPr>
                <w:color w:val="000000"/>
                <w:sz w:val="20"/>
                <w:szCs w:val="20"/>
                <w:u w:val="single"/>
                <w:lang w:eastAsia="es-ES"/>
              </w:rPr>
            </w:pPr>
            <w:r w:rsidRPr="00031380">
              <w:rPr>
                <w:color w:val="000000"/>
                <w:sz w:val="20"/>
                <w:szCs w:val="20"/>
                <w:u w:val="single"/>
                <w:lang w:eastAsia="es-ES"/>
              </w:rPr>
              <w:t>3.121</w:t>
            </w:r>
          </w:p>
        </w:tc>
        <w:tc>
          <w:tcPr>
            <w:tcW w:w="1239" w:type="dxa"/>
            <w:shd w:val="clear" w:color="auto" w:fill="FFFFFF"/>
          </w:tcPr>
          <w:p w:rsidR="00620685" w:rsidRPr="00031380" w:rsidRDefault="00620685" w:rsidP="008612FE">
            <w:pPr>
              <w:jc w:val="right"/>
              <w:rPr>
                <w:color w:val="000000"/>
                <w:sz w:val="20"/>
                <w:szCs w:val="20"/>
                <w:u w:val="single"/>
                <w:lang w:eastAsia="es-ES"/>
              </w:rPr>
            </w:pPr>
            <w:r w:rsidRPr="00031380">
              <w:rPr>
                <w:color w:val="000000"/>
                <w:sz w:val="20"/>
                <w:szCs w:val="20"/>
                <w:u w:val="single"/>
                <w:lang w:eastAsia="es-ES"/>
              </w:rPr>
              <w:t>(8.213.326)</w:t>
            </w:r>
          </w:p>
        </w:tc>
      </w:tr>
      <w:tr w:rsidR="00620685" w:rsidRPr="00031380" w:rsidTr="000D63CF">
        <w:trPr>
          <w:trHeight w:val="255"/>
        </w:trPr>
        <w:tc>
          <w:tcPr>
            <w:tcW w:w="5118" w:type="dxa"/>
            <w:shd w:val="clear" w:color="auto" w:fill="FFFFFF"/>
            <w:noWrap/>
          </w:tcPr>
          <w:p w:rsidR="00620685" w:rsidRPr="00031380" w:rsidRDefault="00620685" w:rsidP="008612FE">
            <w:pPr>
              <w:rPr>
                <w:b/>
                <w:bCs/>
                <w:color w:val="000000"/>
                <w:sz w:val="20"/>
                <w:szCs w:val="20"/>
                <w:lang w:eastAsia="es-ES"/>
              </w:rPr>
            </w:pPr>
            <w:r w:rsidRPr="00031380">
              <w:rPr>
                <w:b/>
                <w:bCs/>
                <w:color w:val="000000"/>
                <w:sz w:val="20"/>
                <w:szCs w:val="20"/>
                <w:lang w:eastAsia="es-ES"/>
              </w:rPr>
              <w:t xml:space="preserve">Saldo adeudado por la Intendencia a la </w:t>
            </w:r>
            <w:proofErr w:type="spellStart"/>
            <w:r w:rsidRPr="00031380">
              <w:rPr>
                <w:b/>
                <w:bCs/>
                <w:color w:val="000000"/>
                <w:sz w:val="20"/>
                <w:szCs w:val="20"/>
                <w:lang w:eastAsia="es-ES"/>
              </w:rPr>
              <w:t>Jta</w:t>
            </w:r>
            <w:proofErr w:type="spellEnd"/>
            <w:r w:rsidRPr="00031380">
              <w:rPr>
                <w:b/>
                <w:bCs/>
                <w:color w:val="000000"/>
                <w:sz w:val="20"/>
                <w:szCs w:val="20"/>
                <w:lang w:eastAsia="es-ES"/>
              </w:rPr>
              <w:t xml:space="preserve">. </w:t>
            </w:r>
            <w:proofErr w:type="spellStart"/>
            <w:r w:rsidRPr="00031380">
              <w:rPr>
                <w:b/>
                <w:bCs/>
                <w:color w:val="000000"/>
                <w:sz w:val="20"/>
                <w:szCs w:val="20"/>
                <w:lang w:eastAsia="es-ES"/>
              </w:rPr>
              <w:t>Deptal</w:t>
            </w:r>
            <w:proofErr w:type="spellEnd"/>
            <w:r w:rsidRPr="00031380">
              <w:rPr>
                <w:b/>
                <w:bCs/>
                <w:color w:val="000000"/>
                <w:sz w:val="20"/>
                <w:szCs w:val="20"/>
                <w:lang w:eastAsia="es-ES"/>
              </w:rPr>
              <w:t xml:space="preserve">.         </w:t>
            </w:r>
          </w:p>
        </w:tc>
        <w:tc>
          <w:tcPr>
            <w:tcW w:w="1560" w:type="dxa"/>
            <w:shd w:val="clear" w:color="auto" w:fill="FFFFFF"/>
            <w:noWrap/>
          </w:tcPr>
          <w:p w:rsidR="00620685" w:rsidRPr="00031380" w:rsidRDefault="00620685" w:rsidP="008612FE">
            <w:pPr>
              <w:jc w:val="right"/>
              <w:rPr>
                <w:b/>
                <w:color w:val="000000"/>
                <w:sz w:val="20"/>
                <w:szCs w:val="20"/>
                <w:lang w:eastAsia="es-ES"/>
              </w:rPr>
            </w:pPr>
          </w:p>
        </w:tc>
        <w:tc>
          <w:tcPr>
            <w:tcW w:w="1239" w:type="dxa"/>
            <w:shd w:val="clear" w:color="auto" w:fill="FFFFFF"/>
          </w:tcPr>
          <w:p w:rsidR="00620685" w:rsidRPr="00031380" w:rsidRDefault="00620685" w:rsidP="008612FE">
            <w:pPr>
              <w:jc w:val="center"/>
              <w:rPr>
                <w:b/>
                <w:color w:val="000000"/>
                <w:sz w:val="20"/>
                <w:szCs w:val="20"/>
                <w:lang w:eastAsia="es-ES"/>
              </w:rPr>
            </w:pPr>
            <w:r w:rsidRPr="00031380">
              <w:rPr>
                <w:b/>
                <w:color w:val="000000"/>
                <w:sz w:val="20"/>
                <w:szCs w:val="20"/>
                <w:lang w:eastAsia="es-ES"/>
              </w:rPr>
              <w:t xml:space="preserve">        7.001.850</w:t>
            </w:r>
          </w:p>
        </w:tc>
      </w:tr>
      <w:tr w:rsidR="00620685" w:rsidRPr="00031380" w:rsidTr="000D63CF">
        <w:trPr>
          <w:trHeight w:val="255"/>
        </w:trPr>
        <w:tc>
          <w:tcPr>
            <w:tcW w:w="5118" w:type="dxa"/>
            <w:shd w:val="clear" w:color="auto" w:fill="FFFFFF"/>
            <w:noWrap/>
          </w:tcPr>
          <w:p w:rsidR="00620685" w:rsidRPr="00031380" w:rsidRDefault="00620685" w:rsidP="008612FE">
            <w:pPr>
              <w:rPr>
                <w:b/>
                <w:bCs/>
                <w:color w:val="000000"/>
                <w:sz w:val="20"/>
                <w:szCs w:val="20"/>
                <w:lang w:eastAsia="es-ES"/>
              </w:rPr>
            </w:pPr>
          </w:p>
        </w:tc>
        <w:tc>
          <w:tcPr>
            <w:tcW w:w="1560" w:type="dxa"/>
            <w:shd w:val="clear" w:color="auto" w:fill="FFFFFF"/>
            <w:noWrap/>
          </w:tcPr>
          <w:p w:rsidR="00620685" w:rsidRPr="00031380" w:rsidRDefault="00620685" w:rsidP="008612FE">
            <w:pPr>
              <w:rPr>
                <w:color w:val="000000"/>
                <w:sz w:val="20"/>
                <w:szCs w:val="20"/>
                <w:lang w:eastAsia="es-ES"/>
              </w:rPr>
            </w:pPr>
          </w:p>
        </w:tc>
        <w:tc>
          <w:tcPr>
            <w:tcW w:w="1239" w:type="dxa"/>
            <w:shd w:val="clear" w:color="auto" w:fill="FFFFFF"/>
          </w:tcPr>
          <w:p w:rsidR="00620685" w:rsidRPr="00031380" w:rsidRDefault="00620685" w:rsidP="008612FE">
            <w:pPr>
              <w:rPr>
                <w:color w:val="000000"/>
                <w:sz w:val="20"/>
                <w:szCs w:val="20"/>
                <w:lang w:eastAsia="es-ES"/>
              </w:rPr>
            </w:pPr>
          </w:p>
        </w:tc>
      </w:tr>
      <w:tr w:rsidR="00620685" w:rsidRPr="00031380" w:rsidTr="000D63CF">
        <w:trPr>
          <w:trHeight w:val="255"/>
        </w:trPr>
        <w:tc>
          <w:tcPr>
            <w:tcW w:w="5118" w:type="dxa"/>
            <w:shd w:val="clear" w:color="auto" w:fill="FFFFFF"/>
            <w:noWrap/>
          </w:tcPr>
          <w:p w:rsidR="00620685" w:rsidRPr="00031380" w:rsidRDefault="00620685" w:rsidP="008612FE">
            <w:pPr>
              <w:rPr>
                <w:b/>
                <w:bCs/>
                <w:color w:val="000000"/>
                <w:sz w:val="20"/>
                <w:szCs w:val="20"/>
                <w:lang w:eastAsia="es-ES"/>
              </w:rPr>
            </w:pPr>
          </w:p>
        </w:tc>
        <w:tc>
          <w:tcPr>
            <w:tcW w:w="1560" w:type="dxa"/>
            <w:shd w:val="clear" w:color="auto" w:fill="FFFFFF"/>
            <w:noWrap/>
          </w:tcPr>
          <w:p w:rsidR="00620685" w:rsidRPr="00031380" w:rsidRDefault="00620685" w:rsidP="008612FE">
            <w:pPr>
              <w:jc w:val="right"/>
              <w:rPr>
                <w:b/>
                <w:color w:val="000000"/>
                <w:sz w:val="20"/>
                <w:szCs w:val="20"/>
                <w:lang w:eastAsia="es-ES"/>
              </w:rPr>
            </w:pPr>
          </w:p>
        </w:tc>
        <w:tc>
          <w:tcPr>
            <w:tcW w:w="1239" w:type="dxa"/>
            <w:shd w:val="clear" w:color="auto" w:fill="FFFFFF"/>
          </w:tcPr>
          <w:p w:rsidR="00620685" w:rsidRPr="00031380" w:rsidRDefault="00620685" w:rsidP="008612FE">
            <w:pPr>
              <w:jc w:val="right"/>
              <w:rPr>
                <w:b/>
                <w:color w:val="000000"/>
                <w:sz w:val="20"/>
                <w:szCs w:val="20"/>
                <w:lang w:eastAsia="es-ES"/>
              </w:rPr>
            </w:pPr>
          </w:p>
        </w:tc>
      </w:tr>
    </w:tbl>
    <w:p w:rsidR="00620685" w:rsidRPr="00031380" w:rsidRDefault="00620685" w:rsidP="008612FE">
      <w:pPr>
        <w:spacing w:after="170"/>
        <w:jc w:val="both"/>
        <w:outlineLvl w:val="1"/>
        <w:rPr>
          <w:b/>
          <w:kern w:val="18"/>
          <w:szCs w:val="20"/>
          <w:lang w:eastAsia="es-ES"/>
        </w:rPr>
      </w:pPr>
      <w:bookmarkStart w:id="11" w:name="_Toc242783598"/>
      <w:bookmarkStart w:id="12" w:name="_Toc275353518"/>
      <w:bookmarkStart w:id="13" w:name="_Toc336940185"/>
      <w:bookmarkStart w:id="14" w:name="_Toc422141165"/>
      <w:bookmarkStart w:id="15" w:name="_Toc241982469"/>
      <w:bookmarkStart w:id="16" w:name="_Toc304209379"/>
      <w:r w:rsidRPr="00031380">
        <w:rPr>
          <w:b/>
          <w:kern w:val="18"/>
          <w:szCs w:val="20"/>
          <w:lang w:eastAsia="es-ES"/>
        </w:rPr>
        <w:t>3.2 Incumplimiento de Normas Legales</w:t>
      </w:r>
      <w:bookmarkEnd w:id="11"/>
      <w:bookmarkEnd w:id="12"/>
      <w:bookmarkEnd w:id="13"/>
      <w:bookmarkEnd w:id="14"/>
    </w:p>
    <w:p w:rsidR="00620685" w:rsidRDefault="00620685" w:rsidP="008612FE">
      <w:pPr>
        <w:spacing w:after="240" w:line="360" w:lineRule="auto"/>
        <w:ind w:firstLine="851"/>
        <w:jc w:val="both"/>
        <w:rPr>
          <w:kern w:val="18"/>
          <w:szCs w:val="20"/>
          <w:lang w:val="es-MX" w:eastAsia="es-ES"/>
        </w:rPr>
      </w:pPr>
      <w:r w:rsidRPr="00031380">
        <w:rPr>
          <w:kern w:val="18"/>
          <w:szCs w:val="20"/>
          <w:lang w:val="es-MX" w:eastAsia="es-ES"/>
        </w:rPr>
        <w:t>Con referencia al incumplimiento de las disposiciones legales, ya señalado en el Dictamen, se realizan las siguientes consideraciones:</w:t>
      </w:r>
    </w:p>
    <w:p w:rsidR="000D63CF" w:rsidRDefault="000D63CF" w:rsidP="008612FE">
      <w:pPr>
        <w:spacing w:after="240" w:line="360" w:lineRule="auto"/>
        <w:ind w:firstLine="851"/>
        <w:jc w:val="both"/>
        <w:rPr>
          <w:kern w:val="18"/>
          <w:szCs w:val="20"/>
          <w:lang w:val="es-MX" w:eastAsia="es-ES"/>
        </w:rPr>
      </w:pPr>
    </w:p>
    <w:p w:rsidR="000D63CF" w:rsidRPr="00031380" w:rsidRDefault="000D63CF" w:rsidP="008612FE">
      <w:pPr>
        <w:spacing w:after="240" w:line="360" w:lineRule="auto"/>
        <w:ind w:firstLine="851"/>
        <w:jc w:val="both"/>
        <w:rPr>
          <w:kern w:val="18"/>
          <w:szCs w:val="20"/>
          <w:lang w:val="es-MX" w:eastAsia="es-ES"/>
        </w:rPr>
      </w:pPr>
    </w:p>
    <w:p w:rsidR="00620685" w:rsidRPr="00031380" w:rsidRDefault="00620685" w:rsidP="008612FE">
      <w:pPr>
        <w:spacing w:after="170"/>
        <w:jc w:val="both"/>
        <w:outlineLvl w:val="1"/>
        <w:rPr>
          <w:b/>
          <w:kern w:val="18"/>
          <w:szCs w:val="20"/>
          <w:lang w:eastAsia="es-ES"/>
        </w:rPr>
      </w:pPr>
      <w:bookmarkStart w:id="17" w:name="_Toc422141166"/>
      <w:bookmarkStart w:id="18" w:name="_Toc264991743"/>
      <w:bookmarkEnd w:id="15"/>
      <w:bookmarkEnd w:id="16"/>
      <w:r w:rsidRPr="00031380">
        <w:rPr>
          <w:b/>
          <w:kern w:val="18"/>
          <w:szCs w:val="20"/>
          <w:lang w:eastAsia="es-ES"/>
        </w:rPr>
        <w:t>3.2.1 Reintegro gasto de los Ediles</w:t>
      </w:r>
      <w:bookmarkEnd w:id="17"/>
    </w:p>
    <w:p w:rsidR="00620685" w:rsidRPr="00031380" w:rsidRDefault="00620685" w:rsidP="008612FE">
      <w:pPr>
        <w:spacing w:after="170" w:line="360" w:lineRule="auto"/>
        <w:ind w:firstLine="851"/>
        <w:jc w:val="both"/>
        <w:outlineLvl w:val="1"/>
        <w:rPr>
          <w:kern w:val="18"/>
          <w:szCs w:val="20"/>
          <w:lang w:eastAsia="es-ES"/>
        </w:rPr>
      </w:pPr>
      <w:r w:rsidRPr="00031380">
        <w:rPr>
          <w:kern w:val="18"/>
          <w:szCs w:val="20"/>
          <w:lang w:eastAsia="es-ES"/>
        </w:rPr>
        <w:t>Se constató que en las rendiciones de cuenta de gastos de combustible  y otros</w:t>
      </w:r>
      <w:r w:rsidRPr="00031380">
        <w:rPr>
          <w:szCs w:val="20"/>
          <w:lang w:eastAsia="es-ES"/>
        </w:rPr>
        <w:t xml:space="preserve"> gastos de traslado presentadas por los Ediles no se cumple con lo dispuesto en  las </w:t>
      </w:r>
      <w:bookmarkEnd w:id="18"/>
      <w:r w:rsidRPr="00031380">
        <w:rPr>
          <w:kern w:val="18"/>
          <w:szCs w:val="20"/>
          <w:lang w:eastAsia="es-ES"/>
        </w:rPr>
        <w:t>Resoluciones 42/07, 43/07,  80/11 y 81/11, al haberse pagado rendiciones que superaban el máximo establecido como resarcimiento de gasto de traslado y otros gastos.</w:t>
      </w:r>
    </w:p>
    <w:p w:rsidR="00620685" w:rsidRPr="00031380" w:rsidRDefault="00620685" w:rsidP="008612FE">
      <w:pPr>
        <w:spacing w:after="170"/>
        <w:jc w:val="both"/>
        <w:outlineLvl w:val="1"/>
        <w:rPr>
          <w:b/>
          <w:kern w:val="18"/>
          <w:szCs w:val="20"/>
          <w:lang w:eastAsia="es-ES"/>
        </w:rPr>
      </w:pPr>
      <w:r w:rsidRPr="00031380">
        <w:rPr>
          <w:b/>
          <w:kern w:val="18"/>
          <w:szCs w:val="20"/>
          <w:lang w:eastAsia="es-ES"/>
        </w:rPr>
        <w:t>3.2.2  Art. 50 del TOCAF</w:t>
      </w:r>
    </w:p>
    <w:p w:rsidR="00620685" w:rsidRPr="00031380" w:rsidRDefault="00620685" w:rsidP="008612FE">
      <w:pPr>
        <w:spacing w:after="170" w:line="360" w:lineRule="auto"/>
        <w:ind w:firstLine="851"/>
        <w:jc w:val="both"/>
        <w:outlineLvl w:val="1"/>
        <w:rPr>
          <w:kern w:val="18"/>
          <w:szCs w:val="20"/>
          <w:lang w:eastAsia="es-ES"/>
        </w:rPr>
      </w:pPr>
      <w:r w:rsidRPr="00031380">
        <w:rPr>
          <w:kern w:val="18"/>
          <w:szCs w:val="20"/>
          <w:lang w:eastAsia="es-ES"/>
        </w:rPr>
        <w:t xml:space="preserve">En la ampliación de la  </w:t>
      </w:r>
      <w:r>
        <w:rPr>
          <w:kern w:val="18"/>
          <w:szCs w:val="20"/>
          <w:lang w:eastAsia="es-ES"/>
        </w:rPr>
        <w:t>L</w:t>
      </w:r>
      <w:r w:rsidRPr="00031380">
        <w:rPr>
          <w:kern w:val="18"/>
          <w:szCs w:val="20"/>
          <w:lang w:eastAsia="es-ES"/>
        </w:rPr>
        <w:t>icitación Nº1 del año 2014, realizada en el mes de</w:t>
      </w:r>
      <w:r w:rsidRPr="00031380">
        <w:rPr>
          <w:bCs/>
          <w:kern w:val="18"/>
          <w:szCs w:val="20"/>
          <w:lang w:eastAsia="es-ES"/>
        </w:rPr>
        <w:t xml:space="preserve"> febrero de 2015, </w:t>
      </w:r>
      <w:r w:rsidRPr="00031380">
        <w:rPr>
          <w:kern w:val="18"/>
          <w:szCs w:val="20"/>
          <w:lang w:eastAsia="es-ES"/>
        </w:rPr>
        <w:t>no se realizaron las publicaciones en la página web de Compras y Contrataciones Estatales.</w:t>
      </w:r>
    </w:p>
    <w:p w:rsidR="00620685" w:rsidRPr="00031380" w:rsidRDefault="00620685" w:rsidP="008612FE">
      <w:pPr>
        <w:widowControl w:val="0"/>
        <w:spacing w:line="360" w:lineRule="auto"/>
        <w:jc w:val="both"/>
        <w:rPr>
          <w:bCs/>
          <w:kern w:val="18"/>
          <w:szCs w:val="20"/>
          <w:lang w:eastAsia="es-ES"/>
        </w:rPr>
      </w:pPr>
    </w:p>
    <w:p w:rsidR="00620685" w:rsidRPr="00031380" w:rsidRDefault="00620685" w:rsidP="008612FE">
      <w:pPr>
        <w:spacing w:line="360" w:lineRule="auto"/>
        <w:jc w:val="both"/>
        <w:outlineLvl w:val="1"/>
        <w:rPr>
          <w:b/>
          <w:kern w:val="18"/>
          <w:szCs w:val="20"/>
          <w:lang w:eastAsia="es-ES"/>
        </w:rPr>
      </w:pPr>
      <w:bookmarkStart w:id="19" w:name="_Toc76280781"/>
      <w:bookmarkStart w:id="20" w:name="_Toc422141167"/>
      <w:bookmarkStart w:id="21" w:name="_Toc71366624"/>
      <w:r w:rsidRPr="00031380">
        <w:rPr>
          <w:b/>
          <w:kern w:val="18"/>
          <w:szCs w:val="20"/>
          <w:lang w:eastAsia="es-ES"/>
        </w:rPr>
        <w:t>3.3 Recomendaciones</w:t>
      </w:r>
      <w:bookmarkStart w:id="22" w:name="_Toc76280782"/>
      <w:bookmarkEnd w:id="19"/>
      <w:bookmarkEnd w:id="20"/>
    </w:p>
    <w:p w:rsidR="00620685" w:rsidRPr="00031380" w:rsidRDefault="00620685" w:rsidP="008612FE">
      <w:pPr>
        <w:spacing w:line="360" w:lineRule="auto"/>
        <w:jc w:val="both"/>
        <w:outlineLvl w:val="1"/>
        <w:rPr>
          <w:b/>
          <w:kern w:val="18"/>
          <w:szCs w:val="20"/>
          <w:lang w:eastAsia="es-ES"/>
        </w:rPr>
      </w:pPr>
      <w:bookmarkStart w:id="23" w:name="_Toc422141168"/>
      <w:bookmarkStart w:id="24" w:name="_Toc45437519"/>
      <w:bookmarkStart w:id="25" w:name="_Toc76280784"/>
      <w:bookmarkEnd w:id="22"/>
      <w:r w:rsidRPr="00031380">
        <w:rPr>
          <w:b/>
          <w:kern w:val="18"/>
          <w:szCs w:val="20"/>
          <w:lang w:eastAsia="es-ES"/>
        </w:rPr>
        <w:t xml:space="preserve">3.3.1 Recomendaciones del </w:t>
      </w:r>
      <w:r>
        <w:rPr>
          <w:b/>
          <w:kern w:val="18"/>
          <w:szCs w:val="20"/>
          <w:lang w:eastAsia="es-ES"/>
        </w:rPr>
        <w:t>E</w:t>
      </w:r>
      <w:r w:rsidRPr="00031380">
        <w:rPr>
          <w:b/>
          <w:kern w:val="18"/>
          <w:szCs w:val="20"/>
          <w:lang w:eastAsia="es-ES"/>
        </w:rPr>
        <w:t>jercicio anterior no cumplidas</w:t>
      </w:r>
      <w:bookmarkEnd w:id="23"/>
    </w:p>
    <w:p w:rsidR="00620685" w:rsidRPr="00031380" w:rsidRDefault="00620685" w:rsidP="008612FE">
      <w:pPr>
        <w:spacing w:after="170"/>
        <w:jc w:val="both"/>
        <w:outlineLvl w:val="1"/>
        <w:rPr>
          <w:b/>
          <w:kern w:val="18"/>
          <w:szCs w:val="20"/>
          <w:lang w:eastAsia="es-ES"/>
        </w:rPr>
      </w:pPr>
      <w:bookmarkStart w:id="26" w:name="_Toc70925387"/>
      <w:bookmarkStart w:id="27" w:name="_Toc422141169"/>
      <w:r w:rsidRPr="00031380">
        <w:rPr>
          <w:b/>
          <w:kern w:val="18"/>
          <w:szCs w:val="20"/>
          <w:lang w:eastAsia="es-ES"/>
        </w:rPr>
        <w:t>3.3.1.1  Saldos de las cuentas bancarias</w:t>
      </w:r>
      <w:bookmarkEnd w:id="26"/>
      <w:bookmarkEnd w:id="27"/>
    </w:p>
    <w:p w:rsidR="00620685" w:rsidRPr="00031380" w:rsidRDefault="00620685" w:rsidP="008612FE">
      <w:pPr>
        <w:spacing w:after="170" w:line="360" w:lineRule="auto"/>
        <w:ind w:firstLine="851"/>
        <w:jc w:val="both"/>
        <w:outlineLvl w:val="1"/>
        <w:rPr>
          <w:szCs w:val="20"/>
          <w:lang w:eastAsia="es-ES"/>
        </w:rPr>
      </w:pPr>
      <w:r w:rsidRPr="00031380">
        <w:rPr>
          <w:kern w:val="18"/>
          <w:szCs w:val="20"/>
          <w:lang w:eastAsia="es-ES"/>
        </w:rPr>
        <w:t>La contabilidad no discrimina  entre el saldo bancario y el importe de los fondos</w:t>
      </w:r>
      <w:r w:rsidRPr="00031380">
        <w:rPr>
          <w:szCs w:val="20"/>
          <w:lang w:eastAsia="es-ES"/>
        </w:rPr>
        <w:t xml:space="preserve"> que se  mantienen en caja. Por este motivo en el arqueo de caja se incluye el saldo de la cuenta bancaria. La Junta deberá modificar su registración a fin de presentar los sald</w:t>
      </w:r>
      <w:r w:rsidR="000D63CF">
        <w:rPr>
          <w:szCs w:val="20"/>
          <w:lang w:eastAsia="es-ES"/>
        </w:rPr>
        <w:t>os correctamente identificados.</w:t>
      </w:r>
    </w:p>
    <w:p w:rsidR="00620685" w:rsidRPr="00031380" w:rsidRDefault="00620685" w:rsidP="008612FE">
      <w:pPr>
        <w:spacing w:line="360" w:lineRule="auto"/>
        <w:jc w:val="both"/>
        <w:outlineLvl w:val="1"/>
        <w:rPr>
          <w:bCs/>
          <w:kern w:val="18"/>
          <w:szCs w:val="20"/>
          <w:lang w:eastAsia="es-ES"/>
        </w:rPr>
      </w:pPr>
      <w:bookmarkStart w:id="28" w:name="_Toc44746595"/>
      <w:bookmarkStart w:id="29" w:name="_Toc54505179"/>
      <w:bookmarkStart w:id="30" w:name="_Toc422141170"/>
      <w:bookmarkStart w:id="31" w:name="_Toc45437517"/>
      <w:bookmarkStart w:id="32" w:name="_Toc76280787"/>
      <w:bookmarkEnd w:id="24"/>
      <w:bookmarkEnd w:id="25"/>
      <w:r w:rsidRPr="00031380">
        <w:rPr>
          <w:b/>
          <w:kern w:val="18"/>
          <w:szCs w:val="20"/>
          <w:lang w:eastAsia="es-ES"/>
        </w:rPr>
        <w:t xml:space="preserve">3.3.1.2 </w:t>
      </w:r>
      <w:bookmarkEnd w:id="28"/>
      <w:bookmarkEnd w:id="29"/>
      <w:r w:rsidRPr="00031380">
        <w:rPr>
          <w:b/>
          <w:kern w:val="18"/>
          <w:szCs w:val="20"/>
          <w:lang w:eastAsia="es-ES"/>
        </w:rPr>
        <w:t xml:space="preserve"> Gestión patrimonial</w:t>
      </w:r>
      <w:bookmarkEnd w:id="30"/>
    </w:p>
    <w:p w:rsidR="00620685" w:rsidRPr="00031380" w:rsidRDefault="00620685" w:rsidP="008612FE">
      <w:pPr>
        <w:spacing w:line="360" w:lineRule="auto"/>
        <w:ind w:firstLine="851"/>
        <w:jc w:val="both"/>
        <w:rPr>
          <w:szCs w:val="20"/>
          <w:lang w:val="es-ES_tradnl" w:eastAsia="es-ES"/>
        </w:rPr>
      </w:pPr>
      <w:bookmarkStart w:id="33" w:name="_Toc78193778"/>
      <w:r w:rsidRPr="00031380">
        <w:rPr>
          <w:kern w:val="18"/>
          <w:szCs w:val="20"/>
          <w:lang w:val="es-ES_tradnl" w:eastAsia="es-ES"/>
        </w:rPr>
        <w:t xml:space="preserve">De acuerdo a lo establecido en el </w:t>
      </w:r>
      <w:r>
        <w:rPr>
          <w:kern w:val="18"/>
          <w:szCs w:val="20"/>
          <w:lang w:val="es-ES_tradnl" w:eastAsia="es-ES"/>
        </w:rPr>
        <w:t>Artículo</w:t>
      </w:r>
      <w:r w:rsidRPr="00031380">
        <w:rPr>
          <w:kern w:val="18"/>
          <w:szCs w:val="20"/>
          <w:lang w:val="es-ES_tradnl" w:eastAsia="es-ES"/>
        </w:rPr>
        <w:t xml:space="preserve"> 94 del TOCAF, la Corporación deberá implementar un sistema que permita conocer la gestión patrimonial aplicando lo dispuesto por la Ordenanza Nº 81 de este Tribunal.</w:t>
      </w:r>
      <w:bookmarkEnd w:id="33"/>
    </w:p>
    <w:p w:rsidR="00620685" w:rsidRPr="00031380" w:rsidRDefault="00620685" w:rsidP="008612FE">
      <w:pPr>
        <w:spacing w:line="360" w:lineRule="auto"/>
        <w:jc w:val="both"/>
        <w:outlineLvl w:val="1"/>
        <w:rPr>
          <w:b/>
          <w:kern w:val="18"/>
          <w:szCs w:val="20"/>
          <w:lang w:eastAsia="es-ES"/>
        </w:rPr>
      </w:pPr>
      <w:bookmarkStart w:id="34" w:name="_Toc70925392"/>
      <w:bookmarkStart w:id="35" w:name="_Toc422141171"/>
      <w:bookmarkEnd w:id="31"/>
      <w:bookmarkEnd w:id="32"/>
      <w:r w:rsidRPr="00031380">
        <w:rPr>
          <w:b/>
          <w:kern w:val="18"/>
          <w:szCs w:val="20"/>
          <w:lang w:eastAsia="es-ES"/>
        </w:rPr>
        <w:t>3.3.13 Inventario de Bienes de Uso</w:t>
      </w:r>
      <w:bookmarkEnd w:id="34"/>
      <w:bookmarkEnd w:id="35"/>
    </w:p>
    <w:p w:rsidR="00620685" w:rsidRPr="00031380" w:rsidRDefault="00620685" w:rsidP="008612FE">
      <w:pPr>
        <w:spacing w:line="360" w:lineRule="auto"/>
        <w:ind w:firstLine="851"/>
        <w:jc w:val="both"/>
        <w:outlineLvl w:val="1"/>
        <w:rPr>
          <w:kern w:val="18"/>
          <w:szCs w:val="20"/>
          <w:lang w:eastAsia="es-ES"/>
        </w:rPr>
      </w:pPr>
      <w:r w:rsidRPr="00031380">
        <w:rPr>
          <w:kern w:val="18"/>
          <w:szCs w:val="20"/>
          <w:lang w:eastAsia="es-ES"/>
        </w:rPr>
        <w:t xml:space="preserve">De acuerdo a lo dispuesto por el </w:t>
      </w:r>
      <w:r>
        <w:rPr>
          <w:kern w:val="18"/>
          <w:szCs w:val="20"/>
          <w:lang w:eastAsia="es-ES"/>
        </w:rPr>
        <w:t>A</w:t>
      </w:r>
      <w:r w:rsidRPr="00031380">
        <w:rPr>
          <w:kern w:val="18"/>
          <w:szCs w:val="20"/>
          <w:lang w:eastAsia="es-ES"/>
        </w:rPr>
        <w:t>rt</w:t>
      </w:r>
      <w:r>
        <w:rPr>
          <w:kern w:val="18"/>
          <w:szCs w:val="20"/>
          <w:lang w:eastAsia="es-ES"/>
        </w:rPr>
        <w:t>ículo</w:t>
      </w:r>
      <w:r w:rsidRPr="00031380">
        <w:rPr>
          <w:kern w:val="18"/>
          <w:szCs w:val="20"/>
          <w:lang w:eastAsia="es-ES"/>
        </w:rPr>
        <w:t xml:space="preserve"> 97 del TOCAF, la Junta deberá implementar los procedimientos contables que permitan verificar las existencias de bienes de uso, los movimientos de los mismos y todos los registros que prevé la Ordenanza Nº 81 a efectos de reflejar su correcta valuación.</w:t>
      </w:r>
    </w:p>
    <w:p w:rsidR="00620685" w:rsidRPr="00031380" w:rsidRDefault="00620685" w:rsidP="008612FE">
      <w:pPr>
        <w:spacing w:after="240" w:line="240" w:lineRule="atLeast"/>
        <w:jc w:val="both"/>
        <w:rPr>
          <w:b/>
          <w:kern w:val="18"/>
          <w:szCs w:val="20"/>
          <w:lang w:val="es-ES_tradnl" w:eastAsia="es-ES"/>
        </w:rPr>
      </w:pPr>
      <w:r w:rsidRPr="00031380">
        <w:rPr>
          <w:kern w:val="18"/>
          <w:szCs w:val="20"/>
          <w:lang w:eastAsia="es-ES"/>
        </w:rPr>
        <w:br w:type="page"/>
      </w:r>
      <w:bookmarkStart w:id="36" w:name="_Toc422141172"/>
      <w:r w:rsidRPr="00031380">
        <w:rPr>
          <w:b/>
          <w:kern w:val="18"/>
          <w:szCs w:val="20"/>
          <w:lang w:val="es-ES_tradnl" w:eastAsia="es-ES"/>
        </w:rPr>
        <w:t>3.3.1.4  Reintegro gasto de los Ediles</w:t>
      </w:r>
      <w:bookmarkEnd w:id="36"/>
    </w:p>
    <w:p w:rsidR="00620685" w:rsidRPr="00031380" w:rsidRDefault="00620685" w:rsidP="008612FE">
      <w:pPr>
        <w:spacing w:line="360" w:lineRule="auto"/>
        <w:ind w:firstLine="851"/>
        <w:jc w:val="both"/>
        <w:outlineLvl w:val="1"/>
        <w:rPr>
          <w:bCs/>
          <w:kern w:val="18"/>
          <w:szCs w:val="20"/>
          <w:lang w:eastAsia="es-ES"/>
        </w:rPr>
      </w:pPr>
      <w:r w:rsidRPr="00031380">
        <w:rPr>
          <w:kern w:val="18"/>
          <w:szCs w:val="20"/>
          <w:lang w:eastAsia="es-ES"/>
        </w:rPr>
        <w:t>La Junta  deberá implementar los procedimientos de control de manera que</w:t>
      </w:r>
      <w:r w:rsidRPr="00031380">
        <w:rPr>
          <w:bCs/>
          <w:kern w:val="18"/>
          <w:szCs w:val="20"/>
          <w:lang w:eastAsia="es-ES"/>
        </w:rPr>
        <w:t xml:space="preserve"> las rendiciones de gastos de los Sres. Ediles se realicen de acuerdo </w:t>
      </w:r>
      <w:r w:rsidRPr="00031380">
        <w:rPr>
          <w:szCs w:val="20"/>
          <w:lang w:eastAsia="es-ES"/>
        </w:rPr>
        <w:t xml:space="preserve">con lo dispuesto en  las </w:t>
      </w:r>
      <w:r w:rsidRPr="00031380">
        <w:rPr>
          <w:kern w:val="18"/>
          <w:szCs w:val="20"/>
          <w:lang w:eastAsia="es-ES"/>
        </w:rPr>
        <w:t>Resoluciones 42/07, 43/07,  80/11 y 81/11.</w:t>
      </w:r>
    </w:p>
    <w:p w:rsidR="00620685" w:rsidRPr="00031380" w:rsidRDefault="00620685" w:rsidP="008612FE">
      <w:pPr>
        <w:spacing w:line="360" w:lineRule="auto"/>
        <w:jc w:val="both"/>
        <w:outlineLvl w:val="1"/>
        <w:rPr>
          <w:b/>
          <w:kern w:val="18"/>
          <w:szCs w:val="20"/>
          <w:lang w:eastAsia="es-ES"/>
        </w:rPr>
      </w:pPr>
      <w:r w:rsidRPr="00031380">
        <w:rPr>
          <w:b/>
          <w:kern w:val="18"/>
          <w:szCs w:val="20"/>
          <w:lang w:eastAsia="es-ES"/>
        </w:rPr>
        <w:t>3.3.1.5 Art. 50 del TOCAF</w:t>
      </w:r>
    </w:p>
    <w:p w:rsidR="00620685" w:rsidRPr="00031380" w:rsidRDefault="00620685" w:rsidP="008612FE">
      <w:pPr>
        <w:spacing w:line="360" w:lineRule="auto"/>
        <w:ind w:firstLine="851"/>
        <w:jc w:val="both"/>
        <w:outlineLvl w:val="1"/>
        <w:rPr>
          <w:kern w:val="18"/>
          <w:szCs w:val="20"/>
          <w:lang w:eastAsia="es-ES"/>
        </w:rPr>
      </w:pPr>
      <w:r w:rsidRPr="00031380">
        <w:rPr>
          <w:kern w:val="18"/>
          <w:szCs w:val="20"/>
          <w:lang w:eastAsia="es-ES"/>
        </w:rPr>
        <w:t>La Junta deberá realizar las publicaciones en la página web de Compras y Contrataciones Estatales, de las contrataciones de obras, bienes y servicios, así como de las ampliaciones que se realicen.</w:t>
      </w:r>
    </w:p>
    <w:p w:rsidR="00620685" w:rsidRPr="00031380" w:rsidRDefault="00620685" w:rsidP="008612FE">
      <w:pPr>
        <w:spacing w:after="240" w:line="240" w:lineRule="atLeast"/>
        <w:jc w:val="both"/>
        <w:rPr>
          <w:kern w:val="18"/>
          <w:szCs w:val="20"/>
          <w:lang w:eastAsia="es-ES"/>
        </w:rPr>
      </w:pPr>
    </w:p>
    <w:p w:rsidR="00620685" w:rsidRPr="00031380" w:rsidRDefault="00620685" w:rsidP="008612FE">
      <w:pPr>
        <w:spacing w:line="360" w:lineRule="auto"/>
        <w:jc w:val="both"/>
        <w:outlineLvl w:val="1"/>
        <w:rPr>
          <w:b/>
          <w:kern w:val="18"/>
          <w:szCs w:val="20"/>
          <w:lang w:eastAsia="es-ES"/>
        </w:rPr>
      </w:pPr>
      <w:bookmarkStart w:id="37" w:name="_Toc422141173"/>
      <w:r w:rsidRPr="00031380">
        <w:rPr>
          <w:b/>
          <w:kern w:val="18"/>
          <w:szCs w:val="20"/>
          <w:lang w:eastAsia="es-ES"/>
        </w:rPr>
        <w:t>3.3.2 Recomendaciones del ejercicio</w:t>
      </w:r>
      <w:bookmarkEnd w:id="37"/>
    </w:p>
    <w:p w:rsidR="00620685" w:rsidRPr="00031380" w:rsidRDefault="00620685" w:rsidP="008612FE">
      <w:pPr>
        <w:spacing w:line="360" w:lineRule="auto"/>
        <w:ind w:firstLine="851"/>
        <w:jc w:val="both"/>
        <w:outlineLvl w:val="1"/>
        <w:rPr>
          <w:kern w:val="18"/>
          <w:szCs w:val="20"/>
          <w:lang w:eastAsia="es-ES"/>
        </w:rPr>
      </w:pPr>
      <w:r w:rsidRPr="00031380">
        <w:rPr>
          <w:kern w:val="18"/>
          <w:szCs w:val="20"/>
          <w:lang w:eastAsia="es-ES"/>
        </w:rPr>
        <w:t xml:space="preserve">Se reitera la recomendación efectuada en el </w:t>
      </w:r>
      <w:r>
        <w:rPr>
          <w:kern w:val="18"/>
          <w:szCs w:val="20"/>
          <w:lang w:eastAsia="es-ES"/>
        </w:rPr>
        <w:t>P</w:t>
      </w:r>
      <w:r w:rsidRPr="00031380">
        <w:rPr>
          <w:kern w:val="18"/>
          <w:szCs w:val="20"/>
          <w:lang w:eastAsia="es-ES"/>
        </w:rPr>
        <w:t>árrafo 3.3.1.</w:t>
      </w:r>
    </w:p>
    <w:bookmarkEnd w:id="21"/>
    <w:p w:rsidR="00620685" w:rsidRPr="00031380" w:rsidRDefault="00620685" w:rsidP="008612FE">
      <w:pPr>
        <w:tabs>
          <w:tab w:val="left" w:pos="6720"/>
        </w:tabs>
        <w:spacing w:line="360" w:lineRule="auto"/>
        <w:jc w:val="right"/>
        <w:rPr>
          <w:b/>
          <w:bCs/>
          <w:kern w:val="18"/>
          <w:sz w:val="18"/>
          <w:szCs w:val="20"/>
          <w:lang w:val="es-ES_tradnl" w:eastAsia="es-ES"/>
        </w:rPr>
      </w:pPr>
      <w:r w:rsidRPr="00031380">
        <w:rPr>
          <w:spacing w:val="-3"/>
          <w:kern w:val="18"/>
          <w:szCs w:val="20"/>
          <w:lang w:val="es-ES_tradnl" w:eastAsia="es-ES"/>
        </w:rPr>
        <w:t xml:space="preserve">Montevideo, </w:t>
      </w:r>
      <w:r>
        <w:rPr>
          <w:spacing w:val="-3"/>
          <w:kern w:val="18"/>
          <w:szCs w:val="20"/>
          <w:lang w:val="es-ES_tradnl" w:eastAsia="es-ES"/>
        </w:rPr>
        <w:t>15 de agosto de 2016</w:t>
      </w:r>
    </w:p>
    <w:p w:rsidR="00620685" w:rsidRDefault="00620685"/>
    <w:p w:rsidR="00620685" w:rsidRDefault="00620685"/>
    <w:p w:rsidR="00620685" w:rsidRDefault="00620685">
      <w:proofErr w:type="spellStart"/>
      <w:proofErr w:type="gramStart"/>
      <w:r w:rsidRPr="005D2494">
        <w:t>bf</w:t>
      </w:r>
      <w:proofErr w:type="spellEnd"/>
      <w:proofErr w:type="gramEnd"/>
    </w:p>
    <w:sectPr w:rsidR="00620685" w:rsidSect="00ED0FFB">
      <w:pgSz w:w="11906" w:h="16838" w:code="9"/>
      <w:pgMar w:top="3402" w:right="1701" w:bottom="1134" w:left="1701" w:header="720" w:footer="720" w:gutter="0"/>
      <w:paperSrc w:first="4" w:other="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360"/>
        </w:tabs>
        <w:ind w:left="360" w:hanging="360"/>
      </w:pPr>
      <w:rPr>
        <w:b/>
      </w:rPr>
    </w:lvl>
  </w:abstractNum>
  <w:abstractNum w:abstractNumId="1">
    <w:nsid w:val="20EB7E01"/>
    <w:multiLevelType w:val="multilevel"/>
    <w:tmpl w:val="98125FE2"/>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F464076"/>
    <w:multiLevelType w:val="singleLevel"/>
    <w:tmpl w:val="62BAE0F0"/>
    <w:lvl w:ilvl="0">
      <w:start w:val="1"/>
      <w:numFmt w:val="decimal"/>
      <w:lvlText w:val="%1)"/>
      <w:lvlJc w:val="left"/>
      <w:pPr>
        <w:tabs>
          <w:tab w:val="num" w:pos="360"/>
        </w:tabs>
        <w:ind w:left="360" w:hanging="36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E49"/>
    <w:rsid w:val="00020123"/>
    <w:rsid w:val="000A7E49"/>
    <w:rsid w:val="000D63CF"/>
    <w:rsid w:val="0012226A"/>
    <w:rsid w:val="00131818"/>
    <w:rsid w:val="00156FF9"/>
    <w:rsid w:val="001C656F"/>
    <w:rsid w:val="00295A78"/>
    <w:rsid w:val="002C44AD"/>
    <w:rsid w:val="00341888"/>
    <w:rsid w:val="00364CC7"/>
    <w:rsid w:val="004817BF"/>
    <w:rsid w:val="004F669C"/>
    <w:rsid w:val="00534C49"/>
    <w:rsid w:val="005D3140"/>
    <w:rsid w:val="006038FD"/>
    <w:rsid w:val="00620685"/>
    <w:rsid w:val="00692F9A"/>
    <w:rsid w:val="006A7F0F"/>
    <w:rsid w:val="0076377D"/>
    <w:rsid w:val="008612FE"/>
    <w:rsid w:val="008D4BA6"/>
    <w:rsid w:val="008F4F93"/>
    <w:rsid w:val="009E24F2"/>
    <w:rsid w:val="009F3E75"/>
    <w:rsid w:val="00A815E3"/>
    <w:rsid w:val="00B3445A"/>
    <w:rsid w:val="00BA63E5"/>
    <w:rsid w:val="00BB0696"/>
    <w:rsid w:val="00BD2CC8"/>
    <w:rsid w:val="00BE5FDF"/>
    <w:rsid w:val="00C46C05"/>
    <w:rsid w:val="00C545CB"/>
    <w:rsid w:val="00E57AC8"/>
    <w:rsid w:val="00ED0FFB"/>
    <w:rsid w:val="00EF726A"/>
    <w:rsid w:val="00FF1F2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49"/>
    <w:pPr>
      <w:suppressAutoHyphens/>
      <w:spacing w:after="0" w:line="240" w:lineRule="auto"/>
    </w:pPr>
    <w:rPr>
      <w:rFonts w:ascii="Arial" w:eastAsia="Times New Roman" w:hAnsi="Arial" w:cs="Arial"/>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7E49"/>
    <w:pPr>
      <w:spacing w:after="240" w:line="240" w:lineRule="atLeast"/>
      <w:jc w:val="both"/>
    </w:pPr>
    <w:rPr>
      <w:kern w:val="1"/>
      <w:szCs w:val="20"/>
      <w:lang w:val="es-ES_tradnl"/>
    </w:rPr>
  </w:style>
  <w:style w:type="character" w:customStyle="1" w:styleId="TextoindependienteCar">
    <w:name w:val="Texto independiente Car"/>
    <w:basedOn w:val="Fuentedeprrafopredeter"/>
    <w:link w:val="Textoindependiente"/>
    <w:rsid w:val="000A7E49"/>
    <w:rPr>
      <w:rFonts w:ascii="Arial" w:eastAsia="Times New Roman" w:hAnsi="Arial" w:cs="Arial"/>
      <w:kern w:val="1"/>
      <w:sz w:val="24"/>
      <w:szCs w:val="20"/>
      <w:lang w:val="es-ES_tradnl" w:eastAsia="zh-CN"/>
    </w:rPr>
  </w:style>
  <w:style w:type="paragraph" w:styleId="Prrafodelista">
    <w:name w:val="List Paragraph"/>
    <w:basedOn w:val="Normal"/>
    <w:uiPriority w:val="34"/>
    <w:qFormat/>
    <w:rsid w:val="00C545CB"/>
    <w:pPr>
      <w:suppressAutoHyphens w:val="0"/>
      <w:ind w:left="720"/>
      <w:contextualSpacing/>
    </w:pPr>
    <w:rPr>
      <w:rFonts w:cs="Times New Roman"/>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E49"/>
    <w:pPr>
      <w:suppressAutoHyphens/>
      <w:spacing w:after="0" w:line="240" w:lineRule="auto"/>
    </w:pPr>
    <w:rPr>
      <w:rFonts w:ascii="Arial" w:eastAsia="Times New Roman" w:hAnsi="Arial" w:cs="Arial"/>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7E49"/>
    <w:pPr>
      <w:spacing w:after="240" w:line="240" w:lineRule="atLeast"/>
      <w:jc w:val="both"/>
    </w:pPr>
    <w:rPr>
      <w:kern w:val="1"/>
      <w:szCs w:val="20"/>
      <w:lang w:val="es-ES_tradnl"/>
    </w:rPr>
  </w:style>
  <w:style w:type="character" w:customStyle="1" w:styleId="TextoindependienteCar">
    <w:name w:val="Texto independiente Car"/>
    <w:basedOn w:val="Fuentedeprrafopredeter"/>
    <w:link w:val="Textoindependiente"/>
    <w:rsid w:val="000A7E49"/>
    <w:rPr>
      <w:rFonts w:ascii="Arial" w:eastAsia="Times New Roman" w:hAnsi="Arial" w:cs="Arial"/>
      <w:kern w:val="1"/>
      <w:sz w:val="24"/>
      <w:szCs w:val="20"/>
      <w:lang w:val="es-ES_tradnl" w:eastAsia="zh-CN"/>
    </w:rPr>
  </w:style>
  <w:style w:type="paragraph" w:styleId="Prrafodelista">
    <w:name w:val="List Paragraph"/>
    <w:basedOn w:val="Normal"/>
    <w:uiPriority w:val="34"/>
    <w:qFormat/>
    <w:rsid w:val="00C545CB"/>
    <w:pPr>
      <w:suppressAutoHyphens w:val="0"/>
      <w:ind w:left="720"/>
      <w:contextualSpacing/>
    </w:pPr>
    <w:rPr>
      <w:rFonts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1392</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Hernandez</dc:creator>
  <cp:lastModifiedBy> </cp:lastModifiedBy>
  <cp:revision>6</cp:revision>
  <cp:lastPrinted>2016-09-02T18:16:00Z</cp:lastPrinted>
  <dcterms:created xsi:type="dcterms:W3CDTF">2016-08-29T14:39:00Z</dcterms:created>
  <dcterms:modified xsi:type="dcterms:W3CDTF">2017-01-09T15:17:00Z</dcterms:modified>
</cp:coreProperties>
</file>