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7B6" w:rsidRPr="00786EEB" w:rsidRDefault="00CD37B6" w:rsidP="00CD37B6">
      <w:pPr>
        <w:tabs>
          <w:tab w:val="center" w:pos="4253"/>
        </w:tabs>
        <w:suppressAutoHyphens/>
        <w:jc w:val="right"/>
        <w:rPr>
          <w:rFonts w:ascii="Arial" w:hAnsi="Arial" w:cs="Arial"/>
          <w:b/>
          <w:sz w:val="28"/>
          <w:szCs w:val="28"/>
          <w:lang w:val="es-ES_tradnl"/>
        </w:rPr>
      </w:pPr>
      <w:bookmarkStart w:id="0" w:name="_GoBack"/>
      <w:bookmarkEnd w:id="0"/>
      <w:r w:rsidRPr="00786EEB">
        <w:rPr>
          <w:rFonts w:ascii="Arial" w:hAnsi="Arial" w:cs="Arial"/>
          <w:b/>
          <w:sz w:val="28"/>
          <w:szCs w:val="28"/>
          <w:lang w:val="es-ES_tradnl"/>
        </w:rPr>
        <w:t>RES.</w:t>
      </w:r>
      <w:r w:rsidR="00800A0D">
        <w:rPr>
          <w:rFonts w:ascii="Arial" w:hAnsi="Arial" w:cs="Arial"/>
          <w:b/>
          <w:sz w:val="28"/>
          <w:szCs w:val="28"/>
          <w:lang w:val="es-ES_tradnl"/>
        </w:rPr>
        <w:t xml:space="preserve"> </w:t>
      </w:r>
      <w:r w:rsidR="000E28F6">
        <w:rPr>
          <w:rFonts w:ascii="Arial" w:hAnsi="Arial" w:cs="Arial"/>
          <w:b/>
          <w:sz w:val="28"/>
          <w:szCs w:val="28"/>
          <w:lang w:val="es-ES_tradnl"/>
        </w:rPr>
        <w:t>2919</w:t>
      </w:r>
      <w:r w:rsidRPr="00786EEB">
        <w:rPr>
          <w:rFonts w:ascii="Arial" w:hAnsi="Arial" w:cs="Arial"/>
          <w:b/>
          <w:sz w:val="28"/>
          <w:szCs w:val="28"/>
          <w:lang w:val="es-ES_tradnl"/>
        </w:rPr>
        <w:t>/16</w:t>
      </w:r>
    </w:p>
    <w:p w:rsidR="00CD37B6" w:rsidRDefault="00CD37B6" w:rsidP="00CD37B6">
      <w:pPr>
        <w:tabs>
          <w:tab w:val="center" w:pos="4253"/>
        </w:tabs>
        <w:suppressAutoHyphens/>
        <w:jc w:val="right"/>
        <w:rPr>
          <w:rFonts w:ascii="Arial" w:hAnsi="Arial" w:cs="Arial"/>
          <w:b/>
          <w:lang w:val="es-ES_tradnl"/>
        </w:rPr>
      </w:pPr>
    </w:p>
    <w:p w:rsidR="00CD37B6" w:rsidRPr="00CD37B6" w:rsidRDefault="00CD37B6" w:rsidP="00CD37B6">
      <w:pPr>
        <w:tabs>
          <w:tab w:val="center" w:pos="4253"/>
        </w:tabs>
        <w:suppressAutoHyphens/>
        <w:jc w:val="center"/>
        <w:rPr>
          <w:rFonts w:ascii="Arial" w:hAnsi="Arial" w:cs="Arial"/>
          <w:b/>
          <w:sz w:val="24"/>
          <w:szCs w:val="24"/>
          <w:lang w:val="es-ES_tradnl"/>
        </w:rPr>
      </w:pPr>
      <w:r w:rsidRPr="00CD37B6">
        <w:rPr>
          <w:rFonts w:ascii="Arial" w:hAnsi="Arial" w:cs="Arial"/>
          <w:b/>
          <w:sz w:val="24"/>
          <w:szCs w:val="24"/>
          <w:lang w:val="es-ES_tradnl"/>
        </w:rPr>
        <w:t>RESOLUCION ADOPTADA POR EL</w:t>
      </w:r>
    </w:p>
    <w:p w:rsidR="00CD37B6" w:rsidRPr="00CD37B6" w:rsidRDefault="00CD37B6" w:rsidP="00CD37B6">
      <w:pPr>
        <w:tabs>
          <w:tab w:val="left" w:pos="-720"/>
        </w:tabs>
        <w:suppressAutoHyphens/>
        <w:jc w:val="center"/>
        <w:rPr>
          <w:rFonts w:ascii="Arial" w:hAnsi="Arial" w:cs="Arial"/>
          <w:b/>
          <w:sz w:val="24"/>
          <w:szCs w:val="24"/>
          <w:lang w:val="es-ES_tradnl"/>
        </w:rPr>
      </w:pPr>
    </w:p>
    <w:p w:rsidR="00CD37B6" w:rsidRPr="00CD37B6" w:rsidRDefault="00CD37B6" w:rsidP="00CD37B6">
      <w:pPr>
        <w:tabs>
          <w:tab w:val="center" w:pos="4253"/>
        </w:tabs>
        <w:suppressAutoHyphens/>
        <w:jc w:val="center"/>
        <w:rPr>
          <w:rFonts w:ascii="Arial" w:hAnsi="Arial" w:cs="Arial"/>
          <w:b/>
          <w:sz w:val="24"/>
          <w:szCs w:val="24"/>
          <w:lang w:val="es-ES_tradnl"/>
        </w:rPr>
      </w:pPr>
      <w:r w:rsidRPr="00CD37B6">
        <w:rPr>
          <w:rFonts w:ascii="Arial" w:hAnsi="Arial" w:cs="Arial"/>
          <w:b/>
          <w:sz w:val="24"/>
          <w:szCs w:val="24"/>
          <w:lang w:val="es-ES_tradnl"/>
        </w:rPr>
        <w:t>TRIBUNAL DE CUENTAS</w:t>
      </w:r>
    </w:p>
    <w:p w:rsidR="00CD37B6" w:rsidRPr="00CD37B6" w:rsidRDefault="00CD37B6" w:rsidP="00CD37B6">
      <w:pPr>
        <w:tabs>
          <w:tab w:val="left" w:pos="-720"/>
        </w:tabs>
        <w:suppressAutoHyphens/>
        <w:jc w:val="center"/>
        <w:rPr>
          <w:rFonts w:ascii="Arial" w:hAnsi="Arial" w:cs="Arial"/>
          <w:b/>
          <w:sz w:val="24"/>
          <w:szCs w:val="24"/>
          <w:lang w:val="es-ES_tradnl"/>
        </w:rPr>
      </w:pPr>
    </w:p>
    <w:p w:rsidR="00CD37B6" w:rsidRPr="00CD37B6" w:rsidRDefault="00CD37B6" w:rsidP="00CD37B6">
      <w:pPr>
        <w:tabs>
          <w:tab w:val="center" w:pos="4253"/>
        </w:tabs>
        <w:suppressAutoHyphens/>
        <w:jc w:val="center"/>
        <w:rPr>
          <w:rFonts w:ascii="Arial" w:hAnsi="Arial" w:cs="Arial"/>
          <w:b/>
          <w:sz w:val="24"/>
          <w:szCs w:val="24"/>
          <w:lang w:val="es-ES_tradnl"/>
        </w:rPr>
      </w:pPr>
      <w:r w:rsidRPr="00CD37B6">
        <w:rPr>
          <w:rFonts w:ascii="Arial" w:hAnsi="Arial" w:cs="Arial"/>
          <w:b/>
          <w:sz w:val="24"/>
          <w:szCs w:val="24"/>
          <w:lang w:val="es-ES_tradnl"/>
        </w:rPr>
        <w:t>EN SESION DE FECHA 24 DE AGOSTO DE 2016</w:t>
      </w:r>
    </w:p>
    <w:p w:rsidR="00CD37B6" w:rsidRPr="00CD37B6" w:rsidRDefault="00CD37B6" w:rsidP="00CD37B6">
      <w:pPr>
        <w:tabs>
          <w:tab w:val="center" w:pos="4253"/>
        </w:tabs>
        <w:suppressAutoHyphens/>
        <w:jc w:val="center"/>
        <w:rPr>
          <w:rFonts w:ascii="Arial" w:hAnsi="Arial" w:cs="Arial"/>
          <w:b/>
          <w:sz w:val="24"/>
          <w:szCs w:val="24"/>
          <w:lang w:val="es-ES_tradnl"/>
        </w:rPr>
      </w:pPr>
    </w:p>
    <w:p w:rsidR="00CD37B6" w:rsidRPr="000E28F6" w:rsidRDefault="00CD37B6" w:rsidP="00CD37B6">
      <w:pPr>
        <w:tabs>
          <w:tab w:val="center" w:pos="4253"/>
        </w:tabs>
        <w:suppressAutoHyphens/>
        <w:jc w:val="center"/>
        <w:rPr>
          <w:rFonts w:ascii="Arial" w:hAnsi="Arial" w:cs="Arial"/>
          <w:b/>
          <w:sz w:val="24"/>
          <w:szCs w:val="24"/>
          <w:lang w:val="es-UY"/>
        </w:rPr>
      </w:pPr>
      <w:r w:rsidRPr="000E28F6">
        <w:rPr>
          <w:rFonts w:ascii="Arial" w:hAnsi="Arial" w:cs="Arial"/>
          <w:b/>
          <w:sz w:val="24"/>
          <w:szCs w:val="24"/>
          <w:lang w:val="es-UY"/>
        </w:rPr>
        <w:t>(E. E. Nº</w:t>
      </w:r>
      <w:r w:rsidR="00800A0D">
        <w:rPr>
          <w:rFonts w:ascii="Arial" w:hAnsi="Arial" w:cs="Arial"/>
          <w:b/>
          <w:sz w:val="24"/>
          <w:szCs w:val="24"/>
          <w:lang w:val="es-UY"/>
        </w:rPr>
        <w:t xml:space="preserve"> </w:t>
      </w:r>
      <w:r w:rsidR="000E28F6" w:rsidRPr="000E28F6">
        <w:rPr>
          <w:rFonts w:ascii="Arial" w:hAnsi="Arial" w:cs="Arial"/>
          <w:b/>
          <w:bCs/>
          <w:sz w:val="22"/>
          <w:szCs w:val="22"/>
          <w:lang w:val="pt-BR"/>
        </w:rPr>
        <w:t>2016-17-1-0005244</w:t>
      </w:r>
      <w:r w:rsidRPr="000E28F6">
        <w:rPr>
          <w:rFonts w:ascii="Arial" w:hAnsi="Arial" w:cs="Arial"/>
          <w:b/>
          <w:sz w:val="24"/>
          <w:szCs w:val="24"/>
          <w:lang w:val="es-UY"/>
        </w:rPr>
        <w:t xml:space="preserve">, </w:t>
      </w:r>
      <w:proofErr w:type="spellStart"/>
      <w:r w:rsidRPr="000E28F6">
        <w:rPr>
          <w:rFonts w:ascii="Arial" w:hAnsi="Arial" w:cs="Arial"/>
          <w:b/>
          <w:sz w:val="24"/>
          <w:szCs w:val="24"/>
          <w:lang w:val="es-UY"/>
        </w:rPr>
        <w:t>Ent</w:t>
      </w:r>
      <w:proofErr w:type="spellEnd"/>
      <w:r w:rsidRPr="000E28F6">
        <w:rPr>
          <w:rFonts w:ascii="Arial" w:hAnsi="Arial" w:cs="Arial"/>
          <w:b/>
          <w:sz w:val="24"/>
          <w:szCs w:val="24"/>
          <w:lang w:val="es-UY"/>
        </w:rPr>
        <w:t>. N°</w:t>
      </w:r>
      <w:r w:rsidR="00800A0D">
        <w:rPr>
          <w:rFonts w:ascii="Arial" w:hAnsi="Arial" w:cs="Arial"/>
          <w:b/>
          <w:sz w:val="24"/>
          <w:szCs w:val="24"/>
          <w:lang w:val="es-UY"/>
        </w:rPr>
        <w:t xml:space="preserve"> </w:t>
      </w:r>
      <w:r w:rsidR="000E28F6" w:rsidRPr="000E28F6">
        <w:rPr>
          <w:rFonts w:ascii="Arial" w:hAnsi="Arial" w:cs="Arial"/>
          <w:b/>
          <w:bCs/>
          <w:sz w:val="22"/>
          <w:szCs w:val="22"/>
          <w:lang w:val="pt-BR"/>
        </w:rPr>
        <w:t>4034/16</w:t>
      </w:r>
      <w:r w:rsidRPr="000E28F6">
        <w:rPr>
          <w:rFonts w:ascii="Arial" w:hAnsi="Arial" w:cs="Arial"/>
          <w:b/>
          <w:sz w:val="24"/>
          <w:szCs w:val="24"/>
          <w:lang w:val="es-UY"/>
        </w:rPr>
        <w:t>)</w:t>
      </w:r>
    </w:p>
    <w:p w:rsidR="00BA5B22" w:rsidRPr="000E28F6" w:rsidRDefault="00BA5B22" w:rsidP="00BA5B22">
      <w:pPr>
        <w:autoSpaceDE w:val="0"/>
        <w:autoSpaceDN w:val="0"/>
        <w:adjustRightInd w:val="0"/>
        <w:spacing w:line="360" w:lineRule="auto"/>
        <w:jc w:val="both"/>
        <w:rPr>
          <w:rFonts w:ascii="Arial" w:hAnsi="Arial" w:cs="Arial"/>
          <w:b/>
          <w:sz w:val="22"/>
          <w:szCs w:val="22"/>
          <w:lang w:val="es-UY"/>
        </w:rPr>
      </w:pPr>
    </w:p>
    <w:p w:rsidR="00BA5B22" w:rsidRPr="00FE644A" w:rsidRDefault="00BA5B22" w:rsidP="00962666">
      <w:pPr>
        <w:spacing w:line="360" w:lineRule="auto"/>
        <w:ind w:firstLine="851"/>
        <w:jc w:val="both"/>
        <w:rPr>
          <w:rFonts w:ascii="Arial" w:hAnsi="Arial" w:cs="Arial"/>
          <w:sz w:val="24"/>
          <w:szCs w:val="24"/>
          <w:lang w:val="es-ES_tradnl"/>
        </w:rPr>
      </w:pPr>
      <w:r w:rsidRPr="00FE644A">
        <w:rPr>
          <w:rFonts w:ascii="Arial" w:hAnsi="Arial" w:cs="Arial"/>
          <w:b/>
          <w:sz w:val="24"/>
          <w:szCs w:val="24"/>
          <w:lang w:val="es-ES_tradnl"/>
        </w:rPr>
        <w:t>VISTO</w:t>
      </w:r>
      <w:r w:rsidRPr="00FE644A">
        <w:rPr>
          <w:rFonts w:ascii="Arial" w:hAnsi="Arial" w:cs="Arial"/>
          <w:b/>
          <w:bCs/>
          <w:sz w:val="24"/>
          <w:szCs w:val="24"/>
          <w:lang w:val="es-ES_tradnl"/>
        </w:rPr>
        <w:t>:</w:t>
      </w:r>
      <w:r w:rsidRPr="00FE644A">
        <w:rPr>
          <w:rFonts w:ascii="Arial" w:hAnsi="Arial" w:cs="Arial"/>
          <w:sz w:val="24"/>
          <w:szCs w:val="24"/>
          <w:lang w:val="es-ES_tradnl"/>
        </w:rPr>
        <w:t xml:space="preserve"> que este Tribunal ha examinado el Proyecto de Presupuesto de la Administración Nacional de Combustibles, Alcohol y Portland (ANCAP) para el Ejercicio 201</w:t>
      </w:r>
      <w:r>
        <w:rPr>
          <w:rFonts w:ascii="Arial" w:hAnsi="Arial" w:cs="Arial"/>
          <w:sz w:val="24"/>
          <w:szCs w:val="24"/>
          <w:lang w:val="es-ES_tradnl"/>
        </w:rPr>
        <w:t>7</w:t>
      </w:r>
      <w:r w:rsidRPr="00FE644A">
        <w:rPr>
          <w:rFonts w:ascii="Arial" w:hAnsi="Arial" w:cs="Arial"/>
          <w:sz w:val="24"/>
          <w:szCs w:val="24"/>
          <w:lang w:val="es-ES_tradnl"/>
        </w:rPr>
        <w:t>, remitido por</w:t>
      </w:r>
      <w:r w:rsidRPr="00FE644A">
        <w:rPr>
          <w:rFonts w:ascii="Arial" w:hAnsi="Arial" w:cs="Arial"/>
          <w:spacing w:val="-3"/>
          <w:sz w:val="24"/>
          <w:szCs w:val="24"/>
          <w:lang w:val="es-ES_tradnl"/>
        </w:rPr>
        <w:t xml:space="preserve"> el Organismo</w:t>
      </w:r>
      <w:r w:rsidRPr="00FE644A">
        <w:rPr>
          <w:rFonts w:ascii="Arial" w:hAnsi="Arial" w:cs="Arial"/>
          <w:sz w:val="24"/>
          <w:szCs w:val="24"/>
          <w:lang w:val="es-ES_tradnl"/>
        </w:rPr>
        <w:t>;</w:t>
      </w:r>
    </w:p>
    <w:p w:rsidR="00BA5B22" w:rsidRPr="00FE644A" w:rsidRDefault="00BA5B22" w:rsidP="00962666">
      <w:pPr>
        <w:spacing w:line="360" w:lineRule="auto"/>
        <w:ind w:firstLine="851"/>
        <w:jc w:val="both"/>
        <w:rPr>
          <w:rFonts w:ascii="Arial" w:hAnsi="Arial" w:cs="Arial"/>
          <w:sz w:val="24"/>
          <w:szCs w:val="24"/>
          <w:lang w:val="es-ES_tradnl"/>
        </w:rPr>
      </w:pPr>
      <w:r w:rsidRPr="00FE644A">
        <w:rPr>
          <w:rFonts w:ascii="Arial" w:hAnsi="Arial" w:cs="Arial"/>
          <w:b/>
          <w:sz w:val="24"/>
          <w:szCs w:val="24"/>
          <w:lang w:val="es-ES_tradnl"/>
        </w:rPr>
        <w:t>CONSIDERANDO</w:t>
      </w:r>
      <w:r w:rsidRPr="00FE644A">
        <w:rPr>
          <w:rFonts w:ascii="Arial" w:hAnsi="Arial" w:cs="Arial"/>
          <w:b/>
          <w:bCs/>
          <w:sz w:val="24"/>
          <w:szCs w:val="24"/>
          <w:lang w:val="es-ES_tradnl"/>
        </w:rPr>
        <w:t>:</w:t>
      </w:r>
      <w:r w:rsidRPr="00FE644A">
        <w:rPr>
          <w:rFonts w:ascii="Arial" w:hAnsi="Arial" w:cs="Arial"/>
          <w:sz w:val="24"/>
          <w:szCs w:val="24"/>
          <w:lang w:val="es-ES_tradnl"/>
        </w:rPr>
        <w:t xml:space="preserve"> que las conclusiones obtenidas son las que se expresan en el Dictamen que se adjunta;</w:t>
      </w:r>
    </w:p>
    <w:p w:rsidR="00BA5B22" w:rsidRPr="00FE644A" w:rsidRDefault="00BA5B22" w:rsidP="00962666">
      <w:pPr>
        <w:spacing w:line="360" w:lineRule="auto"/>
        <w:ind w:firstLine="851"/>
        <w:jc w:val="both"/>
        <w:rPr>
          <w:rFonts w:ascii="Arial" w:hAnsi="Arial" w:cs="Arial"/>
          <w:sz w:val="24"/>
          <w:szCs w:val="24"/>
          <w:lang w:val="es-ES_tradnl"/>
        </w:rPr>
      </w:pPr>
      <w:r w:rsidRPr="00FE644A">
        <w:rPr>
          <w:rFonts w:ascii="Arial" w:hAnsi="Arial" w:cs="Arial"/>
          <w:b/>
          <w:sz w:val="24"/>
          <w:szCs w:val="24"/>
          <w:lang w:val="es-ES_tradnl"/>
        </w:rPr>
        <w:t>ATENTO</w:t>
      </w:r>
      <w:r w:rsidRPr="00FE644A">
        <w:rPr>
          <w:rFonts w:ascii="Arial" w:hAnsi="Arial" w:cs="Arial"/>
          <w:b/>
          <w:bCs/>
          <w:sz w:val="24"/>
          <w:szCs w:val="24"/>
          <w:lang w:val="es-ES_tradnl"/>
        </w:rPr>
        <w:t>:</w:t>
      </w:r>
      <w:r w:rsidRPr="00FE644A">
        <w:rPr>
          <w:rFonts w:ascii="Arial" w:hAnsi="Arial" w:cs="Arial"/>
          <w:sz w:val="24"/>
          <w:szCs w:val="24"/>
          <w:lang w:val="es-ES_tradnl"/>
        </w:rPr>
        <w:t xml:space="preserve"> a lo dispuesto por los Artículos 211 Literal A) y 221 de la Constitución de la República;</w:t>
      </w:r>
    </w:p>
    <w:p w:rsidR="00BA5B22" w:rsidRPr="00FE644A" w:rsidRDefault="00BA5B22" w:rsidP="00962666">
      <w:pPr>
        <w:pStyle w:val="Ttulo1"/>
        <w:suppressAutoHyphens w:val="0"/>
        <w:spacing w:line="360" w:lineRule="auto"/>
        <w:jc w:val="center"/>
        <w:rPr>
          <w:rFonts w:ascii="Arial" w:hAnsi="Arial" w:cs="Arial"/>
          <w:spacing w:val="0"/>
          <w:szCs w:val="24"/>
          <w:lang w:val="es-UY"/>
        </w:rPr>
      </w:pPr>
      <w:r w:rsidRPr="00FE644A">
        <w:rPr>
          <w:rFonts w:ascii="Arial" w:hAnsi="Arial" w:cs="Arial"/>
          <w:spacing w:val="0"/>
          <w:szCs w:val="24"/>
          <w:lang w:val="es-UY"/>
        </w:rPr>
        <w:t>EL TRIBUNAL ACUERDA</w:t>
      </w:r>
    </w:p>
    <w:p w:rsidR="00BA5B22" w:rsidRPr="00FE644A" w:rsidRDefault="00BA5B22" w:rsidP="00962666">
      <w:pPr>
        <w:spacing w:line="360" w:lineRule="auto"/>
        <w:ind w:hanging="284"/>
        <w:jc w:val="both"/>
        <w:rPr>
          <w:rFonts w:ascii="Arial" w:hAnsi="Arial" w:cs="Arial"/>
          <w:sz w:val="24"/>
          <w:szCs w:val="24"/>
          <w:lang w:val="es-ES_tradnl"/>
        </w:rPr>
      </w:pPr>
      <w:r w:rsidRPr="00FE644A">
        <w:rPr>
          <w:rFonts w:ascii="Arial" w:hAnsi="Arial" w:cs="Arial"/>
          <w:b/>
          <w:sz w:val="24"/>
          <w:szCs w:val="24"/>
          <w:lang w:val="es-ES_tradnl"/>
        </w:rPr>
        <w:t>1)</w:t>
      </w:r>
      <w:r w:rsidRPr="00FE644A">
        <w:rPr>
          <w:rFonts w:ascii="Arial" w:hAnsi="Arial" w:cs="Arial"/>
          <w:sz w:val="24"/>
          <w:szCs w:val="24"/>
          <w:lang w:val="es-ES_tradnl"/>
        </w:rPr>
        <w:t xml:space="preserve"> Emitir su pronunciamiento respecto al Proyecto de </w:t>
      </w:r>
      <w:r w:rsidRPr="00FE644A">
        <w:rPr>
          <w:rFonts w:ascii="Arial" w:hAnsi="Arial" w:cs="Arial"/>
          <w:spacing w:val="-3"/>
          <w:sz w:val="24"/>
          <w:szCs w:val="24"/>
          <w:lang w:val="es-ES_tradnl"/>
        </w:rPr>
        <w:t xml:space="preserve">Presupuesto </w:t>
      </w:r>
      <w:r w:rsidRPr="00FE644A">
        <w:rPr>
          <w:rFonts w:ascii="Arial" w:hAnsi="Arial" w:cs="Arial"/>
          <w:sz w:val="24"/>
          <w:szCs w:val="24"/>
          <w:lang w:val="es-ES_tradnl"/>
        </w:rPr>
        <w:t xml:space="preserve">de la </w:t>
      </w:r>
      <w:r w:rsidRPr="00FE644A">
        <w:rPr>
          <w:rFonts w:ascii="Arial" w:hAnsi="Arial" w:cs="Arial"/>
          <w:spacing w:val="-8"/>
          <w:sz w:val="24"/>
          <w:szCs w:val="24"/>
          <w:lang w:val="es-ES_tradnl"/>
        </w:rPr>
        <w:t>Administración Nacional de Combustibles, Alcohol y Portland</w:t>
      </w:r>
      <w:r w:rsidRPr="00FE644A">
        <w:rPr>
          <w:rFonts w:ascii="Arial" w:hAnsi="Arial" w:cs="Arial"/>
          <w:sz w:val="24"/>
          <w:szCs w:val="24"/>
          <w:lang w:val="es-ES_tradnl"/>
        </w:rPr>
        <w:t xml:space="preserve"> correspondiente al Ejercicio 201</w:t>
      </w:r>
      <w:r>
        <w:rPr>
          <w:rFonts w:ascii="Arial" w:hAnsi="Arial" w:cs="Arial"/>
          <w:sz w:val="24"/>
          <w:szCs w:val="24"/>
          <w:lang w:val="es-ES_tradnl"/>
        </w:rPr>
        <w:t>7</w:t>
      </w:r>
      <w:r w:rsidRPr="00FE644A">
        <w:rPr>
          <w:rFonts w:ascii="Arial" w:hAnsi="Arial" w:cs="Arial"/>
          <w:sz w:val="24"/>
          <w:szCs w:val="24"/>
          <w:lang w:val="es-ES_tradnl"/>
        </w:rPr>
        <w:t>, en los términos del Dictamen que se adjunta;</w:t>
      </w:r>
    </w:p>
    <w:p w:rsidR="00BA5B22" w:rsidRPr="00C96FF9" w:rsidRDefault="00BA5B22" w:rsidP="00962666">
      <w:pPr>
        <w:spacing w:line="360" w:lineRule="auto"/>
        <w:ind w:hanging="284"/>
        <w:jc w:val="both"/>
        <w:rPr>
          <w:rFonts w:ascii="Arial" w:hAnsi="Arial" w:cs="Arial"/>
          <w:sz w:val="24"/>
          <w:szCs w:val="24"/>
          <w:lang w:val="es-ES_tradnl"/>
        </w:rPr>
      </w:pPr>
      <w:r w:rsidRPr="00FE644A">
        <w:rPr>
          <w:rFonts w:ascii="Arial" w:hAnsi="Arial" w:cs="Arial"/>
          <w:b/>
          <w:bCs/>
          <w:sz w:val="24"/>
          <w:szCs w:val="24"/>
          <w:lang w:val="es-ES_tradnl"/>
        </w:rPr>
        <w:t xml:space="preserve">2) </w:t>
      </w:r>
      <w:bookmarkStart w:id="1" w:name="OLE_LINK1"/>
      <w:r w:rsidRPr="00FE644A">
        <w:rPr>
          <w:rFonts w:ascii="Arial" w:hAnsi="Arial" w:cs="Arial"/>
          <w:sz w:val="24"/>
          <w:szCs w:val="24"/>
          <w:lang w:val="es-ES_tradnl"/>
        </w:rPr>
        <w:t xml:space="preserve">Observar el Proyecto de Presupuesto por lo expresado en los párrafos </w:t>
      </w:r>
      <w:bookmarkEnd w:id="1"/>
      <w:r w:rsidR="00606308">
        <w:rPr>
          <w:rFonts w:ascii="Arial" w:hAnsi="Arial" w:cs="Arial"/>
          <w:sz w:val="24"/>
          <w:szCs w:val="24"/>
          <w:lang w:val="es-ES_tradnl"/>
        </w:rPr>
        <w:t xml:space="preserve">1.3, </w:t>
      </w:r>
      <w:r>
        <w:rPr>
          <w:rFonts w:ascii="Arial" w:hAnsi="Arial" w:cs="Arial"/>
          <w:spacing w:val="-3"/>
          <w:sz w:val="24"/>
          <w:szCs w:val="24"/>
          <w:lang w:val="es-ES_tradnl"/>
        </w:rPr>
        <w:t xml:space="preserve">2.2, 2.3, 2.4, 2.5, 2.6, 2.7. 2.10, 2.11 </w:t>
      </w:r>
      <w:r w:rsidRPr="00C96FF9">
        <w:rPr>
          <w:rFonts w:ascii="Arial" w:hAnsi="Arial" w:cs="Arial"/>
          <w:sz w:val="24"/>
          <w:szCs w:val="24"/>
          <w:lang w:val="es-ES_tradnl"/>
        </w:rPr>
        <w:t xml:space="preserve">y </w:t>
      </w:r>
      <w:r>
        <w:rPr>
          <w:rFonts w:ascii="Arial" w:hAnsi="Arial" w:cs="Arial"/>
          <w:sz w:val="24"/>
          <w:szCs w:val="24"/>
          <w:lang w:val="es-ES_tradnl"/>
        </w:rPr>
        <w:t>2.13;</w:t>
      </w:r>
    </w:p>
    <w:p w:rsidR="00BA5B22" w:rsidRPr="00FE644A" w:rsidRDefault="00BA5B22" w:rsidP="00962666">
      <w:pPr>
        <w:spacing w:line="360" w:lineRule="auto"/>
        <w:ind w:hanging="284"/>
        <w:jc w:val="both"/>
        <w:rPr>
          <w:rFonts w:ascii="Arial" w:hAnsi="Arial" w:cs="Arial"/>
          <w:sz w:val="24"/>
          <w:szCs w:val="24"/>
          <w:lang w:val="es-ES_tradnl"/>
        </w:rPr>
      </w:pPr>
      <w:r w:rsidRPr="00FE644A">
        <w:rPr>
          <w:rFonts w:ascii="Arial" w:hAnsi="Arial" w:cs="Arial"/>
          <w:b/>
          <w:bCs/>
          <w:sz w:val="24"/>
          <w:szCs w:val="24"/>
        </w:rPr>
        <w:t xml:space="preserve">3) </w:t>
      </w:r>
      <w:r w:rsidRPr="00FE644A">
        <w:rPr>
          <w:rFonts w:ascii="Arial" w:hAnsi="Arial" w:cs="Arial"/>
          <w:sz w:val="24"/>
          <w:szCs w:val="24"/>
          <w:lang w:val="es-ES_tradnl"/>
        </w:rPr>
        <w:t xml:space="preserve">Téngase presente lo establecido en los párrafos </w:t>
      </w:r>
      <w:r>
        <w:rPr>
          <w:rFonts w:ascii="Arial" w:hAnsi="Arial" w:cs="Arial"/>
          <w:sz w:val="24"/>
          <w:szCs w:val="24"/>
          <w:lang w:val="es-ES_tradnl"/>
        </w:rPr>
        <w:t>2.8, 2.9, 2.12, y 2.15</w:t>
      </w:r>
      <w:r w:rsidRPr="00FE644A">
        <w:rPr>
          <w:rFonts w:ascii="Arial" w:hAnsi="Arial" w:cs="Arial"/>
          <w:sz w:val="24"/>
          <w:szCs w:val="24"/>
          <w:lang w:val="es-ES_tradnl"/>
        </w:rPr>
        <w:t>;</w:t>
      </w:r>
    </w:p>
    <w:p w:rsidR="00BA5B22" w:rsidRDefault="00BA5B22" w:rsidP="00962666">
      <w:pPr>
        <w:spacing w:line="360" w:lineRule="auto"/>
        <w:ind w:hanging="284"/>
        <w:jc w:val="both"/>
        <w:rPr>
          <w:rFonts w:ascii="Arial" w:hAnsi="Arial" w:cs="Arial"/>
          <w:sz w:val="24"/>
          <w:szCs w:val="24"/>
        </w:rPr>
      </w:pPr>
      <w:r w:rsidRPr="00FE644A">
        <w:rPr>
          <w:rFonts w:ascii="Arial" w:hAnsi="Arial" w:cs="Arial"/>
          <w:b/>
          <w:bCs/>
          <w:sz w:val="24"/>
          <w:szCs w:val="24"/>
          <w:lang w:val="es-ES_tradnl"/>
        </w:rPr>
        <w:t xml:space="preserve">4) </w:t>
      </w:r>
      <w:r w:rsidRPr="00FE644A">
        <w:rPr>
          <w:rFonts w:ascii="Arial" w:hAnsi="Arial" w:cs="Arial"/>
          <w:sz w:val="24"/>
          <w:szCs w:val="24"/>
        </w:rPr>
        <w:t>Comunicar al Poder Ejecutivo, al Organismo y a la Oficina de Planeamiento y Presupuesto.</w:t>
      </w:r>
    </w:p>
    <w:p w:rsidR="00F62D69" w:rsidRDefault="00962666" w:rsidP="00962666">
      <w:pPr>
        <w:spacing w:line="360" w:lineRule="auto"/>
        <w:rPr>
          <w:rFonts w:ascii="Arial" w:hAnsi="Arial" w:cs="Arial"/>
        </w:rPr>
      </w:pPr>
      <w:r w:rsidRPr="00962666">
        <w:rPr>
          <w:rFonts w:ascii="Arial" w:hAnsi="Arial" w:cs="Arial"/>
        </w:rPr>
        <w:t>CLC</w:t>
      </w:r>
    </w:p>
    <w:p w:rsidR="007D767F" w:rsidRDefault="007D767F" w:rsidP="00962666">
      <w:pPr>
        <w:spacing w:line="360" w:lineRule="auto"/>
        <w:rPr>
          <w:rFonts w:ascii="Arial" w:hAnsi="Arial" w:cs="Arial"/>
        </w:rPr>
      </w:pPr>
    </w:p>
    <w:p w:rsidR="007D767F" w:rsidRDefault="007D767F" w:rsidP="00962666">
      <w:pPr>
        <w:spacing w:line="360" w:lineRule="auto"/>
        <w:rPr>
          <w:rFonts w:ascii="Arial" w:hAnsi="Arial" w:cs="Arial"/>
        </w:rPr>
      </w:pPr>
    </w:p>
    <w:p w:rsidR="007D767F" w:rsidRDefault="007D767F" w:rsidP="00962666">
      <w:pPr>
        <w:spacing w:line="360" w:lineRule="auto"/>
        <w:rPr>
          <w:rFonts w:ascii="Arial" w:hAnsi="Arial" w:cs="Arial"/>
        </w:rPr>
      </w:pPr>
    </w:p>
    <w:p w:rsidR="007D767F" w:rsidRDefault="007D767F" w:rsidP="00962666">
      <w:pPr>
        <w:spacing w:line="360" w:lineRule="auto"/>
        <w:rPr>
          <w:rFonts w:ascii="Arial" w:hAnsi="Arial" w:cs="Arial"/>
        </w:rPr>
      </w:pPr>
    </w:p>
    <w:p w:rsidR="007D767F" w:rsidRDefault="007D767F" w:rsidP="00962666">
      <w:pPr>
        <w:spacing w:line="360" w:lineRule="auto"/>
        <w:rPr>
          <w:rFonts w:ascii="Arial" w:hAnsi="Arial" w:cs="Arial"/>
        </w:rPr>
      </w:pPr>
    </w:p>
    <w:p w:rsidR="007D767F" w:rsidRDefault="007D767F" w:rsidP="00962666">
      <w:pPr>
        <w:spacing w:line="360" w:lineRule="auto"/>
        <w:rPr>
          <w:rFonts w:ascii="Arial" w:hAnsi="Arial" w:cs="Arial"/>
        </w:rPr>
      </w:pPr>
    </w:p>
    <w:p w:rsidR="007D767F" w:rsidRDefault="007D767F" w:rsidP="00962666">
      <w:pPr>
        <w:spacing w:line="360" w:lineRule="auto"/>
        <w:rPr>
          <w:rFonts w:ascii="Arial" w:hAnsi="Arial" w:cs="Arial"/>
        </w:rPr>
      </w:pPr>
    </w:p>
    <w:p w:rsidR="007D767F" w:rsidRPr="00FE644A" w:rsidRDefault="007D767F" w:rsidP="00800A0D">
      <w:pPr>
        <w:pStyle w:val="Ttulo"/>
        <w:spacing w:line="360" w:lineRule="auto"/>
        <w:jc w:val="center"/>
        <w:rPr>
          <w:rFonts w:ascii="Arial" w:hAnsi="Arial" w:cs="Arial"/>
          <w:b/>
          <w:szCs w:val="24"/>
        </w:rPr>
      </w:pPr>
      <w:r w:rsidRPr="00FE644A">
        <w:rPr>
          <w:rFonts w:ascii="Arial" w:hAnsi="Arial" w:cs="Arial"/>
          <w:b/>
          <w:szCs w:val="24"/>
        </w:rPr>
        <w:lastRenderedPageBreak/>
        <w:t>DICTAMEN</w:t>
      </w:r>
    </w:p>
    <w:p w:rsidR="007D767F" w:rsidRPr="00FE644A" w:rsidRDefault="007D767F" w:rsidP="00BA5B22">
      <w:pPr>
        <w:spacing w:line="360" w:lineRule="auto"/>
        <w:jc w:val="both"/>
        <w:rPr>
          <w:rFonts w:ascii="Arial" w:hAnsi="Arial" w:cs="Arial"/>
          <w:spacing w:val="-3"/>
          <w:sz w:val="24"/>
          <w:szCs w:val="24"/>
          <w:lang w:val="es-ES_tradnl"/>
        </w:rPr>
      </w:pPr>
    </w:p>
    <w:p w:rsidR="007D767F" w:rsidRPr="00FE644A" w:rsidRDefault="007D767F" w:rsidP="00BA5B22">
      <w:pPr>
        <w:spacing w:line="360" w:lineRule="auto"/>
        <w:jc w:val="both"/>
        <w:rPr>
          <w:rFonts w:ascii="Arial" w:hAnsi="Arial" w:cs="Arial"/>
          <w:spacing w:val="-3"/>
          <w:sz w:val="24"/>
          <w:szCs w:val="24"/>
          <w:lang w:val="es-ES_tradnl"/>
        </w:rPr>
      </w:pPr>
      <w:r w:rsidRPr="00FE644A">
        <w:rPr>
          <w:rFonts w:ascii="Arial" w:hAnsi="Arial" w:cs="Arial"/>
          <w:spacing w:val="-3"/>
          <w:sz w:val="24"/>
          <w:szCs w:val="24"/>
          <w:lang w:val="es-ES_tradnl"/>
        </w:rPr>
        <w:t>El Tribunal de Cuentas ha examinado el Proyecto de Presupuesto para el Ejercicio 201</w:t>
      </w:r>
      <w:r>
        <w:rPr>
          <w:rFonts w:ascii="Arial" w:hAnsi="Arial" w:cs="Arial"/>
          <w:spacing w:val="-3"/>
          <w:sz w:val="24"/>
          <w:szCs w:val="24"/>
          <w:lang w:val="es-ES_tradnl"/>
        </w:rPr>
        <w:t>7</w:t>
      </w:r>
      <w:r w:rsidRPr="00FE644A">
        <w:rPr>
          <w:rFonts w:ascii="Arial" w:hAnsi="Arial" w:cs="Arial"/>
          <w:spacing w:val="-3"/>
          <w:sz w:val="24"/>
          <w:szCs w:val="24"/>
          <w:lang w:val="es-ES_tradnl"/>
        </w:rPr>
        <w:t xml:space="preserve"> de la Administración Nacional de Combustibles, Alcohol y Portland. Toda la información incluida en el referido Proyecto y los supuestos sobre los que se basa son responsabilidad del Directorio del Ente. La responsabilidad del Tribunal de Cuentas es expresar una opinión sobre dicho Proyecto de Presupuesto de acuerdo con lo dispuesto por los Ar</w:t>
      </w:r>
      <w:r w:rsidRPr="00FE644A">
        <w:rPr>
          <w:rFonts w:ascii="Arial" w:hAnsi="Arial" w:cs="Arial"/>
          <w:spacing w:val="-3"/>
          <w:sz w:val="24"/>
          <w:szCs w:val="24"/>
          <w:lang w:val="es-ES_tradnl"/>
        </w:rPr>
        <w:softHyphen/>
        <w:t xml:space="preserve">tículos 211 Literal A) y 221 de la Constitución de la República y establecer, en caso que corresponda, los hallazgos realizados con relación al cumplimiento de las </w:t>
      </w:r>
      <w:r w:rsidRPr="00FE644A">
        <w:rPr>
          <w:rFonts w:ascii="Arial" w:hAnsi="Arial" w:cs="Arial"/>
          <w:bCs/>
          <w:spacing w:val="-3"/>
          <w:sz w:val="24"/>
          <w:szCs w:val="24"/>
          <w:lang w:val="es-ES_tradnl"/>
        </w:rPr>
        <w:t>normas constitucionales,</w:t>
      </w:r>
      <w:r w:rsidRPr="00FE644A">
        <w:rPr>
          <w:rFonts w:ascii="Arial" w:hAnsi="Arial" w:cs="Arial"/>
          <w:spacing w:val="-3"/>
          <w:sz w:val="24"/>
          <w:szCs w:val="24"/>
          <w:lang w:val="es-ES_tradnl"/>
        </w:rPr>
        <w:t xml:space="preserve"> le</w:t>
      </w:r>
      <w:r w:rsidRPr="00FE644A">
        <w:rPr>
          <w:rFonts w:ascii="Arial" w:hAnsi="Arial" w:cs="Arial"/>
          <w:spacing w:val="-3"/>
          <w:sz w:val="24"/>
          <w:szCs w:val="24"/>
          <w:lang w:val="es-ES_tradnl"/>
        </w:rPr>
        <w:softHyphen/>
        <w:t>gales y reglamentarias  que resulten aplicables.</w:t>
      </w:r>
    </w:p>
    <w:p w:rsidR="007D767F" w:rsidRPr="00FE644A" w:rsidRDefault="007D767F" w:rsidP="00BA5B22">
      <w:pPr>
        <w:pStyle w:val="Textoindependiente3"/>
        <w:suppressAutoHyphens w:val="0"/>
        <w:rPr>
          <w:rFonts w:cs="Arial"/>
          <w:color w:val="FF0000"/>
        </w:rPr>
      </w:pPr>
    </w:p>
    <w:p w:rsidR="007D767F" w:rsidRPr="00800A0D" w:rsidRDefault="007D767F" w:rsidP="005A17CC">
      <w:pPr>
        <w:pStyle w:val="Textoindependiente3"/>
        <w:numPr>
          <w:ilvl w:val="0"/>
          <w:numId w:val="1"/>
        </w:numPr>
        <w:suppressAutoHyphens w:val="0"/>
        <w:rPr>
          <w:rFonts w:cs="Arial"/>
          <w:b/>
          <w:color w:val="000000" w:themeColor="text1"/>
        </w:rPr>
      </w:pPr>
      <w:r w:rsidRPr="00800A0D">
        <w:rPr>
          <w:rFonts w:cs="Arial"/>
          <w:b/>
          <w:color w:val="000000" w:themeColor="text1"/>
        </w:rPr>
        <w:t xml:space="preserve">ANALISIS DE INGRESOS PROYECTADOS Y ASIGNACIONES </w:t>
      </w:r>
      <w:r w:rsidRPr="00800A0D">
        <w:rPr>
          <w:rFonts w:cs="Arial"/>
          <w:b/>
          <w:color w:val="000000" w:themeColor="text1"/>
        </w:rPr>
        <w:tab/>
        <w:t>PRESUPUESTALES</w:t>
      </w:r>
    </w:p>
    <w:p w:rsidR="007D767F" w:rsidRPr="00FE644A" w:rsidRDefault="007D767F" w:rsidP="00BA5B22">
      <w:pPr>
        <w:spacing w:line="360" w:lineRule="auto"/>
        <w:jc w:val="both"/>
        <w:rPr>
          <w:rFonts w:ascii="Arial" w:hAnsi="Arial" w:cs="Arial"/>
          <w:b/>
          <w:bCs/>
        </w:rPr>
      </w:pPr>
      <w:r w:rsidRPr="00FE644A">
        <w:rPr>
          <w:rFonts w:ascii="Arial" w:hAnsi="Arial" w:cs="Arial"/>
          <w:b/>
          <w:bCs/>
        </w:rPr>
        <w:t>1.1) INGRESOS PROYECTADOS</w:t>
      </w:r>
    </w:p>
    <w:tbl>
      <w:tblPr>
        <w:tblW w:w="8920" w:type="dxa"/>
        <w:tblInd w:w="55" w:type="dxa"/>
        <w:tblCellMar>
          <w:left w:w="70" w:type="dxa"/>
          <w:right w:w="70" w:type="dxa"/>
        </w:tblCellMar>
        <w:tblLook w:val="04A0" w:firstRow="1" w:lastRow="0" w:firstColumn="1" w:lastColumn="0" w:noHBand="0" w:noVBand="1"/>
      </w:tblPr>
      <w:tblGrid>
        <w:gridCol w:w="146"/>
        <w:gridCol w:w="7183"/>
        <w:gridCol w:w="1445"/>
        <w:gridCol w:w="146"/>
      </w:tblGrid>
      <w:tr w:rsidR="007D767F" w:rsidRPr="00FE644A" w:rsidTr="00F62D69">
        <w:trPr>
          <w:gridAfter w:val="1"/>
          <w:trHeight w:val="315"/>
        </w:trPr>
        <w:tc>
          <w:tcPr>
            <w:tcW w:w="146" w:type="dxa"/>
            <w:tcBorders>
              <w:top w:val="nil"/>
              <w:left w:val="nil"/>
              <w:bottom w:val="nil"/>
              <w:right w:val="nil"/>
            </w:tcBorders>
            <w:shd w:val="clear" w:color="auto" w:fill="auto"/>
            <w:vAlign w:val="bottom"/>
          </w:tcPr>
          <w:p w:rsidR="007D767F" w:rsidRPr="00FE644A" w:rsidRDefault="007D767F" w:rsidP="00F62D69">
            <w:pPr>
              <w:spacing w:line="360" w:lineRule="auto"/>
              <w:jc w:val="both"/>
              <w:rPr>
                <w:rFonts w:ascii="Arial" w:hAnsi="Arial" w:cs="Arial"/>
                <w:color w:val="FF0000"/>
              </w:rPr>
            </w:pPr>
          </w:p>
        </w:tc>
        <w:tc>
          <w:tcPr>
            <w:tcW w:w="6986" w:type="dxa"/>
            <w:vAlign w:val="center"/>
          </w:tcPr>
          <w:tbl>
            <w:tblPr>
              <w:tblW w:w="6974" w:type="dxa"/>
              <w:tblInd w:w="55" w:type="dxa"/>
              <w:tblCellMar>
                <w:left w:w="70" w:type="dxa"/>
                <w:right w:w="70" w:type="dxa"/>
              </w:tblCellMar>
              <w:tblLook w:val="04A0" w:firstRow="1" w:lastRow="0" w:firstColumn="1" w:lastColumn="0" w:noHBand="0" w:noVBand="1"/>
            </w:tblPr>
            <w:tblGrid>
              <w:gridCol w:w="5131"/>
              <w:gridCol w:w="1843"/>
            </w:tblGrid>
            <w:tr w:rsidR="007D767F" w:rsidRPr="003B6683" w:rsidTr="006C4A75">
              <w:trPr>
                <w:trHeight w:val="300"/>
              </w:trPr>
              <w:tc>
                <w:tcPr>
                  <w:tcW w:w="5131" w:type="dxa"/>
                  <w:tcBorders>
                    <w:top w:val="nil"/>
                    <w:left w:val="nil"/>
                    <w:bottom w:val="nil"/>
                    <w:right w:val="nil"/>
                  </w:tcBorders>
                  <w:shd w:val="clear" w:color="auto" w:fill="auto"/>
                  <w:noWrap/>
                  <w:vAlign w:val="center"/>
                  <w:hideMark/>
                </w:tcPr>
                <w:p w:rsidR="007D767F" w:rsidRPr="003B6683" w:rsidRDefault="007D767F" w:rsidP="00F62D69">
                  <w:pPr>
                    <w:widowControl/>
                    <w:rPr>
                      <w:rFonts w:ascii="Arial" w:hAnsi="Arial" w:cs="Arial"/>
                      <w:b/>
                      <w:bCs/>
                      <w:snapToGrid/>
                      <w:color w:val="000000"/>
                      <w:lang w:val="es-UY" w:eastAsia="es-UY"/>
                    </w:rPr>
                  </w:pPr>
                  <w:r w:rsidRPr="003B6683">
                    <w:rPr>
                      <w:rFonts w:ascii="Arial" w:hAnsi="Arial" w:cs="Arial"/>
                      <w:b/>
                      <w:bCs/>
                      <w:snapToGrid/>
                      <w:color w:val="000000"/>
                      <w:lang w:val="es-UY" w:eastAsia="es-UY"/>
                    </w:rPr>
                    <w:t>INGRESOS</w:t>
                  </w:r>
                </w:p>
              </w:tc>
              <w:tc>
                <w:tcPr>
                  <w:tcW w:w="1843" w:type="dxa"/>
                  <w:tcBorders>
                    <w:top w:val="nil"/>
                    <w:left w:val="nil"/>
                    <w:bottom w:val="nil"/>
                    <w:right w:val="nil"/>
                  </w:tcBorders>
                  <w:shd w:val="clear" w:color="auto" w:fill="auto"/>
                  <w:noWrap/>
                  <w:vAlign w:val="center"/>
                </w:tcPr>
                <w:p w:rsidR="007D767F" w:rsidRPr="003B6683" w:rsidRDefault="007D767F" w:rsidP="00F62D69">
                  <w:pPr>
                    <w:widowControl/>
                    <w:jc w:val="right"/>
                    <w:rPr>
                      <w:rFonts w:ascii="Arial" w:hAnsi="Arial" w:cs="Arial"/>
                      <w:snapToGrid/>
                      <w:color w:val="000000"/>
                      <w:lang w:val="es-UY" w:eastAsia="es-UY"/>
                    </w:rPr>
                  </w:pPr>
                </w:p>
              </w:tc>
            </w:tr>
            <w:tr w:rsidR="007D767F" w:rsidRPr="003B6683" w:rsidTr="006C4A75">
              <w:trPr>
                <w:trHeight w:val="300"/>
              </w:trPr>
              <w:tc>
                <w:tcPr>
                  <w:tcW w:w="5131" w:type="dxa"/>
                  <w:tcBorders>
                    <w:top w:val="nil"/>
                    <w:left w:val="nil"/>
                    <w:bottom w:val="nil"/>
                    <w:right w:val="nil"/>
                  </w:tcBorders>
                  <w:shd w:val="clear" w:color="auto" w:fill="auto"/>
                  <w:noWrap/>
                  <w:vAlign w:val="center"/>
                  <w:hideMark/>
                </w:tcPr>
                <w:p w:rsidR="007D767F" w:rsidRPr="003B6683" w:rsidRDefault="007D767F" w:rsidP="00F62D69">
                  <w:pPr>
                    <w:widowControl/>
                    <w:rPr>
                      <w:rFonts w:ascii="Arial" w:hAnsi="Arial" w:cs="Arial"/>
                      <w:b/>
                      <w:bCs/>
                      <w:snapToGrid/>
                      <w:color w:val="000000"/>
                      <w:lang w:val="es-UY" w:eastAsia="es-UY"/>
                    </w:rPr>
                  </w:pPr>
                  <w:r>
                    <w:rPr>
                      <w:rFonts w:ascii="Arial" w:hAnsi="Arial" w:cs="Arial"/>
                      <w:b/>
                      <w:bCs/>
                      <w:snapToGrid/>
                      <w:color w:val="000000"/>
                      <w:lang w:val="es-UY" w:eastAsia="es-UY"/>
                    </w:rPr>
                    <w:t>CONCEPTO</w:t>
                  </w:r>
                </w:p>
              </w:tc>
              <w:tc>
                <w:tcPr>
                  <w:tcW w:w="1843" w:type="dxa"/>
                  <w:tcBorders>
                    <w:top w:val="nil"/>
                    <w:left w:val="nil"/>
                    <w:bottom w:val="nil"/>
                    <w:right w:val="nil"/>
                  </w:tcBorders>
                  <w:shd w:val="clear" w:color="auto" w:fill="auto"/>
                  <w:noWrap/>
                  <w:vAlign w:val="center"/>
                  <w:hideMark/>
                </w:tcPr>
                <w:p w:rsidR="007D767F" w:rsidRPr="003B6683" w:rsidRDefault="007D767F" w:rsidP="00F62D69">
                  <w:pPr>
                    <w:widowControl/>
                    <w:jc w:val="right"/>
                    <w:rPr>
                      <w:rFonts w:ascii="Arial" w:hAnsi="Arial" w:cs="Arial"/>
                      <w:snapToGrid/>
                      <w:color w:val="000000"/>
                      <w:lang w:val="es-UY" w:eastAsia="es-UY"/>
                    </w:rPr>
                  </w:pPr>
                  <w:r w:rsidRPr="00FE644A">
                    <w:rPr>
                      <w:rFonts w:ascii="Arial" w:hAnsi="Arial" w:cs="Arial"/>
                      <w:b/>
                      <w:bCs/>
                    </w:rPr>
                    <w:t>IMPORTE ($)</w:t>
                  </w:r>
                </w:p>
              </w:tc>
            </w:tr>
            <w:tr w:rsidR="007D767F" w:rsidRPr="003B6683" w:rsidTr="006C4A75">
              <w:trPr>
                <w:trHeight w:val="300"/>
              </w:trPr>
              <w:tc>
                <w:tcPr>
                  <w:tcW w:w="5131" w:type="dxa"/>
                  <w:tcBorders>
                    <w:top w:val="nil"/>
                    <w:left w:val="nil"/>
                    <w:bottom w:val="nil"/>
                    <w:right w:val="nil"/>
                  </w:tcBorders>
                  <w:shd w:val="clear" w:color="auto" w:fill="auto"/>
                  <w:noWrap/>
                  <w:vAlign w:val="center"/>
                  <w:hideMark/>
                </w:tcPr>
                <w:p w:rsidR="007D767F" w:rsidRPr="003B6683" w:rsidRDefault="007D767F" w:rsidP="00F62D69">
                  <w:pPr>
                    <w:widowControl/>
                    <w:rPr>
                      <w:rFonts w:ascii="Arial" w:hAnsi="Arial" w:cs="Arial"/>
                      <w:b/>
                      <w:bCs/>
                      <w:snapToGrid/>
                      <w:color w:val="000000"/>
                      <w:lang w:val="es-UY" w:eastAsia="es-UY"/>
                    </w:rPr>
                  </w:pPr>
                  <w:r w:rsidRPr="003B6683">
                    <w:rPr>
                      <w:rFonts w:ascii="Arial" w:hAnsi="Arial" w:cs="Arial"/>
                      <w:b/>
                      <w:bCs/>
                      <w:snapToGrid/>
                      <w:color w:val="000000"/>
                      <w:lang w:val="es-UY" w:eastAsia="es-UY"/>
                    </w:rPr>
                    <w:t>Programa Energía - Combustibles</w:t>
                  </w:r>
                </w:p>
              </w:tc>
              <w:tc>
                <w:tcPr>
                  <w:tcW w:w="1843" w:type="dxa"/>
                  <w:tcBorders>
                    <w:top w:val="nil"/>
                    <w:left w:val="nil"/>
                    <w:bottom w:val="nil"/>
                    <w:right w:val="nil"/>
                  </w:tcBorders>
                  <w:shd w:val="clear" w:color="auto" w:fill="auto"/>
                  <w:noWrap/>
                  <w:vAlign w:val="center"/>
                  <w:hideMark/>
                </w:tcPr>
                <w:p w:rsidR="007D767F" w:rsidRPr="003B6683" w:rsidRDefault="007D767F" w:rsidP="00F62D69">
                  <w:pPr>
                    <w:widowControl/>
                    <w:jc w:val="right"/>
                    <w:rPr>
                      <w:rFonts w:ascii="Arial" w:hAnsi="Arial" w:cs="Arial"/>
                      <w:snapToGrid/>
                      <w:color w:val="000000"/>
                      <w:lang w:val="es-UY" w:eastAsia="es-UY"/>
                    </w:rPr>
                  </w:pPr>
                </w:p>
              </w:tc>
            </w:tr>
            <w:tr w:rsidR="007D767F" w:rsidRPr="003B6683" w:rsidTr="006C4A75">
              <w:trPr>
                <w:trHeight w:val="300"/>
              </w:trPr>
              <w:tc>
                <w:tcPr>
                  <w:tcW w:w="5131" w:type="dxa"/>
                  <w:tcBorders>
                    <w:top w:val="nil"/>
                    <w:left w:val="nil"/>
                    <w:bottom w:val="nil"/>
                    <w:right w:val="nil"/>
                  </w:tcBorders>
                  <w:shd w:val="clear" w:color="auto" w:fill="auto"/>
                  <w:noWrap/>
                  <w:vAlign w:val="center"/>
                  <w:hideMark/>
                </w:tcPr>
                <w:p w:rsidR="007D767F" w:rsidRPr="003B6683" w:rsidRDefault="007D767F" w:rsidP="00F62D69">
                  <w:pPr>
                    <w:widowControl/>
                    <w:rPr>
                      <w:rFonts w:ascii="Arial" w:hAnsi="Arial" w:cs="Arial"/>
                      <w:snapToGrid/>
                      <w:color w:val="000000"/>
                      <w:lang w:val="es-UY" w:eastAsia="es-UY"/>
                    </w:rPr>
                  </w:pPr>
                  <w:r w:rsidRPr="003B6683">
                    <w:rPr>
                      <w:rFonts w:ascii="Arial" w:hAnsi="Arial" w:cs="Arial"/>
                      <w:snapToGrid/>
                      <w:color w:val="000000"/>
                      <w:lang w:val="es-UY" w:eastAsia="es-UY"/>
                    </w:rPr>
                    <w:t>Ventas Netas</w:t>
                  </w:r>
                </w:p>
              </w:tc>
              <w:tc>
                <w:tcPr>
                  <w:tcW w:w="1843" w:type="dxa"/>
                  <w:tcBorders>
                    <w:top w:val="nil"/>
                    <w:left w:val="nil"/>
                    <w:bottom w:val="nil"/>
                    <w:right w:val="nil"/>
                  </w:tcBorders>
                  <w:shd w:val="clear" w:color="auto" w:fill="auto"/>
                  <w:noWrap/>
                  <w:vAlign w:val="center"/>
                  <w:hideMark/>
                </w:tcPr>
                <w:p w:rsidR="007D767F" w:rsidRPr="003B6683" w:rsidRDefault="007D767F" w:rsidP="00F62D69">
                  <w:pPr>
                    <w:widowControl/>
                    <w:jc w:val="right"/>
                    <w:rPr>
                      <w:rFonts w:ascii="Arial" w:hAnsi="Arial" w:cs="Arial"/>
                      <w:snapToGrid/>
                      <w:color w:val="000000"/>
                      <w:lang w:val="es-UY" w:eastAsia="es-UY"/>
                    </w:rPr>
                  </w:pPr>
                  <w:r w:rsidRPr="003B6683">
                    <w:rPr>
                      <w:rFonts w:ascii="Arial" w:hAnsi="Arial" w:cs="Arial"/>
                      <w:snapToGrid/>
                      <w:color w:val="000000"/>
                      <w:lang w:val="es-UY" w:eastAsia="es-UY"/>
                    </w:rPr>
                    <w:t>61.659.278.842</w:t>
                  </w:r>
                </w:p>
              </w:tc>
            </w:tr>
            <w:tr w:rsidR="007D767F" w:rsidRPr="003B6683" w:rsidTr="006C4A75">
              <w:trPr>
                <w:trHeight w:val="300"/>
              </w:trPr>
              <w:tc>
                <w:tcPr>
                  <w:tcW w:w="5131" w:type="dxa"/>
                  <w:tcBorders>
                    <w:top w:val="nil"/>
                    <w:left w:val="nil"/>
                    <w:bottom w:val="nil"/>
                    <w:right w:val="nil"/>
                  </w:tcBorders>
                  <w:shd w:val="clear" w:color="auto" w:fill="auto"/>
                  <w:noWrap/>
                  <w:vAlign w:val="center"/>
                  <w:hideMark/>
                </w:tcPr>
                <w:p w:rsidR="007D767F" w:rsidRPr="003B6683" w:rsidRDefault="007D767F" w:rsidP="00F62D69">
                  <w:pPr>
                    <w:widowControl/>
                    <w:rPr>
                      <w:rFonts w:ascii="Arial" w:hAnsi="Arial" w:cs="Arial"/>
                      <w:snapToGrid/>
                      <w:color w:val="000000"/>
                      <w:lang w:val="es-UY" w:eastAsia="es-UY"/>
                    </w:rPr>
                  </w:pPr>
                  <w:r w:rsidRPr="003B6683">
                    <w:rPr>
                      <w:rFonts w:ascii="Arial" w:hAnsi="Arial" w:cs="Arial"/>
                      <w:snapToGrid/>
                      <w:color w:val="000000"/>
                      <w:lang w:val="es-UY" w:eastAsia="es-UY"/>
                    </w:rPr>
                    <w:t>Impuestos</w:t>
                  </w:r>
                </w:p>
              </w:tc>
              <w:tc>
                <w:tcPr>
                  <w:tcW w:w="1843" w:type="dxa"/>
                  <w:tcBorders>
                    <w:top w:val="nil"/>
                    <w:left w:val="nil"/>
                    <w:bottom w:val="nil"/>
                    <w:right w:val="nil"/>
                  </w:tcBorders>
                  <w:shd w:val="clear" w:color="auto" w:fill="auto"/>
                  <w:noWrap/>
                  <w:vAlign w:val="center"/>
                  <w:hideMark/>
                </w:tcPr>
                <w:p w:rsidR="007D767F" w:rsidRPr="003B6683" w:rsidRDefault="007D767F" w:rsidP="00F62D69">
                  <w:pPr>
                    <w:widowControl/>
                    <w:jc w:val="right"/>
                    <w:rPr>
                      <w:rFonts w:ascii="Arial" w:hAnsi="Arial" w:cs="Arial"/>
                      <w:snapToGrid/>
                      <w:color w:val="000000"/>
                      <w:lang w:val="es-UY" w:eastAsia="es-UY"/>
                    </w:rPr>
                  </w:pPr>
                  <w:r w:rsidRPr="003B6683">
                    <w:rPr>
                      <w:rFonts w:ascii="Arial" w:hAnsi="Arial" w:cs="Arial"/>
                      <w:snapToGrid/>
                      <w:color w:val="000000"/>
                      <w:lang w:val="es-UY" w:eastAsia="es-UY"/>
                    </w:rPr>
                    <w:t>23.949.107.066</w:t>
                  </w:r>
                </w:p>
              </w:tc>
            </w:tr>
            <w:tr w:rsidR="007D767F" w:rsidRPr="003B6683" w:rsidTr="006C4A75">
              <w:trPr>
                <w:trHeight w:val="300"/>
              </w:trPr>
              <w:tc>
                <w:tcPr>
                  <w:tcW w:w="5131" w:type="dxa"/>
                  <w:tcBorders>
                    <w:top w:val="nil"/>
                    <w:left w:val="nil"/>
                    <w:bottom w:val="nil"/>
                    <w:right w:val="nil"/>
                  </w:tcBorders>
                  <w:shd w:val="clear" w:color="auto" w:fill="auto"/>
                  <w:noWrap/>
                  <w:vAlign w:val="center"/>
                  <w:hideMark/>
                </w:tcPr>
                <w:p w:rsidR="007D767F" w:rsidRPr="003B6683" w:rsidRDefault="007D767F" w:rsidP="00F62D69">
                  <w:pPr>
                    <w:widowControl/>
                    <w:rPr>
                      <w:rFonts w:ascii="Arial" w:hAnsi="Arial" w:cs="Arial"/>
                      <w:snapToGrid/>
                      <w:color w:val="000000"/>
                      <w:lang w:val="es-UY" w:eastAsia="es-UY"/>
                    </w:rPr>
                  </w:pPr>
                  <w:r w:rsidRPr="003B6683">
                    <w:rPr>
                      <w:rFonts w:ascii="Arial" w:hAnsi="Arial" w:cs="Arial"/>
                      <w:snapToGrid/>
                      <w:color w:val="000000"/>
                      <w:lang w:val="es-UY" w:eastAsia="es-UY"/>
                    </w:rPr>
                    <w:t>Otros Ingresos ajenos al giro</w:t>
                  </w:r>
                </w:p>
              </w:tc>
              <w:tc>
                <w:tcPr>
                  <w:tcW w:w="1843" w:type="dxa"/>
                  <w:tcBorders>
                    <w:top w:val="nil"/>
                    <w:left w:val="nil"/>
                    <w:bottom w:val="nil"/>
                    <w:right w:val="nil"/>
                  </w:tcBorders>
                  <w:shd w:val="clear" w:color="auto" w:fill="auto"/>
                  <w:noWrap/>
                  <w:vAlign w:val="center"/>
                  <w:hideMark/>
                </w:tcPr>
                <w:p w:rsidR="007D767F" w:rsidRPr="003B6683" w:rsidRDefault="007D767F" w:rsidP="00F62D69">
                  <w:pPr>
                    <w:widowControl/>
                    <w:jc w:val="right"/>
                    <w:rPr>
                      <w:rFonts w:ascii="Arial" w:hAnsi="Arial" w:cs="Arial"/>
                      <w:snapToGrid/>
                      <w:color w:val="000000"/>
                      <w:lang w:val="es-UY" w:eastAsia="es-UY"/>
                    </w:rPr>
                  </w:pPr>
                  <w:r w:rsidRPr="003B6683">
                    <w:rPr>
                      <w:rFonts w:ascii="Arial" w:hAnsi="Arial" w:cs="Arial"/>
                      <w:snapToGrid/>
                      <w:color w:val="000000"/>
                      <w:lang w:val="es-UY" w:eastAsia="es-UY"/>
                    </w:rPr>
                    <w:t>651.322.515</w:t>
                  </w:r>
                </w:p>
              </w:tc>
            </w:tr>
            <w:tr w:rsidR="007D767F" w:rsidRPr="003B6683" w:rsidTr="006C4A75">
              <w:trPr>
                <w:trHeight w:val="300"/>
              </w:trPr>
              <w:tc>
                <w:tcPr>
                  <w:tcW w:w="5131" w:type="dxa"/>
                  <w:tcBorders>
                    <w:top w:val="nil"/>
                    <w:left w:val="nil"/>
                    <w:bottom w:val="nil"/>
                    <w:right w:val="nil"/>
                  </w:tcBorders>
                  <w:shd w:val="clear" w:color="auto" w:fill="auto"/>
                  <w:noWrap/>
                  <w:vAlign w:val="center"/>
                  <w:hideMark/>
                </w:tcPr>
                <w:p w:rsidR="007D767F" w:rsidRPr="003B6683" w:rsidRDefault="007D767F" w:rsidP="00F62D69">
                  <w:pPr>
                    <w:widowControl/>
                    <w:rPr>
                      <w:rFonts w:ascii="Arial" w:hAnsi="Arial" w:cs="Arial"/>
                      <w:b/>
                      <w:bCs/>
                      <w:snapToGrid/>
                      <w:color w:val="000000"/>
                      <w:lang w:val="es-UY" w:eastAsia="es-UY"/>
                    </w:rPr>
                  </w:pPr>
                  <w:r>
                    <w:rPr>
                      <w:rFonts w:ascii="Arial" w:hAnsi="Arial" w:cs="Arial"/>
                      <w:b/>
                      <w:bCs/>
                      <w:snapToGrid/>
                      <w:color w:val="000000"/>
                      <w:lang w:val="es-UY" w:eastAsia="es-UY"/>
                    </w:rPr>
                    <w:t>Total Programa Energía – C</w:t>
                  </w:r>
                  <w:r w:rsidRPr="003B6683">
                    <w:rPr>
                      <w:rFonts w:ascii="Arial" w:hAnsi="Arial" w:cs="Arial"/>
                      <w:b/>
                      <w:bCs/>
                      <w:snapToGrid/>
                      <w:color w:val="000000"/>
                      <w:lang w:val="es-UY" w:eastAsia="es-UY"/>
                    </w:rPr>
                    <w:t>ombustibles</w:t>
                  </w:r>
                </w:p>
              </w:tc>
              <w:tc>
                <w:tcPr>
                  <w:tcW w:w="1843" w:type="dxa"/>
                  <w:tcBorders>
                    <w:top w:val="nil"/>
                    <w:left w:val="nil"/>
                    <w:bottom w:val="nil"/>
                    <w:right w:val="nil"/>
                  </w:tcBorders>
                  <w:shd w:val="clear" w:color="auto" w:fill="auto"/>
                  <w:noWrap/>
                  <w:vAlign w:val="center"/>
                  <w:hideMark/>
                </w:tcPr>
                <w:p w:rsidR="007D767F" w:rsidRPr="003B6683" w:rsidRDefault="007D767F" w:rsidP="00F62D69">
                  <w:pPr>
                    <w:widowControl/>
                    <w:jc w:val="right"/>
                    <w:rPr>
                      <w:rFonts w:ascii="Arial" w:hAnsi="Arial" w:cs="Arial"/>
                      <w:b/>
                      <w:bCs/>
                      <w:snapToGrid/>
                      <w:color w:val="000000"/>
                      <w:lang w:val="es-UY" w:eastAsia="es-UY"/>
                    </w:rPr>
                  </w:pPr>
                  <w:r w:rsidRPr="003B6683">
                    <w:rPr>
                      <w:rFonts w:ascii="Arial" w:hAnsi="Arial" w:cs="Arial"/>
                      <w:b/>
                      <w:bCs/>
                      <w:snapToGrid/>
                      <w:color w:val="000000"/>
                      <w:lang w:val="es-UY" w:eastAsia="es-UY"/>
                    </w:rPr>
                    <w:t>86.259.708.423</w:t>
                  </w:r>
                </w:p>
              </w:tc>
            </w:tr>
            <w:tr w:rsidR="007D767F" w:rsidRPr="003B6683" w:rsidTr="006C4A75">
              <w:trPr>
                <w:trHeight w:val="300"/>
              </w:trPr>
              <w:tc>
                <w:tcPr>
                  <w:tcW w:w="5131" w:type="dxa"/>
                  <w:tcBorders>
                    <w:top w:val="nil"/>
                    <w:left w:val="nil"/>
                    <w:bottom w:val="nil"/>
                    <w:right w:val="nil"/>
                  </w:tcBorders>
                  <w:shd w:val="clear" w:color="auto" w:fill="auto"/>
                  <w:noWrap/>
                  <w:vAlign w:val="center"/>
                  <w:hideMark/>
                </w:tcPr>
                <w:p w:rsidR="007D767F" w:rsidRPr="003B6683" w:rsidRDefault="007D767F" w:rsidP="00F62D69">
                  <w:pPr>
                    <w:widowControl/>
                    <w:rPr>
                      <w:rFonts w:ascii="Arial" w:hAnsi="Arial" w:cs="Arial"/>
                      <w:b/>
                      <w:bCs/>
                      <w:snapToGrid/>
                      <w:color w:val="000000"/>
                      <w:lang w:val="es-UY" w:eastAsia="es-UY"/>
                    </w:rPr>
                  </w:pPr>
                </w:p>
              </w:tc>
              <w:tc>
                <w:tcPr>
                  <w:tcW w:w="1843" w:type="dxa"/>
                  <w:tcBorders>
                    <w:top w:val="nil"/>
                    <w:left w:val="nil"/>
                    <w:bottom w:val="nil"/>
                    <w:right w:val="nil"/>
                  </w:tcBorders>
                  <w:shd w:val="clear" w:color="auto" w:fill="auto"/>
                  <w:noWrap/>
                  <w:vAlign w:val="center"/>
                  <w:hideMark/>
                </w:tcPr>
                <w:p w:rsidR="007D767F" w:rsidRPr="003B6683" w:rsidRDefault="007D767F" w:rsidP="00F62D69">
                  <w:pPr>
                    <w:widowControl/>
                    <w:jc w:val="right"/>
                    <w:rPr>
                      <w:rFonts w:ascii="Arial" w:hAnsi="Arial" w:cs="Arial"/>
                      <w:snapToGrid/>
                      <w:color w:val="000000"/>
                      <w:lang w:val="es-UY" w:eastAsia="es-UY"/>
                    </w:rPr>
                  </w:pPr>
                </w:p>
              </w:tc>
            </w:tr>
            <w:tr w:rsidR="007D767F" w:rsidRPr="003B6683" w:rsidTr="006C4A75">
              <w:trPr>
                <w:trHeight w:val="300"/>
              </w:trPr>
              <w:tc>
                <w:tcPr>
                  <w:tcW w:w="5131" w:type="dxa"/>
                  <w:tcBorders>
                    <w:top w:val="nil"/>
                    <w:left w:val="nil"/>
                    <w:bottom w:val="nil"/>
                    <w:right w:val="nil"/>
                  </w:tcBorders>
                  <w:shd w:val="clear" w:color="auto" w:fill="auto"/>
                  <w:noWrap/>
                  <w:vAlign w:val="center"/>
                  <w:hideMark/>
                </w:tcPr>
                <w:p w:rsidR="007D767F" w:rsidRPr="003B6683" w:rsidRDefault="007D767F" w:rsidP="00F62D69">
                  <w:pPr>
                    <w:widowControl/>
                    <w:rPr>
                      <w:rFonts w:ascii="Arial" w:hAnsi="Arial" w:cs="Arial"/>
                      <w:b/>
                      <w:bCs/>
                      <w:snapToGrid/>
                      <w:color w:val="000000"/>
                      <w:lang w:val="es-UY" w:eastAsia="es-UY"/>
                    </w:rPr>
                  </w:pPr>
                  <w:r w:rsidRPr="003B6683">
                    <w:rPr>
                      <w:rFonts w:ascii="Arial" w:hAnsi="Arial" w:cs="Arial"/>
                      <w:b/>
                      <w:bCs/>
                      <w:snapToGrid/>
                      <w:color w:val="000000"/>
                      <w:lang w:val="es-UY" w:eastAsia="es-UY"/>
                    </w:rPr>
                    <w:t>Programa Energía - Gas Natural</w:t>
                  </w:r>
                </w:p>
              </w:tc>
              <w:tc>
                <w:tcPr>
                  <w:tcW w:w="1843" w:type="dxa"/>
                  <w:tcBorders>
                    <w:top w:val="nil"/>
                    <w:left w:val="nil"/>
                    <w:bottom w:val="nil"/>
                    <w:right w:val="nil"/>
                  </w:tcBorders>
                  <w:shd w:val="clear" w:color="auto" w:fill="auto"/>
                  <w:noWrap/>
                  <w:vAlign w:val="center"/>
                  <w:hideMark/>
                </w:tcPr>
                <w:p w:rsidR="007D767F" w:rsidRPr="003B6683" w:rsidRDefault="007D767F" w:rsidP="00F62D69">
                  <w:pPr>
                    <w:widowControl/>
                    <w:jc w:val="right"/>
                    <w:rPr>
                      <w:rFonts w:ascii="Arial" w:hAnsi="Arial" w:cs="Arial"/>
                      <w:snapToGrid/>
                      <w:color w:val="000000"/>
                      <w:lang w:val="es-UY" w:eastAsia="es-UY"/>
                    </w:rPr>
                  </w:pPr>
                </w:p>
              </w:tc>
            </w:tr>
            <w:tr w:rsidR="007D767F" w:rsidRPr="003B6683" w:rsidTr="006C4A75">
              <w:trPr>
                <w:trHeight w:val="300"/>
              </w:trPr>
              <w:tc>
                <w:tcPr>
                  <w:tcW w:w="5131" w:type="dxa"/>
                  <w:tcBorders>
                    <w:top w:val="nil"/>
                    <w:left w:val="nil"/>
                    <w:bottom w:val="nil"/>
                    <w:right w:val="nil"/>
                  </w:tcBorders>
                  <w:shd w:val="clear" w:color="auto" w:fill="auto"/>
                  <w:noWrap/>
                  <w:vAlign w:val="center"/>
                  <w:hideMark/>
                </w:tcPr>
                <w:p w:rsidR="007D767F" w:rsidRPr="003B6683" w:rsidRDefault="007D767F" w:rsidP="00F62D69">
                  <w:pPr>
                    <w:widowControl/>
                    <w:rPr>
                      <w:rFonts w:ascii="Arial" w:hAnsi="Arial" w:cs="Arial"/>
                      <w:snapToGrid/>
                      <w:color w:val="000000"/>
                      <w:lang w:val="es-UY" w:eastAsia="es-UY"/>
                    </w:rPr>
                  </w:pPr>
                  <w:r w:rsidRPr="003B6683">
                    <w:rPr>
                      <w:rFonts w:ascii="Arial" w:hAnsi="Arial" w:cs="Arial"/>
                      <w:snapToGrid/>
                      <w:color w:val="000000"/>
                      <w:lang w:val="es-UY" w:eastAsia="es-UY"/>
                    </w:rPr>
                    <w:t>Ventas Netas</w:t>
                  </w:r>
                </w:p>
              </w:tc>
              <w:tc>
                <w:tcPr>
                  <w:tcW w:w="1843" w:type="dxa"/>
                  <w:tcBorders>
                    <w:top w:val="nil"/>
                    <w:left w:val="nil"/>
                    <w:bottom w:val="nil"/>
                    <w:right w:val="nil"/>
                  </w:tcBorders>
                  <w:shd w:val="clear" w:color="auto" w:fill="auto"/>
                  <w:noWrap/>
                  <w:vAlign w:val="center"/>
                  <w:hideMark/>
                </w:tcPr>
                <w:p w:rsidR="007D767F" w:rsidRPr="003B6683" w:rsidRDefault="007D767F" w:rsidP="00F62D69">
                  <w:pPr>
                    <w:widowControl/>
                    <w:jc w:val="right"/>
                    <w:rPr>
                      <w:rFonts w:ascii="Arial" w:hAnsi="Arial" w:cs="Arial"/>
                      <w:snapToGrid/>
                      <w:color w:val="000000"/>
                      <w:lang w:val="es-UY" w:eastAsia="es-UY"/>
                    </w:rPr>
                  </w:pPr>
                  <w:r w:rsidRPr="003B6683">
                    <w:rPr>
                      <w:rFonts w:ascii="Arial" w:hAnsi="Arial" w:cs="Arial"/>
                      <w:snapToGrid/>
                      <w:color w:val="000000"/>
                      <w:lang w:val="es-UY" w:eastAsia="es-UY"/>
                    </w:rPr>
                    <w:t>344.933.469</w:t>
                  </w:r>
                </w:p>
              </w:tc>
            </w:tr>
            <w:tr w:rsidR="007D767F" w:rsidRPr="003B6683" w:rsidTr="006C4A75">
              <w:trPr>
                <w:trHeight w:val="300"/>
              </w:trPr>
              <w:tc>
                <w:tcPr>
                  <w:tcW w:w="5131" w:type="dxa"/>
                  <w:tcBorders>
                    <w:top w:val="nil"/>
                    <w:left w:val="nil"/>
                    <w:bottom w:val="nil"/>
                    <w:right w:val="nil"/>
                  </w:tcBorders>
                  <w:shd w:val="clear" w:color="auto" w:fill="auto"/>
                  <w:noWrap/>
                  <w:vAlign w:val="center"/>
                  <w:hideMark/>
                </w:tcPr>
                <w:p w:rsidR="007D767F" w:rsidRPr="003B6683" w:rsidRDefault="007D767F" w:rsidP="00F62D69">
                  <w:pPr>
                    <w:widowControl/>
                    <w:rPr>
                      <w:rFonts w:ascii="Arial" w:hAnsi="Arial" w:cs="Arial"/>
                      <w:snapToGrid/>
                      <w:color w:val="000000"/>
                      <w:lang w:val="es-UY" w:eastAsia="es-UY"/>
                    </w:rPr>
                  </w:pPr>
                  <w:r w:rsidRPr="003B6683">
                    <w:rPr>
                      <w:rFonts w:ascii="Arial" w:hAnsi="Arial" w:cs="Arial"/>
                      <w:snapToGrid/>
                      <w:color w:val="000000"/>
                      <w:lang w:val="es-UY" w:eastAsia="es-UY"/>
                    </w:rPr>
                    <w:t>IVA</w:t>
                  </w:r>
                </w:p>
              </w:tc>
              <w:tc>
                <w:tcPr>
                  <w:tcW w:w="1843" w:type="dxa"/>
                  <w:tcBorders>
                    <w:top w:val="nil"/>
                    <w:left w:val="nil"/>
                    <w:bottom w:val="nil"/>
                    <w:right w:val="nil"/>
                  </w:tcBorders>
                  <w:shd w:val="clear" w:color="auto" w:fill="auto"/>
                  <w:noWrap/>
                  <w:vAlign w:val="center"/>
                  <w:hideMark/>
                </w:tcPr>
                <w:p w:rsidR="007D767F" w:rsidRPr="003B6683" w:rsidRDefault="007D767F" w:rsidP="00F62D69">
                  <w:pPr>
                    <w:widowControl/>
                    <w:jc w:val="right"/>
                    <w:rPr>
                      <w:rFonts w:ascii="Arial" w:hAnsi="Arial" w:cs="Arial"/>
                      <w:snapToGrid/>
                      <w:color w:val="000000"/>
                      <w:lang w:val="es-UY" w:eastAsia="es-UY"/>
                    </w:rPr>
                  </w:pPr>
                  <w:r w:rsidRPr="003B6683">
                    <w:rPr>
                      <w:rFonts w:ascii="Arial" w:hAnsi="Arial" w:cs="Arial"/>
                      <w:snapToGrid/>
                      <w:color w:val="000000"/>
                      <w:lang w:val="es-UY" w:eastAsia="es-UY"/>
                    </w:rPr>
                    <w:t>29.520.084</w:t>
                  </w:r>
                </w:p>
              </w:tc>
            </w:tr>
            <w:tr w:rsidR="007D767F" w:rsidRPr="003B6683" w:rsidTr="006C4A75">
              <w:trPr>
                <w:trHeight w:val="300"/>
              </w:trPr>
              <w:tc>
                <w:tcPr>
                  <w:tcW w:w="5131" w:type="dxa"/>
                  <w:tcBorders>
                    <w:top w:val="nil"/>
                    <w:left w:val="nil"/>
                    <w:bottom w:val="nil"/>
                    <w:right w:val="nil"/>
                  </w:tcBorders>
                  <w:shd w:val="clear" w:color="auto" w:fill="auto"/>
                  <w:noWrap/>
                  <w:vAlign w:val="center"/>
                  <w:hideMark/>
                </w:tcPr>
                <w:p w:rsidR="007D767F" w:rsidRPr="003B6683" w:rsidRDefault="007D767F" w:rsidP="00F62D69">
                  <w:pPr>
                    <w:widowControl/>
                    <w:rPr>
                      <w:rFonts w:ascii="Arial" w:hAnsi="Arial" w:cs="Arial"/>
                      <w:b/>
                      <w:bCs/>
                      <w:snapToGrid/>
                      <w:color w:val="000000"/>
                      <w:lang w:val="es-UY" w:eastAsia="es-UY"/>
                    </w:rPr>
                  </w:pPr>
                  <w:r w:rsidRPr="003B6683">
                    <w:rPr>
                      <w:rFonts w:ascii="Arial" w:hAnsi="Arial" w:cs="Arial"/>
                      <w:b/>
                      <w:bCs/>
                      <w:snapToGrid/>
                      <w:color w:val="000000"/>
                      <w:lang w:val="es-UY" w:eastAsia="es-UY"/>
                    </w:rPr>
                    <w:t>Total Programa Energía - Gas natural</w:t>
                  </w:r>
                </w:p>
              </w:tc>
              <w:tc>
                <w:tcPr>
                  <w:tcW w:w="1843" w:type="dxa"/>
                  <w:tcBorders>
                    <w:top w:val="nil"/>
                    <w:left w:val="nil"/>
                    <w:bottom w:val="nil"/>
                    <w:right w:val="nil"/>
                  </w:tcBorders>
                  <w:shd w:val="clear" w:color="auto" w:fill="auto"/>
                  <w:noWrap/>
                  <w:vAlign w:val="center"/>
                  <w:hideMark/>
                </w:tcPr>
                <w:p w:rsidR="007D767F" w:rsidRPr="003B6683" w:rsidRDefault="007D767F" w:rsidP="00F62D69">
                  <w:pPr>
                    <w:widowControl/>
                    <w:jc w:val="right"/>
                    <w:rPr>
                      <w:rFonts w:ascii="Arial" w:hAnsi="Arial" w:cs="Arial"/>
                      <w:b/>
                      <w:bCs/>
                      <w:snapToGrid/>
                      <w:color w:val="000000"/>
                      <w:lang w:val="es-UY" w:eastAsia="es-UY"/>
                    </w:rPr>
                  </w:pPr>
                  <w:r w:rsidRPr="003B6683">
                    <w:rPr>
                      <w:rFonts w:ascii="Arial" w:hAnsi="Arial" w:cs="Arial"/>
                      <w:b/>
                      <w:bCs/>
                      <w:snapToGrid/>
                      <w:color w:val="000000"/>
                      <w:lang w:val="es-UY" w:eastAsia="es-UY"/>
                    </w:rPr>
                    <w:t>374.453.553</w:t>
                  </w:r>
                </w:p>
              </w:tc>
            </w:tr>
            <w:tr w:rsidR="007D767F" w:rsidRPr="003B6683" w:rsidTr="006C4A75">
              <w:trPr>
                <w:trHeight w:val="300"/>
              </w:trPr>
              <w:tc>
                <w:tcPr>
                  <w:tcW w:w="5131" w:type="dxa"/>
                  <w:tcBorders>
                    <w:top w:val="nil"/>
                    <w:left w:val="nil"/>
                    <w:bottom w:val="nil"/>
                    <w:right w:val="nil"/>
                  </w:tcBorders>
                  <w:shd w:val="clear" w:color="auto" w:fill="auto"/>
                  <w:noWrap/>
                  <w:vAlign w:val="center"/>
                  <w:hideMark/>
                </w:tcPr>
                <w:p w:rsidR="007D767F" w:rsidRPr="003B6683" w:rsidRDefault="007D767F" w:rsidP="00F62D69">
                  <w:pPr>
                    <w:widowControl/>
                    <w:rPr>
                      <w:rFonts w:ascii="Arial" w:hAnsi="Arial" w:cs="Arial"/>
                      <w:b/>
                      <w:bCs/>
                      <w:snapToGrid/>
                      <w:color w:val="000000"/>
                      <w:lang w:val="es-UY" w:eastAsia="es-UY"/>
                    </w:rPr>
                  </w:pPr>
                </w:p>
              </w:tc>
              <w:tc>
                <w:tcPr>
                  <w:tcW w:w="1843" w:type="dxa"/>
                  <w:tcBorders>
                    <w:top w:val="nil"/>
                    <w:left w:val="nil"/>
                    <w:bottom w:val="nil"/>
                    <w:right w:val="nil"/>
                  </w:tcBorders>
                  <w:shd w:val="clear" w:color="auto" w:fill="auto"/>
                  <w:noWrap/>
                  <w:vAlign w:val="center"/>
                  <w:hideMark/>
                </w:tcPr>
                <w:p w:rsidR="007D767F" w:rsidRPr="003B6683" w:rsidRDefault="007D767F" w:rsidP="00F62D69">
                  <w:pPr>
                    <w:widowControl/>
                    <w:jc w:val="right"/>
                    <w:rPr>
                      <w:rFonts w:ascii="Arial" w:hAnsi="Arial" w:cs="Arial"/>
                      <w:snapToGrid/>
                      <w:color w:val="000000"/>
                      <w:lang w:val="es-UY" w:eastAsia="es-UY"/>
                    </w:rPr>
                  </w:pPr>
                </w:p>
              </w:tc>
            </w:tr>
            <w:tr w:rsidR="007D767F" w:rsidRPr="003B6683" w:rsidTr="006C4A75">
              <w:trPr>
                <w:trHeight w:val="300"/>
              </w:trPr>
              <w:tc>
                <w:tcPr>
                  <w:tcW w:w="5131" w:type="dxa"/>
                  <w:tcBorders>
                    <w:top w:val="nil"/>
                    <w:left w:val="nil"/>
                    <w:bottom w:val="nil"/>
                    <w:right w:val="nil"/>
                  </w:tcBorders>
                  <w:shd w:val="clear" w:color="auto" w:fill="auto"/>
                  <w:noWrap/>
                  <w:vAlign w:val="center"/>
                  <w:hideMark/>
                </w:tcPr>
                <w:p w:rsidR="007D767F" w:rsidRPr="003B6683" w:rsidRDefault="007D767F" w:rsidP="00F62D69">
                  <w:pPr>
                    <w:widowControl/>
                    <w:rPr>
                      <w:rFonts w:ascii="Arial" w:hAnsi="Arial" w:cs="Arial"/>
                      <w:b/>
                      <w:bCs/>
                      <w:snapToGrid/>
                      <w:color w:val="000000"/>
                      <w:lang w:val="es-UY" w:eastAsia="es-UY"/>
                    </w:rPr>
                  </w:pPr>
                  <w:r w:rsidRPr="003B6683">
                    <w:rPr>
                      <w:rFonts w:ascii="Arial" w:hAnsi="Arial" w:cs="Arial"/>
                      <w:b/>
                      <w:bCs/>
                      <w:snapToGrid/>
                      <w:color w:val="000000"/>
                      <w:lang w:val="es-UY" w:eastAsia="es-UY"/>
                    </w:rPr>
                    <w:t>Programa Energía - Servicios Comunes a la Empresa</w:t>
                  </w:r>
                </w:p>
              </w:tc>
              <w:tc>
                <w:tcPr>
                  <w:tcW w:w="1843" w:type="dxa"/>
                  <w:tcBorders>
                    <w:top w:val="nil"/>
                    <w:left w:val="nil"/>
                    <w:bottom w:val="nil"/>
                    <w:right w:val="nil"/>
                  </w:tcBorders>
                  <w:shd w:val="clear" w:color="auto" w:fill="auto"/>
                  <w:noWrap/>
                  <w:vAlign w:val="center"/>
                  <w:hideMark/>
                </w:tcPr>
                <w:p w:rsidR="007D767F" w:rsidRPr="003B6683" w:rsidRDefault="007D767F" w:rsidP="00F62D69">
                  <w:pPr>
                    <w:widowControl/>
                    <w:jc w:val="right"/>
                    <w:rPr>
                      <w:rFonts w:ascii="Arial" w:hAnsi="Arial" w:cs="Arial"/>
                      <w:snapToGrid/>
                      <w:color w:val="000000"/>
                      <w:lang w:val="es-UY" w:eastAsia="es-UY"/>
                    </w:rPr>
                  </w:pPr>
                </w:p>
              </w:tc>
            </w:tr>
            <w:tr w:rsidR="007D767F" w:rsidRPr="003B6683" w:rsidTr="006C4A75">
              <w:trPr>
                <w:trHeight w:val="300"/>
              </w:trPr>
              <w:tc>
                <w:tcPr>
                  <w:tcW w:w="5131" w:type="dxa"/>
                  <w:tcBorders>
                    <w:top w:val="nil"/>
                    <w:left w:val="nil"/>
                    <w:bottom w:val="nil"/>
                    <w:right w:val="nil"/>
                  </w:tcBorders>
                  <w:shd w:val="clear" w:color="auto" w:fill="auto"/>
                  <w:noWrap/>
                  <w:vAlign w:val="center"/>
                  <w:hideMark/>
                </w:tcPr>
                <w:p w:rsidR="007D767F" w:rsidRPr="003B6683" w:rsidRDefault="007D767F" w:rsidP="00F62D69">
                  <w:pPr>
                    <w:widowControl/>
                    <w:rPr>
                      <w:rFonts w:ascii="Arial" w:hAnsi="Arial" w:cs="Arial"/>
                      <w:snapToGrid/>
                      <w:color w:val="000000"/>
                      <w:lang w:val="es-UY" w:eastAsia="es-UY"/>
                    </w:rPr>
                  </w:pPr>
                  <w:r w:rsidRPr="003B6683">
                    <w:rPr>
                      <w:rFonts w:ascii="Arial" w:hAnsi="Arial" w:cs="Arial"/>
                      <w:snapToGrid/>
                      <w:color w:val="000000"/>
                      <w:lang w:val="es-UY" w:eastAsia="es-UY"/>
                    </w:rPr>
                    <w:t>De Terceros</w:t>
                  </w:r>
                </w:p>
              </w:tc>
              <w:tc>
                <w:tcPr>
                  <w:tcW w:w="1843" w:type="dxa"/>
                  <w:tcBorders>
                    <w:top w:val="nil"/>
                    <w:left w:val="nil"/>
                    <w:bottom w:val="nil"/>
                    <w:right w:val="nil"/>
                  </w:tcBorders>
                  <w:shd w:val="clear" w:color="auto" w:fill="auto"/>
                  <w:noWrap/>
                  <w:vAlign w:val="center"/>
                  <w:hideMark/>
                </w:tcPr>
                <w:p w:rsidR="007D767F" w:rsidRPr="003B6683" w:rsidRDefault="007D767F" w:rsidP="006C4A75">
                  <w:pPr>
                    <w:widowControl/>
                    <w:ind w:left="-70" w:right="-70"/>
                    <w:jc w:val="right"/>
                    <w:rPr>
                      <w:rFonts w:ascii="Arial" w:hAnsi="Arial" w:cs="Arial"/>
                      <w:snapToGrid/>
                      <w:color w:val="000000"/>
                      <w:lang w:val="es-UY" w:eastAsia="es-UY"/>
                    </w:rPr>
                  </w:pPr>
                  <w:r w:rsidRPr="003B6683">
                    <w:rPr>
                      <w:rFonts w:ascii="Arial" w:hAnsi="Arial" w:cs="Arial"/>
                      <w:snapToGrid/>
                      <w:color w:val="000000"/>
                      <w:lang w:val="es-UY" w:eastAsia="es-UY"/>
                    </w:rPr>
                    <w:t>297.891.896</w:t>
                  </w:r>
                </w:p>
              </w:tc>
            </w:tr>
            <w:tr w:rsidR="007D767F" w:rsidRPr="003B6683" w:rsidTr="006C4A75">
              <w:trPr>
                <w:trHeight w:val="300"/>
              </w:trPr>
              <w:tc>
                <w:tcPr>
                  <w:tcW w:w="5131" w:type="dxa"/>
                  <w:tcBorders>
                    <w:top w:val="nil"/>
                    <w:left w:val="nil"/>
                    <w:bottom w:val="nil"/>
                    <w:right w:val="nil"/>
                  </w:tcBorders>
                  <w:shd w:val="clear" w:color="auto" w:fill="auto"/>
                  <w:noWrap/>
                  <w:vAlign w:val="center"/>
                  <w:hideMark/>
                </w:tcPr>
                <w:p w:rsidR="007D767F" w:rsidRPr="003B6683" w:rsidRDefault="007D767F" w:rsidP="00F62D69">
                  <w:pPr>
                    <w:widowControl/>
                    <w:rPr>
                      <w:rFonts w:ascii="Arial" w:hAnsi="Arial" w:cs="Arial"/>
                      <w:snapToGrid/>
                      <w:color w:val="000000"/>
                      <w:lang w:val="es-UY" w:eastAsia="es-UY"/>
                    </w:rPr>
                  </w:pPr>
                  <w:r w:rsidRPr="003B6683">
                    <w:rPr>
                      <w:rFonts w:ascii="Arial" w:hAnsi="Arial" w:cs="Arial"/>
                      <w:snapToGrid/>
                      <w:color w:val="000000"/>
                      <w:lang w:val="es-UY" w:eastAsia="es-UY"/>
                    </w:rPr>
                    <w:t xml:space="preserve">Transferencias  </w:t>
                  </w:r>
                  <w:proofErr w:type="spellStart"/>
                  <w:r w:rsidRPr="003B6683">
                    <w:rPr>
                      <w:rFonts w:ascii="Arial" w:hAnsi="Arial" w:cs="Arial"/>
                      <w:snapToGrid/>
                      <w:color w:val="000000"/>
                      <w:lang w:val="es-UY" w:eastAsia="es-UY"/>
                    </w:rPr>
                    <w:t>Interdivisionales</w:t>
                  </w:r>
                  <w:proofErr w:type="spellEnd"/>
                </w:p>
              </w:tc>
              <w:tc>
                <w:tcPr>
                  <w:tcW w:w="1843" w:type="dxa"/>
                  <w:tcBorders>
                    <w:top w:val="nil"/>
                    <w:left w:val="nil"/>
                    <w:bottom w:val="nil"/>
                    <w:right w:val="nil"/>
                  </w:tcBorders>
                  <w:shd w:val="clear" w:color="auto" w:fill="auto"/>
                  <w:noWrap/>
                  <w:vAlign w:val="center"/>
                  <w:hideMark/>
                </w:tcPr>
                <w:p w:rsidR="007D767F" w:rsidRPr="003B6683" w:rsidRDefault="007D767F" w:rsidP="00F62D69">
                  <w:pPr>
                    <w:widowControl/>
                    <w:jc w:val="right"/>
                    <w:rPr>
                      <w:rFonts w:ascii="Arial" w:hAnsi="Arial" w:cs="Arial"/>
                      <w:snapToGrid/>
                      <w:color w:val="000000"/>
                      <w:lang w:val="es-UY" w:eastAsia="es-UY"/>
                    </w:rPr>
                  </w:pPr>
                  <w:r w:rsidRPr="003B6683">
                    <w:rPr>
                      <w:rFonts w:ascii="Arial" w:hAnsi="Arial" w:cs="Arial"/>
                      <w:snapToGrid/>
                      <w:color w:val="000000"/>
                      <w:lang w:val="es-UY" w:eastAsia="es-UY"/>
                    </w:rPr>
                    <w:t>166.661.757</w:t>
                  </w:r>
                </w:p>
              </w:tc>
            </w:tr>
            <w:tr w:rsidR="007D767F" w:rsidRPr="003B6683" w:rsidTr="006C4A75">
              <w:trPr>
                <w:trHeight w:val="300"/>
              </w:trPr>
              <w:tc>
                <w:tcPr>
                  <w:tcW w:w="5131" w:type="dxa"/>
                  <w:tcBorders>
                    <w:top w:val="nil"/>
                    <w:left w:val="nil"/>
                    <w:bottom w:val="nil"/>
                    <w:right w:val="nil"/>
                  </w:tcBorders>
                  <w:shd w:val="clear" w:color="auto" w:fill="auto"/>
                  <w:noWrap/>
                  <w:vAlign w:val="center"/>
                  <w:hideMark/>
                </w:tcPr>
                <w:p w:rsidR="007D767F" w:rsidRPr="003B6683" w:rsidRDefault="007D767F" w:rsidP="00F62D69">
                  <w:pPr>
                    <w:widowControl/>
                    <w:rPr>
                      <w:rFonts w:ascii="Arial" w:hAnsi="Arial" w:cs="Arial"/>
                      <w:b/>
                      <w:bCs/>
                      <w:snapToGrid/>
                      <w:color w:val="000000"/>
                      <w:lang w:val="es-UY" w:eastAsia="es-UY"/>
                    </w:rPr>
                  </w:pPr>
                  <w:r w:rsidRPr="003B6683">
                    <w:rPr>
                      <w:rFonts w:ascii="Arial" w:hAnsi="Arial" w:cs="Arial"/>
                      <w:b/>
                      <w:bCs/>
                      <w:snapToGrid/>
                      <w:color w:val="000000"/>
                      <w:lang w:val="es-UY" w:eastAsia="es-UY"/>
                    </w:rPr>
                    <w:t>Total Energía - Servicios comunes a la Empresa</w:t>
                  </w:r>
                </w:p>
              </w:tc>
              <w:tc>
                <w:tcPr>
                  <w:tcW w:w="1843" w:type="dxa"/>
                  <w:tcBorders>
                    <w:top w:val="nil"/>
                    <w:left w:val="nil"/>
                    <w:bottom w:val="nil"/>
                    <w:right w:val="nil"/>
                  </w:tcBorders>
                  <w:shd w:val="clear" w:color="auto" w:fill="auto"/>
                  <w:noWrap/>
                  <w:vAlign w:val="center"/>
                  <w:hideMark/>
                </w:tcPr>
                <w:p w:rsidR="007D767F" w:rsidRPr="003B6683" w:rsidRDefault="007D767F" w:rsidP="00F62D69">
                  <w:pPr>
                    <w:widowControl/>
                    <w:jc w:val="right"/>
                    <w:rPr>
                      <w:rFonts w:ascii="Arial" w:hAnsi="Arial" w:cs="Arial"/>
                      <w:b/>
                      <w:bCs/>
                      <w:snapToGrid/>
                      <w:color w:val="000000"/>
                      <w:lang w:val="es-UY" w:eastAsia="es-UY"/>
                    </w:rPr>
                  </w:pPr>
                  <w:r w:rsidRPr="003B6683">
                    <w:rPr>
                      <w:rFonts w:ascii="Arial" w:hAnsi="Arial" w:cs="Arial"/>
                      <w:b/>
                      <w:bCs/>
                      <w:snapToGrid/>
                      <w:color w:val="000000"/>
                      <w:lang w:val="es-UY" w:eastAsia="es-UY"/>
                    </w:rPr>
                    <w:t>464.553.653</w:t>
                  </w:r>
                </w:p>
              </w:tc>
            </w:tr>
            <w:tr w:rsidR="007D767F" w:rsidRPr="003B6683" w:rsidTr="006C4A75">
              <w:trPr>
                <w:trHeight w:val="300"/>
              </w:trPr>
              <w:tc>
                <w:tcPr>
                  <w:tcW w:w="5131" w:type="dxa"/>
                  <w:tcBorders>
                    <w:top w:val="nil"/>
                    <w:left w:val="nil"/>
                    <w:bottom w:val="nil"/>
                    <w:right w:val="nil"/>
                  </w:tcBorders>
                  <w:shd w:val="clear" w:color="auto" w:fill="auto"/>
                  <w:noWrap/>
                  <w:vAlign w:val="center"/>
                  <w:hideMark/>
                </w:tcPr>
                <w:p w:rsidR="007D767F" w:rsidRPr="003B6683" w:rsidRDefault="007D767F" w:rsidP="00F62D69">
                  <w:pPr>
                    <w:widowControl/>
                    <w:rPr>
                      <w:rFonts w:ascii="Arial" w:hAnsi="Arial" w:cs="Arial"/>
                      <w:b/>
                      <w:bCs/>
                      <w:snapToGrid/>
                      <w:color w:val="000000"/>
                      <w:lang w:val="es-UY" w:eastAsia="es-UY"/>
                    </w:rPr>
                  </w:pPr>
                </w:p>
              </w:tc>
              <w:tc>
                <w:tcPr>
                  <w:tcW w:w="1843" w:type="dxa"/>
                  <w:tcBorders>
                    <w:top w:val="nil"/>
                    <w:left w:val="nil"/>
                    <w:bottom w:val="nil"/>
                    <w:right w:val="nil"/>
                  </w:tcBorders>
                  <w:shd w:val="clear" w:color="auto" w:fill="auto"/>
                  <w:noWrap/>
                  <w:vAlign w:val="center"/>
                  <w:hideMark/>
                </w:tcPr>
                <w:p w:rsidR="007D767F" w:rsidRPr="003B6683" w:rsidRDefault="007D767F" w:rsidP="00F62D69">
                  <w:pPr>
                    <w:widowControl/>
                    <w:jc w:val="right"/>
                    <w:rPr>
                      <w:rFonts w:ascii="Arial" w:hAnsi="Arial" w:cs="Arial"/>
                      <w:snapToGrid/>
                      <w:color w:val="000000"/>
                      <w:lang w:val="es-UY" w:eastAsia="es-UY"/>
                    </w:rPr>
                  </w:pPr>
                </w:p>
              </w:tc>
            </w:tr>
            <w:tr w:rsidR="007D767F" w:rsidRPr="003B6683" w:rsidTr="006C4A75">
              <w:trPr>
                <w:trHeight w:val="300"/>
              </w:trPr>
              <w:tc>
                <w:tcPr>
                  <w:tcW w:w="5131" w:type="dxa"/>
                  <w:tcBorders>
                    <w:top w:val="nil"/>
                    <w:left w:val="nil"/>
                    <w:bottom w:val="nil"/>
                    <w:right w:val="nil"/>
                  </w:tcBorders>
                  <w:shd w:val="clear" w:color="auto" w:fill="auto"/>
                  <w:noWrap/>
                  <w:vAlign w:val="center"/>
                  <w:hideMark/>
                </w:tcPr>
                <w:p w:rsidR="007D767F" w:rsidRPr="003B6683" w:rsidRDefault="007D767F" w:rsidP="00F62D69">
                  <w:pPr>
                    <w:widowControl/>
                    <w:rPr>
                      <w:rFonts w:ascii="Arial" w:hAnsi="Arial" w:cs="Arial"/>
                      <w:b/>
                      <w:bCs/>
                      <w:snapToGrid/>
                      <w:color w:val="000000"/>
                      <w:lang w:val="es-UY" w:eastAsia="es-UY"/>
                    </w:rPr>
                  </w:pPr>
                  <w:r w:rsidRPr="003B6683">
                    <w:rPr>
                      <w:rFonts w:ascii="Arial" w:hAnsi="Arial" w:cs="Arial"/>
                      <w:b/>
                      <w:bCs/>
                      <w:snapToGrid/>
                      <w:color w:val="000000"/>
                      <w:lang w:val="es-UY" w:eastAsia="es-UY"/>
                    </w:rPr>
                    <w:t xml:space="preserve">Programa </w:t>
                  </w:r>
                  <w:proofErr w:type="spellStart"/>
                  <w:r w:rsidRPr="003B6683">
                    <w:rPr>
                      <w:rFonts w:ascii="Arial" w:hAnsi="Arial" w:cs="Arial"/>
                      <w:b/>
                      <w:bCs/>
                      <w:snapToGrid/>
                      <w:color w:val="000000"/>
                      <w:lang w:val="es-UY" w:eastAsia="es-UY"/>
                    </w:rPr>
                    <w:t>Pórtland</w:t>
                  </w:r>
                  <w:proofErr w:type="spellEnd"/>
                </w:p>
              </w:tc>
              <w:tc>
                <w:tcPr>
                  <w:tcW w:w="1843" w:type="dxa"/>
                  <w:tcBorders>
                    <w:top w:val="nil"/>
                    <w:left w:val="nil"/>
                    <w:bottom w:val="nil"/>
                    <w:right w:val="nil"/>
                  </w:tcBorders>
                  <w:shd w:val="clear" w:color="auto" w:fill="auto"/>
                  <w:noWrap/>
                  <w:vAlign w:val="center"/>
                  <w:hideMark/>
                </w:tcPr>
                <w:p w:rsidR="007D767F" w:rsidRPr="003B6683" w:rsidRDefault="007D767F" w:rsidP="00F62D69">
                  <w:pPr>
                    <w:widowControl/>
                    <w:jc w:val="right"/>
                    <w:rPr>
                      <w:rFonts w:ascii="Arial" w:hAnsi="Arial" w:cs="Arial"/>
                      <w:snapToGrid/>
                      <w:color w:val="000000"/>
                      <w:lang w:val="es-UY" w:eastAsia="es-UY"/>
                    </w:rPr>
                  </w:pPr>
                </w:p>
              </w:tc>
            </w:tr>
            <w:tr w:rsidR="007D767F" w:rsidRPr="003B6683" w:rsidTr="006C4A75">
              <w:trPr>
                <w:trHeight w:val="300"/>
              </w:trPr>
              <w:tc>
                <w:tcPr>
                  <w:tcW w:w="5131" w:type="dxa"/>
                  <w:tcBorders>
                    <w:top w:val="nil"/>
                    <w:left w:val="nil"/>
                    <w:bottom w:val="nil"/>
                    <w:right w:val="nil"/>
                  </w:tcBorders>
                  <w:shd w:val="clear" w:color="auto" w:fill="auto"/>
                  <w:noWrap/>
                  <w:vAlign w:val="center"/>
                  <w:hideMark/>
                </w:tcPr>
                <w:p w:rsidR="007D767F" w:rsidRPr="003B6683" w:rsidRDefault="007D767F" w:rsidP="00F62D69">
                  <w:pPr>
                    <w:widowControl/>
                    <w:rPr>
                      <w:rFonts w:ascii="Arial" w:hAnsi="Arial" w:cs="Arial"/>
                      <w:snapToGrid/>
                      <w:color w:val="000000"/>
                      <w:lang w:val="es-UY" w:eastAsia="es-UY"/>
                    </w:rPr>
                  </w:pPr>
                  <w:r w:rsidRPr="003B6683">
                    <w:rPr>
                      <w:rFonts w:ascii="Arial" w:hAnsi="Arial" w:cs="Arial"/>
                      <w:snapToGrid/>
                      <w:color w:val="000000"/>
                      <w:lang w:val="es-UY" w:eastAsia="es-UY"/>
                    </w:rPr>
                    <w:t>Ventas Netas</w:t>
                  </w:r>
                </w:p>
              </w:tc>
              <w:tc>
                <w:tcPr>
                  <w:tcW w:w="1843" w:type="dxa"/>
                  <w:tcBorders>
                    <w:top w:val="nil"/>
                    <w:left w:val="nil"/>
                    <w:bottom w:val="nil"/>
                    <w:right w:val="nil"/>
                  </w:tcBorders>
                  <w:shd w:val="clear" w:color="auto" w:fill="auto"/>
                  <w:noWrap/>
                  <w:vAlign w:val="bottom"/>
                  <w:hideMark/>
                </w:tcPr>
                <w:p w:rsidR="007D767F" w:rsidRPr="003B6683" w:rsidRDefault="007D767F" w:rsidP="00F62D69">
                  <w:pPr>
                    <w:widowControl/>
                    <w:jc w:val="right"/>
                    <w:rPr>
                      <w:rFonts w:ascii="Calibri" w:hAnsi="Calibri"/>
                      <w:snapToGrid/>
                      <w:color w:val="000000"/>
                      <w:sz w:val="22"/>
                      <w:szCs w:val="22"/>
                      <w:lang w:val="es-UY" w:eastAsia="es-UY"/>
                    </w:rPr>
                  </w:pPr>
                  <w:r w:rsidRPr="003B6683">
                    <w:rPr>
                      <w:rFonts w:ascii="Calibri" w:hAnsi="Calibri"/>
                      <w:snapToGrid/>
                      <w:color w:val="000000"/>
                      <w:sz w:val="22"/>
                      <w:szCs w:val="22"/>
                      <w:lang w:val="es-UY" w:eastAsia="es-UY"/>
                    </w:rPr>
                    <w:t>1.524.919.633</w:t>
                  </w:r>
                </w:p>
              </w:tc>
            </w:tr>
            <w:tr w:rsidR="007D767F" w:rsidRPr="003B6683" w:rsidTr="006C4A75">
              <w:trPr>
                <w:trHeight w:val="300"/>
              </w:trPr>
              <w:tc>
                <w:tcPr>
                  <w:tcW w:w="5131" w:type="dxa"/>
                  <w:tcBorders>
                    <w:top w:val="nil"/>
                    <w:left w:val="nil"/>
                    <w:bottom w:val="nil"/>
                    <w:right w:val="nil"/>
                  </w:tcBorders>
                  <w:shd w:val="clear" w:color="auto" w:fill="auto"/>
                  <w:noWrap/>
                  <w:vAlign w:val="center"/>
                  <w:hideMark/>
                </w:tcPr>
                <w:p w:rsidR="007D767F" w:rsidRPr="003B6683" w:rsidRDefault="007D767F" w:rsidP="00F62D69">
                  <w:pPr>
                    <w:widowControl/>
                    <w:rPr>
                      <w:rFonts w:ascii="Arial" w:hAnsi="Arial" w:cs="Arial"/>
                      <w:snapToGrid/>
                      <w:color w:val="000000"/>
                      <w:lang w:val="es-UY" w:eastAsia="es-UY"/>
                    </w:rPr>
                  </w:pPr>
                  <w:r w:rsidRPr="003B6683">
                    <w:rPr>
                      <w:rFonts w:ascii="Arial" w:hAnsi="Arial" w:cs="Arial"/>
                      <w:snapToGrid/>
                      <w:color w:val="000000"/>
                      <w:lang w:val="es-UY" w:eastAsia="es-UY"/>
                    </w:rPr>
                    <w:t xml:space="preserve">Transferencias </w:t>
                  </w:r>
                  <w:proofErr w:type="spellStart"/>
                  <w:r w:rsidRPr="003B6683">
                    <w:rPr>
                      <w:rFonts w:ascii="Arial" w:hAnsi="Arial" w:cs="Arial"/>
                      <w:snapToGrid/>
                      <w:color w:val="000000"/>
                      <w:lang w:val="es-UY" w:eastAsia="es-UY"/>
                    </w:rPr>
                    <w:t>Interdivisionales</w:t>
                  </w:r>
                  <w:proofErr w:type="spellEnd"/>
                </w:p>
              </w:tc>
              <w:tc>
                <w:tcPr>
                  <w:tcW w:w="1843" w:type="dxa"/>
                  <w:tcBorders>
                    <w:top w:val="nil"/>
                    <w:left w:val="nil"/>
                    <w:bottom w:val="nil"/>
                    <w:right w:val="nil"/>
                  </w:tcBorders>
                  <w:shd w:val="clear" w:color="auto" w:fill="auto"/>
                  <w:noWrap/>
                  <w:vAlign w:val="center"/>
                  <w:hideMark/>
                </w:tcPr>
                <w:p w:rsidR="007D767F" w:rsidRPr="003B6683" w:rsidRDefault="007D767F" w:rsidP="00F62D69">
                  <w:pPr>
                    <w:widowControl/>
                    <w:jc w:val="right"/>
                    <w:rPr>
                      <w:rFonts w:ascii="Arial" w:hAnsi="Arial" w:cs="Arial"/>
                      <w:snapToGrid/>
                      <w:color w:val="000000"/>
                      <w:lang w:val="es-UY" w:eastAsia="es-UY"/>
                    </w:rPr>
                  </w:pPr>
                  <w:r w:rsidRPr="003B6683">
                    <w:rPr>
                      <w:rFonts w:ascii="Arial" w:hAnsi="Arial" w:cs="Arial"/>
                      <w:snapToGrid/>
                      <w:color w:val="000000"/>
                      <w:lang w:val="es-UY" w:eastAsia="es-UY"/>
                    </w:rPr>
                    <w:t>34.128.000</w:t>
                  </w:r>
                </w:p>
              </w:tc>
            </w:tr>
            <w:tr w:rsidR="007D767F" w:rsidRPr="003B6683" w:rsidTr="006C4A75">
              <w:trPr>
                <w:trHeight w:val="300"/>
              </w:trPr>
              <w:tc>
                <w:tcPr>
                  <w:tcW w:w="5131" w:type="dxa"/>
                  <w:tcBorders>
                    <w:top w:val="nil"/>
                    <w:left w:val="nil"/>
                    <w:bottom w:val="nil"/>
                    <w:right w:val="nil"/>
                  </w:tcBorders>
                  <w:shd w:val="clear" w:color="auto" w:fill="auto"/>
                  <w:noWrap/>
                  <w:vAlign w:val="center"/>
                  <w:hideMark/>
                </w:tcPr>
                <w:p w:rsidR="007D767F" w:rsidRPr="003B6683" w:rsidRDefault="007D767F" w:rsidP="00F62D69">
                  <w:pPr>
                    <w:widowControl/>
                    <w:rPr>
                      <w:rFonts w:ascii="Arial" w:hAnsi="Arial" w:cs="Arial"/>
                      <w:snapToGrid/>
                      <w:color w:val="000000"/>
                      <w:lang w:val="es-UY" w:eastAsia="es-UY"/>
                    </w:rPr>
                  </w:pPr>
                  <w:r w:rsidRPr="003B6683">
                    <w:rPr>
                      <w:rFonts w:ascii="Arial" w:hAnsi="Arial" w:cs="Arial"/>
                      <w:snapToGrid/>
                      <w:color w:val="000000"/>
                      <w:lang w:val="es-UY" w:eastAsia="es-UY"/>
                    </w:rPr>
                    <w:t>Impuestos</w:t>
                  </w:r>
                </w:p>
              </w:tc>
              <w:tc>
                <w:tcPr>
                  <w:tcW w:w="1843" w:type="dxa"/>
                  <w:tcBorders>
                    <w:top w:val="nil"/>
                    <w:left w:val="nil"/>
                    <w:bottom w:val="nil"/>
                    <w:right w:val="nil"/>
                  </w:tcBorders>
                  <w:shd w:val="clear" w:color="auto" w:fill="auto"/>
                  <w:noWrap/>
                  <w:vAlign w:val="center"/>
                  <w:hideMark/>
                </w:tcPr>
                <w:p w:rsidR="007D767F" w:rsidRPr="003B6683" w:rsidRDefault="007D767F" w:rsidP="00F62D69">
                  <w:pPr>
                    <w:widowControl/>
                    <w:jc w:val="right"/>
                    <w:rPr>
                      <w:rFonts w:ascii="Arial" w:hAnsi="Arial" w:cs="Arial"/>
                      <w:snapToGrid/>
                      <w:color w:val="000000"/>
                      <w:lang w:val="es-UY" w:eastAsia="es-UY"/>
                    </w:rPr>
                  </w:pPr>
                  <w:r w:rsidRPr="003B6683">
                    <w:rPr>
                      <w:rFonts w:ascii="Arial" w:hAnsi="Arial" w:cs="Arial"/>
                      <w:snapToGrid/>
                      <w:color w:val="000000"/>
                      <w:lang w:val="es-UY" w:eastAsia="es-UY"/>
                    </w:rPr>
                    <w:t>335.482.319</w:t>
                  </w:r>
                </w:p>
              </w:tc>
            </w:tr>
            <w:tr w:rsidR="007D767F" w:rsidRPr="003B6683" w:rsidTr="006C4A75">
              <w:trPr>
                <w:trHeight w:val="300"/>
              </w:trPr>
              <w:tc>
                <w:tcPr>
                  <w:tcW w:w="5131" w:type="dxa"/>
                  <w:tcBorders>
                    <w:top w:val="nil"/>
                    <w:left w:val="nil"/>
                    <w:bottom w:val="nil"/>
                    <w:right w:val="nil"/>
                  </w:tcBorders>
                  <w:shd w:val="clear" w:color="auto" w:fill="auto"/>
                  <w:noWrap/>
                  <w:vAlign w:val="center"/>
                  <w:hideMark/>
                </w:tcPr>
                <w:p w:rsidR="007D767F" w:rsidRPr="003B6683" w:rsidRDefault="007D767F" w:rsidP="00F62D69">
                  <w:pPr>
                    <w:widowControl/>
                    <w:rPr>
                      <w:rFonts w:ascii="Arial" w:hAnsi="Arial" w:cs="Arial"/>
                      <w:b/>
                      <w:bCs/>
                      <w:snapToGrid/>
                      <w:color w:val="000000"/>
                      <w:lang w:val="es-UY" w:eastAsia="es-UY"/>
                    </w:rPr>
                  </w:pPr>
                  <w:r w:rsidRPr="003B6683">
                    <w:rPr>
                      <w:rFonts w:ascii="Arial" w:hAnsi="Arial" w:cs="Arial"/>
                      <w:b/>
                      <w:bCs/>
                      <w:snapToGrid/>
                      <w:color w:val="000000"/>
                      <w:lang w:val="es-UY" w:eastAsia="es-UY"/>
                    </w:rPr>
                    <w:t xml:space="preserve">Total Programa </w:t>
                  </w:r>
                  <w:proofErr w:type="spellStart"/>
                  <w:r w:rsidRPr="003B6683">
                    <w:rPr>
                      <w:rFonts w:ascii="Arial" w:hAnsi="Arial" w:cs="Arial"/>
                      <w:b/>
                      <w:bCs/>
                      <w:snapToGrid/>
                      <w:color w:val="000000"/>
                      <w:lang w:val="es-UY" w:eastAsia="es-UY"/>
                    </w:rPr>
                    <w:t>Pórtland</w:t>
                  </w:r>
                  <w:proofErr w:type="spellEnd"/>
                </w:p>
              </w:tc>
              <w:tc>
                <w:tcPr>
                  <w:tcW w:w="1843" w:type="dxa"/>
                  <w:tcBorders>
                    <w:top w:val="nil"/>
                    <w:left w:val="nil"/>
                    <w:bottom w:val="nil"/>
                    <w:right w:val="nil"/>
                  </w:tcBorders>
                  <w:shd w:val="clear" w:color="auto" w:fill="auto"/>
                  <w:noWrap/>
                  <w:vAlign w:val="center"/>
                  <w:hideMark/>
                </w:tcPr>
                <w:p w:rsidR="007D767F" w:rsidRPr="003B6683" w:rsidRDefault="007D767F" w:rsidP="00F62D69">
                  <w:pPr>
                    <w:widowControl/>
                    <w:jc w:val="right"/>
                    <w:rPr>
                      <w:rFonts w:ascii="Arial" w:hAnsi="Arial" w:cs="Arial"/>
                      <w:b/>
                      <w:bCs/>
                      <w:snapToGrid/>
                      <w:color w:val="000000"/>
                      <w:lang w:val="es-UY" w:eastAsia="es-UY"/>
                    </w:rPr>
                  </w:pPr>
                  <w:r w:rsidRPr="003B6683">
                    <w:rPr>
                      <w:rFonts w:ascii="Arial" w:hAnsi="Arial" w:cs="Arial"/>
                      <w:b/>
                      <w:bCs/>
                      <w:snapToGrid/>
                      <w:color w:val="000000"/>
                      <w:lang w:val="es-UY" w:eastAsia="es-UY"/>
                    </w:rPr>
                    <w:t>1.894.529.952</w:t>
                  </w:r>
                </w:p>
              </w:tc>
            </w:tr>
            <w:tr w:rsidR="007D767F" w:rsidRPr="003B6683" w:rsidTr="006C4A75">
              <w:trPr>
                <w:trHeight w:val="300"/>
              </w:trPr>
              <w:tc>
                <w:tcPr>
                  <w:tcW w:w="5131" w:type="dxa"/>
                  <w:tcBorders>
                    <w:top w:val="nil"/>
                    <w:left w:val="nil"/>
                    <w:bottom w:val="nil"/>
                    <w:right w:val="nil"/>
                  </w:tcBorders>
                  <w:shd w:val="clear" w:color="auto" w:fill="auto"/>
                  <w:noWrap/>
                  <w:vAlign w:val="center"/>
                  <w:hideMark/>
                </w:tcPr>
                <w:p w:rsidR="007D767F" w:rsidRPr="003B6683" w:rsidRDefault="007D767F" w:rsidP="00F62D69">
                  <w:pPr>
                    <w:widowControl/>
                    <w:rPr>
                      <w:rFonts w:ascii="Arial" w:hAnsi="Arial" w:cs="Arial"/>
                      <w:b/>
                      <w:bCs/>
                      <w:snapToGrid/>
                      <w:color w:val="000000"/>
                      <w:lang w:val="es-UY" w:eastAsia="es-UY"/>
                    </w:rPr>
                  </w:pPr>
                  <w:r w:rsidRPr="003B6683">
                    <w:rPr>
                      <w:rFonts w:ascii="Arial" w:hAnsi="Arial" w:cs="Arial"/>
                      <w:b/>
                      <w:bCs/>
                      <w:snapToGrid/>
                      <w:color w:val="000000"/>
                      <w:lang w:val="es-UY" w:eastAsia="es-UY"/>
                    </w:rPr>
                    <w:t>TOTAL INGRESOS</w:t>
                  </w:r>
                  <w:r>
                    <w:rPr>
                      <w:rFonts w:ascii="Arial" w:hAnsi="Arial" w:cs="Arial"/>
                      <w:b/>
                      <w:bCs/>
                      <w:snapToGrid/>
                      <w:color w:val="000000"/>
                      <w:lang w:val="es-UY" w:eastAsia="es-UY"/>
                    </w:rPr>
                    <w:t xml:space="preserve"> PROPIOS PTO. 2017</w:t>
                  </w:r>
                </w:p>
              </w:tc>
              <w:tc>
                <w:tcPr>
                  <w:tcW w:w="1843" w:type="dxa"/>
                  <w:tcBorders>
                    <w:top w:val="nil"/>
                    <w:left w:val="nil"/>
                    <w:bottom w:val="nil"/>
                    <w:right w:val="nil"/>
                  </w:tcBorders>
                  <w:shd w:val="clear" w:color="auto" w:fill="auto"/>
                  <w:noWrap/>
                  <w:vAlign w:val="center"/>
                  <w:hideMark/>
                </w:tcPr>
                <w:p w:rsidR="007D767F" w:rsidRPr="003B6683" w:rsidRDefault="007D767F" w:rsidP="00F62D69">
                  <w:pPr>
                    <w:widowControl/>
                    <w:jc w:val="right"/>
                    <w:rPr>
                      <w:rFonts w:ascii="Arial" w:hAnsi="Arial" w:cs="Arial"/>
                      <w:b/>
                      <w:bCs/>
                      <w:snapToGrid/>
                      <w:color w:val="000000"/>
                      <w:lang w:val="es-UY" w:eastAsia="es-UY"/>
                    </w:rPr>
                  </w:pPr>
                  <w:r>
                    <w:rPr>
                      <w:rFonts w:ascii="Arial" w:hAnsi="Arial" w:cs="Arial"/>
                      <w:b/>
                      <w:bCs/>
                      <w:snapToGrid/>
                      <w:color w:val="000000"/>
                      <w:lang w:val="es-UY" w:eastAsia="es-UY"/>
                    </w:rPr>
                    <w:t>88.993.245.580</w:t>
                  </w:r>
                </w:p>
              </w:tc>
            </w:tr>
            <w:tr w:rsidR="007D767F" w:rsidRPr="003B6683" w:rsidTr="006C4A75">
              <w:trPr>
                <w:trHeight w:val="300"/>
              </w:trPr>
              <w:tc>
                <w:tcPr>
                  <w:tcW w:w="5131" w:type="dxa"/>
                  <w:tcBorders>
                    <w:top w:val="nil"/>
                    <w:left w:val="nil"/>
                    <w:bottom w:val="nil"/>
                    <w:right w:val="nil"/>
                  </w:tcBorders>
                  <w:shd w:val="clear" w:color="auto" w:fill="auto"/>
                  <w:noWrap/>
                  <w:vAlign w:val="center"/>
                </w:tcPr>
                <w:p w:rsidR="007D767F" w:rsidRPr="003B6683" w:rsidRDefault="007D767F" w:rsidP="00F62D69">
                  <w:pPr>
                    <w:widowControl/>
                    <w:rPr>
                      <w:rFonts w:ascii="Arial" w:hAnsi="Arial" w:cs="Arial"/>
                      <w:b/>
                      <w:bCs/>
                      <w:snapToGrid/>
                      <w:color w:val="000000"/>
                      <w:lang w:val="es-UY" w:eastAsia="es-UY"/>
                    </w:rPr>
                  </w:pPr>
                </w:p>
              </w:tc>
              <w:tc>
                <w:tcPr>
                  <w:tcW w:w="1843" w:type="dxa"/>
                  <w:tcBorders>
                    <w:top w:val="nil"/>
                    <w:left w:val="nil"/>
                    <w:bottom w:val="nil"/>
                    <w:right w:val="nil"/>
                  </w:tcBorders>
                  <w:shd w:val="clear" w:color="auto" w:fill="auto"/>
                  <w:noWrap/>
                  <w:vAlign w:val="center"/>
                </w:tcPr>
                <w:p w:rsidR="007D767F" w:rsidRPr="003B6683" w:rsidRDefault="007D767F" w:rsidP="00F62D69">
                  <w:pPr>
                    <w:widowControl/>
                    <w:jc w:val="right"/>
                    <w:rPr>
                      <w:rFonts w:ascii="Arial" w:hAnsi="Arial" w:cs="Arial"/>
                      <w:b/>
                      <w:bCs/>
                      <w:snapToGrid/>
                      <w:color w:val="000000"/>
                      <w:lang w:val="es-UY" w:eastAsia="es-UY"/>
                    </w:rPr>
                  </w:pPr>
                </w:p>
              </w:tc>
            </w:tr>
          </w:tbl>
          <w:p w:rsidR="007D767F" w:rsidRPr="006E7A6D" w:rsidRDefault="007D767F" w:rsidP="00F62D69">
            <w:pPr>
              <w:suppressAutoHyphens/>
              <w:spacing w:line="360" w:lineRule="auto"/>
              <w:jc w:val="both"/>
              <w:rPr>
                <w:rFonts w:ascii="Arial" w:hAnsi="Arial" w:cs="Arial"/>
                <w:b/>
                <w:spacing w:val="-3"/>
                <w:sz w:val="24"/>
              </w:rPr>
            </w:pPr>
            <w:r w:rsidRPr="006E7A6D">
              <w:rPr>
                <w:rFonts w:ascii="Arial" w:hAnsi="Arial" w:cs="Arial"/>
                <w:b/>
                <w:bCs/>
              </w:rPr>
              <w:t>1.1.2) Asignaciones presupuestales</w:t>
            </w:r>
          </w:p>
          <w:tbl>
            <w:tblPr>
              <w:tblW w:w="7043" w:type="dxa"/>
              <w:tblCellMar>
                <w:left w:w="70" w:type="dxa"/>
                <w:right w:w="70" w:type="dxa"/>
              </w:tblCellMar>
              <w:tblLook w:val="04A0" w:firstRow="1" w:lastRow="0" w:firstColumn="1" w:lastColumn="0" w:noHBand="0" w:noVBand="1"/>
            </w:tblPr>
            <w:tblGrid>
              <w:gridCol w:w="5328"/>
              <w:gridCol w:w="1715"/>
            </w:tblGrid>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jc w:val="both"/>
                    <w:rPr>
                      <w:rFonts w:ascii="Arial" w:hAnsi="Arial" w:cs="Arial"/>
                      <w:b/>
                      <w:bCs/>
                      <w:snapToGrid/>
                      <w:color w:val="000000"/>
                    </w:rPr>
                  </w:pPr>
                  <w:r w:rsidRPr="00424DE6">
                    <w:rPr>
                      <w:rFonts w:ascii="Arial" w:hAnsi="Arial" w:cs="Arial"/>
                      <w:b/>
                      <w:bCs/>
                      <w:snapToGrid/>
                      <w:color w:val="000000"/>
                      <w:lang w:val="es-UY"/>
                    </w:rPr>
                    <w:t xml:space="preserve">PRESUPUESTO OPERATIVO - ENERGIA </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rPr>
                      <w:rFonts w:ascii="Times New Roman" w:hAnsi="Times New Roman"/>
                      <w:snapToGrid/>
                      <w:color w:val="000000"/>
                    </w:rPr>
                  </w:pPr>
                  <w:r w:rsidRPr="00424DE6">
                    <w:rPr>
                      <w:rFonts w:ascii="Times New Roman" w:hAnsi="Times New Roman"/>
                      <w:snapToGrid/>
                      <w:color w:val="000000"/>
                    </w:rPr>
                    <w:t> </w:t>
                  </w:r>
                </w:p>
              </w:tc>
            </w:tr>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jc w:val="both"/>
                    <w:rPr>
                      <w:rFonts w:ascii="Arial" w:hAnsi="Arial" w:cs="Arial"/>
                      <w:b/>
                      <w:bCs/>
                      <w:snapToGrid/>
                      <w:color w:val="000000"/>
                    </w:rPr>
                  </w:pPr>
                  <w:r w:rsidRPr="00424DE6">
                    <w:rPr>
                      <w:rFonts w:ascii="Arial" w:hAnsi="Arial" w:cs="Arial"/>
                      <w:b/>
                      <w:bCs/>
                      <w:snapToGrid/>
                      <w:color w:val="000000"/>
                      <w:lang w:val="es-UY"/>
                    </w:rPr>
                    <w:t>Sub-Programa Derivados y Lubricantes</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jc w:val="right"/>
                    <w:rPr>
                      <w:rFonts w:ascii="Arial" w:hAnsi="Arial" w:cs="Arial"/>
                      <w:b/>
                      <w:bCs/>
                      <w:snapToGrid/>
                      <w:color w:val="000000"/>
                    </w:rPr>
                  </w:pPr>
                  <w:r w:rsidRPr="00424DE6">
                    <w:rPr>
                      <w:rFonts w:ascii="Arial" w:hAnsi="Arial" w:cs="Arial"/>
                      <w:b/>
                      <w:bCs/>
                      <w:snapToGrid/>
                      <w:color w:val="000000"/>
                      <w:lang w:val="es-UY"/>
                    </w:rPr>
                    <w:t>75.972.980.121</w:t>
                  </w:r>
                </w:p>
              </w:tc>
            </w:tr>
            <w:tr w:rsidR="007D767F" w:rsidRPr="006C4A75"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rPr>
                      <w:rFonts w:ascii="Arial" w:hAnsi="Arial" w:cs="Arial"/>
                      <w:snapToGrid/>
                      <w:color w:val="000000"/>
                      <w:lang w:val="es-UY" w:eastAsia="es-UY"/>
                    </w:rPr>
                  </w:pPr>
                  <w:r w:rsidRPr="00424DE6">
                    <w:rPr>
                      <w:rFonts w:ascii="Arial" w:hAnsi="Arial" w:cs="Arial"/>
                      <w:snapToGrid/>
                      <w:color w:val="000000"/>
                      <w:lang w:val="es-UY" w:eastAsia="es-UY"/>
                    </w:rPr>
                    <w:t>0 Servicios Personales</w:t>
                  </w:r>
                </w:p>
              </w:tc>
              <w:tc>
                <w:tcPr>
                  <w:tcW w:w="1715" w:type="dxa"/>
                  <w:tcBorders>
                    <w:top w:val="nil"/>
                    <w:left w:val="nil"/>
                    <w:bottom w:val="nil"/>
                    <w:right w:val="nil"/>
                  </w:tcBorders>
                  <w:shd w:val="clear" w:color="000000" w:fill="FFFFFF"/>
                  <w:noWrap/>
                  <w:vAlign w:val="center"/>
                  <w:hideMark/>
                </w:tcPr>
                <w:p w:rsidR="007D767F" w:rsidRPr="00424DE6" w:rsidRDefault="007D767F" w:rsidP="006C4A75">
                  <w:pPr>
                    <w:widowControl/>
                    <w:ind w:left="-70"/>
                    <w:jc w:val="right"/>
                    <w:rPr>
                      <w:rFonts w:ascii="Arial" w:hAnsi="Arial" w:cs="Arial"/>
                      <w:snapToGrid/>
                      <w:color w:val="000000"/>
                      <w:lang w:val="es-UY" w:eastAsia="es-UY"/>
                    </w:rPr>
                  </w:pPr>
                  <w:r w:rsidRPr="00424DE6">
                    <w:rPr>
                      <w:rFonts w:ascii="Arial" w:hAnsi="Arial" w:cs="Arial"/>
                      <w:snapToGrid/>
                      <w:color w:val="000000"/>
                      <w:lang w:val="es-UY" w:eastAsia="es-UY"/>
                    </w:rPr>
                    <w:t>2.146.700.116</w:t>
                  </w:r>
                </w:p>
              </w:tc>
            </w:tr>
            <w:tr w:rsidR="007D767F" w:rsidRPr="006C4A75"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rPr>
                      <w:rFonts w:ascii="Arial" w:hAnsi="Arial" w:cs="Arial"/>
                      <w:snapToGrid/>
                      <w:color w:val="000000"/>
                      <w:lang w:val="es-UY" w:eastAsia="es-UY"/>
                    </w:rPr>
                  </w:pPr>
                  <w:r w:rsidRPr="00424DE6">
                    <w:rPr>
                      <w:rFonts w:ascii="Arial" w:hAnsi="Arial" w:cs="Arial"/>
                      <w:snapToGrid/>
                      <w:color w:val="000000"/>
                      <w:lang w:val="es-UY" w:eastAsia="es-UY"/>
                    </w:rPr>
                    <w:t>1 Materiales y Suministros</w:t>
                  </w:r>
                </w:p>
              </w:tc>
              <w:tc>
                <w:tcPr>
                  <w:tcW w:w="1715" w:type="dxa"/>
                  <w:tcBorders>
                    <w:top w:val="nil"/>
                    <w:left w:val="nil"/>
                    <w:bottom w:val="nil"/>
                    <w:right w:val="nil"/>
                  </w:tcBorders>
                  <w:shd w:val="clear" w:color="000000" w:fill="FFFFFF"/>
                  <w:noWrap/>
                  <w:vAlign w:val="center"/>
                  <w:hideMark/>
                </w:tcPr>
                <w:p w:rsidR="007D767F" w:rsidRPr="00424DE6" w:rsidRDefault="007D767F" w:rsidP="006C4A75">
                  <w:pPr>
                    <w:widowControl/>
                    <w:jc w:val="right"/>
                    <w:rPr>
                      <w:rFonts w:ascii="Arial" w:hAnsi="Arial" w:cs="Arial"/>
                      <w:snapToGrid/>
                      <w:color w:val="000000"/>
                      <w:lang w:val="es-UY" w:eastAsia="es-UY"/>
                    </w:rPr>
                  </w:pPr>
                  <w:r w:rsidRPr="00424DE6">
                    <w:rPr>
                      <w:rFonts w:ascii="Arial" w:hAnsi="Arial" w:cs="Arial"/>
                      <w:snapToGrid/>
                      <w:color w:val="000000"/>
                      <w:lang w:val="es-UY" w:eastAsia="es-UY"/>
                    </w:rPr>
                    <w:t>31.108.334.140</w:t>
                  </w:r>
                </w:p>
              </w:tc>
            </w:tr>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rPr>
                      <w:rFonts w:ascii="Arial" w:hAnsi="Arial" w:cs="Arial"/>
                      <w:snapToGrid/>
                      <w:color w:val="000000"/>
                      <w:lang w:val="es-UY" w:eastAsia="es-UY"/>
                    </w:rPr>
                  </w:pPr>
                  <w:r w:rsidRPr="00424DE6">
                    <w:rPr>
                      <w:rFonts w:ascii="Arial" w:hAnsi="Arial" w:cs="Arial"/>
                      <w:snapToGrid/>
                      <w:color w:val="000000"/>
                      <w:lang w:val="es-UY" w:eastAsia="es-UY"/>
                    </w:rPr>
                    <w:t>2 Servicios no Personales</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jc w:val="right"/>
                    <w:rPr>
                      <w:rFonts w:ascii="Arial" w:hAnsi="Arial" w:cs="Arial"/>
                      <w:snapToGrid/>
                      <w:color w:val="000000"/>
                      <w:lang w:val="es-UY" w:eastAsia="es-UY"/>
                    </w:rPr>
                  </w:pPr>
                  <w:r w:rsidRPr="00424DE6">
                    <w:rPr>
                      <w:rFonts w:ascii="Arial" w:hAnsi="Arial" w:cs="Arial"/>
                      <w:snapToGrid/>
                      <w:color w:val="000000"/>
                      <w:lang w:val="es-UY" w:eastAsia="es-UY"/>
                    </w:rPr>
                    <w:t>40.945.464.871</w:t>
                  </w:r>
                </w:p>
              </w:tc>
            </w:tr>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rPr>
                      <w:rFonts w:ascii="Arial" w:hAnsi="Arial" w:cs="Arial"/>
                      <w:snapToGrid/>
                      <w:color w:val="000000"/>
                      <w:lang w:val="es-UY" w:eastAsia="es-UY"/>
                    </w:rPr>
                  </w:pPr>
                  <w:r w:rsidRPr="00424DE6">
                    <w:rPr>
                      <w:rFonts w:ascii="Arial" w:hAnsi="Arial" w:cs="Arial"/>
                      <w:snapToGrid/>
                      <w:color w:val="000000"/>
                      <w:lang w:val="es-UY" w:eastAsia="es-UY"/>
                    </w:rPr>
                    <w:t>3 Bienes de Uso</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jc w:val="right"/>
                    <w:rPr>
                      <w:rFonts w:ascii="Arial" w:hAnsi="Arial" w:cs="Arial"/>
                      <w:snapToGrid/>
                      <w:color w:val="000000"/>
                      <w:lang w:val="es-UY" w:eastAsia="es-UY"/>
                    </w:rPr>
                  </w:pPr>
                  <w:r w:rsidRPr="00424DE6">
                    <w:rPr>
                      <w:rFonts w:ascii="Arial" w:hAnsi="Arial" w:cs="Arial"/>
                      <w:snapToGrid/>
                      <w:color w:val="000000"/>
                      <w:lang w:val="es-UY" w:eastAsia="es-UY"/>
                    </w:rPr>
                    <w:t>504.629.341</w:t>
                  </w:r>
                </w:p>
              </w:tc>
            </w:tr>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rPr>
                      <w:rFonts w:ascii="Arial" w:hAnsi="Arial" w:cs="Arial"/>
                      <w:snapToGrid/>
                      <w:color w:val="000000"/>
                      <w:lang w:val="es-UY" w:eastAsia="es-UY"/>
                    </w:rPr>
                  </w:pPr>
                  <w:r w:rsidRPr="00424DE6">
                    <w:rPr>
                      <w:rFonts w:ascii="Arial" w:hAnsi="Arial" w:cs="Arial"/>
                      <w:snapToGrid/>
                      <w:color w:val="000000"/>
                      <w:lang w:val="es-UY" w:eastAsia="es-UY"/>
                    </w:rPr>
                    <w:t>7 Asignaciones Globales</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jc w:val="right"/>
                    <w:rPr>
                      <w:rFonts w:ascii="Arial" w:hAnsi="Arial" w:cs="Arial"/>
                      <w:snapToGrid/>
                      <w:color w:val="000000"/>
                      <w:lang w:val="es-UY" w:eastAsia="es-UY"/>
                    </w:rPr>
                  </w:pPr>
                  <w:r w:rsidRPr="00424DE6">
                    <w:rPr>
                      <w:rFonts w:ascii="Arial" w:hAnsi="Arial" w:cs="Arial"/>
                      <w:snapToGrid/>
                      <w:color w:val="000000"/>
                      <w:lang w:val="es-UY" w:eastAsia="es-UY"/>
                    </w:rPr>
                    <w:t>1.267.851.653</w:t>
                  </w:r>
                </w:p>
              </w:tc>
            </w:tr>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jc w:val="both"/>
                    <w:rPr>
                      <w:rFonts w:ascii="Arial" w:hAnsi="Arial" w:cs="Arial"/>
                      <w:b/>
                      <w:bCs/>
                      <w:snapToGrid/>
                      <w:color w:val="000000"/>
                    </w:rPr>
                  </w:pPr>
                  <w:r w:rsidRPr="00424DE6">
                    <w:rPr>
                      <w:rFonts w:ascii="Arial" w:hAnsi="Arial" w:cs="Arial"/>
                      <w:b/>
                      <w:bCs/>
                      <w:snapToGrid/>
                      <w:color w:val="000000"/>
                      <w:lang w:val="es-UY"/>
                    </w:rPr>
                    <w:t>Sub-Programa Gas Natural</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jc w:val="right"/>
                    <w:rPr>
                      <w:rFonts w:ascii="Arial" w:hAnsi="Arial" w:cs="Arial"/>
                      <w:b/>
                      <w:bCs/>
                      <w:snapToGrid/>
                      <w:color w:val="000000"/>
                    </w:rPr>
                  </w:pPr>
                  <w:r w:rsidRPr="00424DE6">
                    <w:rPr>
                      <w:rFonts w:ascii="Arial" w:hAnsi="Arial" w:cs="Arial"/>
                      <w:b/>
                      <w:bCs/>
                      <w:snapToGrid/>
                      <w:color w:val="000000"/>
                      <w:lang w:val="es-UY"/>
                    </w:rPr>
                    <w:t>563.973.629</w:t>
                  </w:r>
                </w:p>
              </w:tc>
            </w:tr>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jc w:val="both"/>
                    <w:rPr>
                      <w:rFonts w:ascii="Arial" w:hAnsi="Arial" w:cs="Arial"/>
                      <w:snapToGrid/>
                      <w:color w:val="000000"/>
                    </w:rPr>
                  </w:pPr>
                  <w:r w:rsidRPr="00424DE6">
                    <w:rPr>
                      <w:rFonts w:ascii="Arial" w:hAnsi="Arial" w:cs="Arial"/>
                      <w:snapToGrid/>
                      <w:color w:val="000000"/>
                      <w:lang w:val="es-UY"/>
                    </w:rPr>
                    <w:t>0 Servicios Personales</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jc w:val="right"/>
                    <w:rPr>
                      <w:rFonts w:ascii="Arial" w:hAnsi="Arial" w:cs="Arial"/>
                      <w:snapToGrid/>
                      <w:color w:val="000000"/>
                    </w:rPr>
                  </w:pPr>
                  <w:r w:rsidRPr="00424DE6">
                    <w:rPr>
                      <w:rFonts w:ascii="Arial" w:hAnsi="Arial" w:cs="Arial"/>
                      <w:snapToGrid/>
                      <w:color w:val="000000"/>
                      <w:lang w:val="es-UY"/>
                    </w:rPr>
                    <w:t>20.333.711</w:t>
                  </w:r>
                </w:p>
              </w:tc>
            </w:tr>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jc w:val="both"/>
                    <w:rPr>
                      <w:rFonts w:ascii="Arial" w:hAnsi="Arial" w:cs="Arial"/>
                      <w:snapToGrid/>
                      <w:color w:val="000000"/>
                    </w:rPr>
                  </w:pPr>
                  <w:r w:rsidRPr="00424DE6">
                    <w:rPr>
                      <w:rFonts w:ascii="Arial" w:hAnsi="Arial" w:cs="Arial"/>
                      <w:snapToGrid/>
                      <w:color w:val="000000"/>
                      <w:lang w:val="es-UY"/>
                    </w:rPr>
                    <w:t>1 Materiales y Suministros</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jc w:val="right"/>
                    <w:rPr>
                      <w:rFonts w:ascii="Arial" w:hAnsi="Arial" w:cs="Arial"/>
                      <w:snapToGrid/>
                      <w:color w:val="000000"/>
                    </w:rPr>
                  </w:pPr>
                  <w:r w:rsidRPr="00424DE6">
                    <w:rPr>
                      <w:rFonts w:ascii="Arial" w:hAnsi="Arial" w:cs="Arial"/>
                      <w:snapToGrid/>
                      <w:color w:val="000000"/>
                      <w:lang w:val="es-UY"/>
                    </w:rPr>
                    <w:t>236.840.435</w:t>
                  </w:r>
                </w:p>
              </w:tc>
            </w:tr>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jc w:val="both"/>
                    <w:rPr>
                      <w:rFonts w:ascii="Arial" w:hAnsi="Arial" w:cs="Arial"/>
                      <w:snapToGrid/>
                      <w:color w:val="000000"/>
                    </w:rPr>
                  </w:pPr>
                  <w:r w:rsidRPr="00424DE6">
                    <w:rPr>
                      <w:rFonts w:ascii="Arial" w:hAnsi="Arial" w:cs="Arial"/>
                      <w:snapToGrid/>
                      <w:color w:val="000000"/>
                      <w:lang w:val="es-UY"/>
                    </w:rPr>
                    <w:t>2 Servicios no Personales</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jc w:val="right"/>
                    <w:rPr>
                      <w:rFonts w:ascii="Arial" w:hAnsi="Arial" w:cs="Arial"/>
                      <w:snapToGrid/>
                      <w:color w:val="000000"/>
                    </w:rPr>
                  </w:pPr>
                  <w:r w:rsidRPr="00424DE6">
                    <w:rPr>
                      <w:rFonts w:ascii="Arial" w:hAnsi="Arial" w:cs="Arial"/>
                      <w:snapToGrid/>
                      <w:color w:val="000000"/>
                      <w:lang w:val="es-UY"/>
                    </w:rPr>
                    <w:t>292.363.516</w:t>
                  </w:r>
                </w:p>
              </w:tc>
            </w:tr>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jc w:val="both"/>
                    <w:rPr>
                      <w:rFonts w:ascii="Arial" w:hAnsi="Arial" w:cs="Arial"/>
                      <w:snapToGrid/>
                      <w:color w:val="000000"/>
                    </w:rPr>
                  </w:pPr>
                  <w:r w:rsidRPr="00424DE6">
                    <w:rPr>
                      <w:rFonts w:ascii="Arial" w:hAnsi="Arial" w:cs="Arial"/>
                      <w:snapToGrid/>
                      <w:color w:val="000000"/>
                      <w:lang w:val="es-UY"/>
                    </w:rPr>
                    <w:t>7 Asignaciones Globales</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jc w:val="right"/>
                    <w:rPr>
                      <w:rFonts w:ascii="Arial" w:hAnsi="Arial" w:cs="Arial"/>
                      <w:snapToGrid/>
                      <w:color w:val="000000"/>
                    </w:rPr>
                  </w:pPr>
                  <w:r w:rsidRPr="00424DE6">
                    <w:rPr>
                      <w:rFonts w:ascii="Arial" w:hAnsi="Arial" w:cs="Arial"/>
                      <w:snapToGrid/>
                      <w:color w:val="000000"/>
                      <w:lang w:val="es-UY"/>
                    </w:rPr>
                    <w:t>14.435.967</w:t>
                  </w:r>
                </w:p>
              </w:tc>
            </w:tr>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jc w:val="both"/>
                    <w:rPr>
                      <w:rFonts w:ascii="Arial" w:hAnsi="Arial" w:cs="Arial"/>
                      <w:b/>
                      <w:bCs/>
                      <w:snapToGrid/>
                      <w:color w:val="000000"/>
                    </w:rPr>
                  </w:pPr>
                  <w:r w:rsidRPr="00424DE6">
                    <w:rPr>
                      <w:rFonts w:ascii="Arial" w:hAnsi="Arial" w:cs="Arial"/>
                      <w:b/>
                      <w:bCs/>
                      <w:snapToGrid/>
                      <w:color w:val="000000"/>
                      <w:lang w:val="es-UY"/>
                    </w:rPr>
                    <w:t>Sub-Programa Servicios comunes a la Empresa</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jc w:val="right"/>
                    <w:rPr>
                      <w:rFonts w:ascii="Arial" w:hAnsi="Arial" w:cs="Arial"/>
                      <w:b/>
                      <w:bCs/>
                      <w:snapToGrid/>
                      <w:color w:val="000000"/>
                    </w:rPr>
                  </w:pPr>
                  <w:r w:rsidRPr="00424DE6">
                    <w:rPr>
                      <w:rFonts w:ascii="Arial" w:hAnsi="Arial" w:cs="Arial"/>
                      <w:b/>
                      <w:bCs/>
                      <w:snapToGrid/>
                      <w:color w:val="000000"/>
                      <w:lang w:val="es-UY"/>
                    </w:rPr>
                    <w:t>8.312.632.025</w:t>
                  </w:r>
                </w:p>
              </w:tc>
            </w:tr>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jc w:val="both"/>
                    <w:rPr>
                      <w:rFonts w:ascii="Arial" w:hAnsi="Arial" w:cs="Arial"/>
                      <w:snapToGrid/>
                      <w:color w:val="000000"/>
                    </w:rPr>
                  </w:pPr>
                  <w:r w:rsidRPr="00424DE6">
                    <w:rPr>
                      <w:rFonts w:ascii="Arial" w:hAnsi="Arial" w:cs="Arial"/>
                      <w:snapToGrid/>
                      <w:color w:val="000000"/>
                      <w:lang w:val="es-UY"/>
                    </w:rPr>
                    <w:t>0 Servicios Personales</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jc w:val="right"/>
                    <w:rPr>
                      <w:rFonts w:ascii="Arial" w:hAnsi="Arial" w:cs="Arial"/>
                      <w:snapToGrid/>
                      <w:color w:val="000000"/>
                    </w:rPr>
                  </w:pPr>
                  <w:r w:rsidRPr="00424DE6">
                    <w:rPr>
                      <w:rFonts w:ascii="Arial" w:hAnsi="Arial" w:cs="Arial"/>
                      <w:snapToGrid/>
                      <w:color w:val="000000"/>
                      <w:lang w:val="es-UY"/>
                    </w:rPr>
                    <w:t>1.300.028.405</w:t>
                  </w:r>
                </w:p>
              </w:tc>
            </w:tr>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jc w:val="both"/>
                    <w:rPr>
                      <w:rFonts w:ascii="Arial" w:hAnsi="Arial" w:cs="Arial"/>
                      <w:snapToGrid/>
                      <w:color w:val="000000"/>
                    </w:rPr>
                  </w:pPr>
                  <w:r w:rsidRPr="00424DE6">
                    <w:rPr>
                      <w:rFonts w:ascii="Arial" w:hAnsi="Arial" w:cs="Arial"/>
                      <w:snapToGrid/>
                      <w:color w:val="000000"/>
                      <w:lang w:val="es-UY"/>
                    </w:rPr>
                    <w:t>1 Materiales y Suministros</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jc w:val="right"/>
                    <w:rPr>
                      <w:rFonts w:ascii="Arial" w:hAnsi="Arial" w:cs="Arial"/>
                      <w:snapToGrid/>
                      <w:color w:val="000000"/>
                    </w:rPr>
                  </w:pPr>
                  <w:r w:rsidRPr="00424DE6">
                    <w:rPr>
                      <w:rFonts w:ascii="Arial" w:hAnsi="Arial" w:cs="Arial"/>
                      <w:snapToGrid/>
                      <w:color w:val="000000"/>
                      <w:lang w:val="es-UY"/>
                    </w:rPr>
                    <w:t>125.244.796</w:t>
                  </w:r>
                </w:p>
              </w:tc>
            </w:tr>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jc w:val="both"/>
                    <w:rPr>
                      <w:rFonts w:ascii="Arial" w:hAnsi="Arial" w:cs="Arial"/>
                      <w:snapToGrid/>
                      <w:color w:val="000000"/>
                    </w:rPr>
                  </w:pPr>
                  <w:r w:rsidRPr="00424DE6">
                    <w:rPr>
                      <w:rFonts w:ascii="Arial" w:hAnsi="Arial" w:cs="Arial"/>
                      <w:snapToGrid/>
                      <w:color w:val="000000"/>
                      <w:lang w:val="es-UY"/>
                    </w:rPr>
                    <w:t>2 Servicios no Personales</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jc w:val="right"/>
                    <w:rPr>
                      <w:rFonts w:ascii="Arial" w:hAnsi="Arial" w:cs="Arial"/>
                      <w:snapToGrid/>
                      <w:color w:val="000000"/>
                    </w:rPr>
                  </w:pPr>
                  <w:r w:rsidRPr="00424DE6">
                    <w:rPr>
                      <w:rFonts w:ascii="Arial" w:hAnsi="Arial" w:cs="Arial"/>
                      <w:snapToGrid/>
                      <w:color w:val="000000"/>
                      <w:lang w:val="es-UY"/>
                    </w:rPr>
                    <w:t>4.857.219.725</w:t>
                  </w:r>
                </w:p>
              </w:tc>
            </w:tr>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jc w:val="both"/>
                    <w:rPr>
                      <w:rFonts w:ascii="Arial" w:hAnsi="Arial" w:cs="Arial"/>
                      <w:snapToGrid/>
                      <w:color w:val="000000"/>
                    </w:rPr>
                  </w:pPr>
                  <w:r w:rsidRPr="00424DE6">
                    <w:rPr>
                      <w:rFonts w:ascii="Arial" w:hAnsi="Arial" w:cs="Arial"/>
                      <w:snapToGrid/>
                      <w:color w:val="000000"/>
                      <w:lang w:val="es-UY"/>
                    </w:rPr>
                    <w:t>3 Bienes de Uso</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jc w:val="right"/>
                    <w:rPr>
                      <w:rFonts w:ascii="Arial" w:hAnsi="Arial" w:cs="Arial"/>
                      <w:snapToGrid/>
                      <w:color w:val="000000"/>
                    </w:rPr>
                  </w:pPr>
                  <w:r w:rsidRPr="00424DE6">
                    <w:rPr>
                      <w:rFonts w:ascii="Arial" w:hAnsi="Arial" w:cs="Arial"/>
                      <w:snapToGrid/>
                      <w:color w:val="000000"/>
                      <w:lang w:val="es-UY"/>
                    </w:rPr>
                    <w:t>5.014.580</w:t>
                  </w:r>
                </w:p>
              </w:tc>
            </w:tr>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jc w:val="both"/>
                    <w:rPr>
                      <w:rFonts w:ascii="Arial" w:hAnsi="Arial" w:cs="Arial"/>
                      <w:snapToGrid/>
                      <w:color w:val="000000"/>
                    </w:rPr>
                  </w:pPr>
                  <w:r w:rsidRPr="00424DE6">
                    <w:rPr>
                      <w:rFonts w:ascii="Arial" w:hAnsi="Arial" w:cs="Arial"/>
                      <w:snapToGrid/>
                      <w:color w:val="000000"/>
                      <w:lang w:val="es-UY"/>
                    </w:rPr>
                    <w:t>4 Activos Financieros</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jc w:val="right"/>
                    <w:rPr>
                      <w:rFonts w:ascii="Arial" w:hAnsi="Arial" w:cs="Arial"/>
                      <w:snapToGrid/>
                      <w:color w:val="000000"/>
                    </w:rPr>
                  </w:pPr>
                  <w:r w:rsidRPr="00424DE6">
                    <w:rPr>
                      <w:rFonts w:ascii="Arial" w:hAnsi="Arial" w:cs="Arial"/>
                      <w:snapToGrid/>
                      <w:color w:val="000000"/>
                      <w:lang w:val="es-UY"/>
                    </w:rPr>
                    <w:t>9.120.118</w:t>
                  </w:r>
                </w:p>
              </w:tc>
            </w:tr>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jc w:val="both"/>
                    <w:rPr>
                      <w:rFonts w:ascii="Arial" w:hAnsi="Arial" w:cs="Arial"/>
                      <w:snapToGrid/>
                      <w:color w:val="000000"/>
                    </w:rPr>
                  </w:pPr>
                  <w:r w:rsidRPr="00424DE6">
                    <w:rPr>
                      <w:rFonts w:ascii="Arial" w:hAnsi="Arial" w:cs="Arial"/>
                      <w:snapToGrid/>
                      <w:color w:val="000000"/>
                      <w:lang w:val="es-UY"/>
                    </w:rPr>
                    <w:t>5 Transferencias</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jc w:val="right"/>
                    <w:rPr>
                      <w:rFonts w:ascii="Arial" w:hAnsi="Arial" w:cs="Arial"/>
                      <w:snapToGrid/>
                      <w:color w:val="000000"/>
                    </w:rPr>
                  </w:pPr>
                  <w:r w:rsidRPr="00424DE6">
                    <w:rPr>
                      <w:rFonts w:ascii="Arial" w:hAnsi="Arial" w:cs="Arial"/>
                      <w:snapToGrid/>
                      <w:color w:val="000000"/>
                      <w:lang w:val="es-UY"/>
                    </w:rPr>
                    <w:t>22.424.000</w:t>
                  </w:r>
                </w:p>
              </w:tc>
            </w:tr>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jc w:val="both"/>
                    <w:rPr>
                      <w:rFonts w:ascii="Arial" w:hAnsi="Arial" w:cs="Arial"/>
                      <w:snapToGrid/>
                      <w:color w:val="000000"/>
                    </w:rPr>
                  </w:pPr>
                  <w:r w:rsidRPr="00424DE6">
                    <w:rPr>
                      <w:rFonts w:ascii="Arial" w:hAnsi="Arial" w:cs="Arial"/>
                      <w:snapToGrid/>
                      <w:color w:val="000000"/>
                      <w:lang w:val="es-UY"/>
                    </w:rPr>
                    <w:t xml:space="preserve">6 </w:t>
                  </w:r>
                  <w:proofErr w:type="spellStart"/>
                  <w:r w:rsidRPr="00424DE6">
                    <w:rPr>
                      <w:rFonts w:ascii="Arial" w:hAnsi="Arial" w:cs="Arial"/>
                      <w:snapToGrid/>
                      <w:color w:val="000000"/>
                      <w:lang w:val="es-UY"/>
                    </w:rPr>
                    <w:t>Int</w:t>
                  </w:r>
                  <w:proofErr w:type="spellEnd"/>
                  <w:r w:rsidRPr="00424DE6">
                    <w:rPr>
                      <w:rFonts w:ascii="Arial" w:hAnsi="Arial" w:cs="Arial"/>
                      <w:snapToGrid/>
                      <w:color w:val="000000"/>
                      <w:lang w:val="es-UY"/>
                    </w:rPr>
                    <w:t xml:space="preserve">. </w:t>
                  </w:r>
                  <w:proofErr w:type="gramStart"/>
                  <w:r w:rsidRPr="00424DE6">
                    <w:rPr>
                      <w:rFonts w:ascii="Arial" w:hAnsi="Arial" w:cs="Arial"/>
                      <w:snapToGrid/>
                      <w:color w:val="000000"/>
                      <w:lang w:val="es-UY"/>
                    </w:rPr>
                    <w:t>y</w:t>
                  </w:r>
                  <w:proofErr w:type="gramEnd"/>
                  <w:r w:rsidRPr="00424DE6">
                    <w:rPr>
                      <w:rFonts w:ascii="Arial" w:hAnsi="Arial" w:cs="Arial"/>
                      <w:snapToGrid/>
                      <w:color w:val="000000"/>
                      <w:lang w:val="es-UY"/>
                    </w:rPr>
                    <w:t xml:space="preserve"> otros </w:t>
                  </w:r>
                  <w:proofErr w:type="spellStart"/>
                  <w:r w:rsidRPr="00424DE6">
                    <w:rPr>
                      <w:rFonts w:ascii="Arial" w:hAnsi="Arial" w:cs="Arial"/>
                      <w:snapToGrid/>
                      <w:color w:val="000000"/>
                      <w:lang w:val="es-UY"/>
                    </w:rPr>
                    <w:t>gtos</w:t>
                  </w:r>
                  <w:proofErr w:type="spellEnd"/>
                  <w:r w:rsidRPr="00424DE6">
                    <w:rPr>
                      <w:rFonts w:ascii="Arial" w:hAnsi="Arial" w:cs="Arial"/>
                      <w:snapToGrid/>
                      <w:color w:val="000000"/>
                      <w:lang w:val="es-UY"/>
                    </w:rPr>
                    <w:t>. de deuda</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jc w:val="right"/>
                    <w:rPr>
                      <w:rFonts w:ascii="Arial" w:hAnsi="Arial" w:cs="Arial"/>
                      <w:snapToGrid/>
                      <w:color w:val="000000"/>
                    </w:rPr>
                  </w:pPr>
                  <w:r w:rsidRPr="00424DE6">
                    <w:rPr>
                      <w:rFonts w:ascii="Arial" w:hAnsi="Arial" w:cs="Arial"/>
                      <w:snapToGrid/>
                      <w:color w:val="000000"/>
                      <w:lang w:val="es-UY"/>
                    </w:rPr>
                    <w:t>575.935.944</w:t>
                  </w:r>
                </w:p>
              </w:tc>
            </w:tr>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jc w:val="both"/>
                    <w:rPr>
                      <w:rFonts w:ascii="Arial" w:hAnsi="Arial" w:cs="Arial"/>
                      <w:snapToGrid/>
                      <w:color w:val="000000"/>
                    </w:rPr>
                  </w:pPr>
                  <w:r w:rsidRPr="00424DE6">
                    <w:rPr>
                      <w:rFonts w:ascii="Arial" w:hAnsi="Arial" w:cs="Arial"/>
                      <w:snapToGrid/>
                      <w:color w:val="000000"/>
                      <w:lang w:val="es-UY"/>
                    </w:rPr>
                    <w:t>7 Asignaciones Globales</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jc w:val="right"/>
                    <w:rPr>
                      <w:rFonts w:ascii="Arial" w:hAnsi="Arial" w:cs="Arial"/>
                      <w:snapToGrid/>
                      <w:color w:val="000000"/>
                    </w:rPr>
                  </w:pPr>
                  <w:r w:rsidRPr="00424DE6">
                    <w:rPr>
                      <w:rFonts w:ascii="Arial" w:hAnsi="Arial" w:cs="Arial"/>
                      <w:snapToGrid/>
                      <w:color w:val="000000"/>
                      <w:lang w:val="es-UY"/>
                    </w:rPr>
                    <w:t>55.877.027</w:t>
                  </w:r>
                </w:p>
              </w:tc>
            </w:tr>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jc w:val="both"/>
                    <w:rPr>
                      <w:rFonts w:ascii="Arial" w:hAnsi="Arial" w:cs="Arial"/>
                      <w:snapToGrid/>
                      <w:color w:val="000000"/>
                    </w:rPr>
                  </w:pPr>
                  <w:r w:rsidRPr="00424DE6">
                    <w:rPr>
                      <w:rFonts w:ascii="Arial" w:hAnsi="Arial" w:cs="Arial"/>
                      <w:snapToGrid/>
                      <w:color w:val="000000"/>
                      <w:lang w:val="es-UY"/>
                    </w:rPr>
                    <w:t>8 Servicios de deuda y anticipos</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jc w:val="right"/>
                    <w:rPr>
                      <w:rFonts w:ascii="Arial" w:hAnsi="Arial" w:cs="Arial"/>
                      <w:snapToGrid/>
                      <w:color w:val="000000"/>
                    </w:rPr>
                  </w:pPr>
                  <w:r w:rsidRPr="00424DE6">
                    <w:rPr>
                      <w:rFonts w:ascii="Arial" w:hAnsi="Arial" w:cs="Arial"/>
                      <w:snapToGrid/>
                      <w:color w:val="000000"/>
                      <w:lang w:val="es-UY"/>
                    </w:rPr>
                    <w:t>1.361.767.430</w:t>
                  </w:r>
                </w:p>
              </w:tc>
            </w:tr>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jc w:val="both"/>
                    <w:rPr>
                      <w:rFonts w:ascii="Arial" w:hAnsi="Arial" w:cs="Arial"/>
                      <w:b/>
                      <w:bCs/>
                      <w:snapToGrid/>
                      <w:color w:val="000000"/>
                    </w:rPr>
                  </w:pPr>
                  <w:r w:rsidRPr="00424DE6">
                    <w:rPr>
                      <w:rFonts w:ascii="Arial" w:hAnsi="Arial" w:cs="Arial"/>
                      <w:b/>
                      <w:bCs/>
                      <w:snapToGrid/>
                      <w:color w:val="000000"/>
                      <w:lang w:val="es-UY"/>
                    </w:rPr>
                    <w:t>Sub-Programa Factor Humano a reaplicar</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jc w:val="right"/>
                    <w:rPr>
                      <w:rFonts w:ascii="Arial" w:hAnsi="Arial" w:cs="Arial"/>
                      <w:b/>
                      <w:bCs/>
                      <w:snapToGrid/>
                      <w:color w:val="000000"/>
                    </w:rPr>
                  </w:pPr>
                  <w:r w:rsidRPr="00424DE6">
                    <w:rPr>
                      <w:rFonts w:ascii="Arial" w:hAnsi="Arial" w:cs="Arial"/>
                      <w:b/>
                      <w:bCs/>
                      <w:snapToGrid/>
                      <w:color w:val="000000"/>
                      <w:lang w:val="es-UY"/>
                    </w:rPr>
                    <w:t>184.888.779</w:t>
                  </w:r>
                </w:p>
              </w:tc>
            </w:tr>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jc w:val="both"/>
                    <w:rPr>
                      <w:rFonts w:ascii="Arial" w:hAnsi="Arial" w:cs="Arial"/>
                      <w:snapToGrid/>
                      <w:color w:val="000000"/>
                    </w:rPr>
                  </w:pPr>
                  <w:r w:rsidRPr="00424DE6">
                    <w:rPr>
                      <w:rFonts w:ascii="Arial" w:hAnsi="Arial" w:cs="Arial"/>
                      <w:snapToGrid/>
                      <w:color w:val="000000"/>
                      <w:lang w:val="es-UY"/>
                    </w:rPr>
                    <w:t>0 Servicios Personales</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jc w:val="right"/>
                    <w:rPr>
                      <w:rFonts w:ascii="Arial" w:hAnsi="Arial" w:cs="Arial"/>
                      <w:snapToGrid/>
                      <w:color w:val="000000"/>
                    </w:rPr>
                  </w:pPr>
                  <w:r w:rsidRPr="00424DE6">
                    <w:rPr>
                      <w:rFonts w:ascii="Arial" w:hAnsi="Arial" w:cs="Arial"/>
                      <w:snapToGrid/>
                      <w:color w:val="000000"/>
                      <w:lang w:val="es-UY"/>
                    </w:rPr>
                    <w:t>184.888.779</w:t>
                  </w:r>
                </w:p>
              </w:tc>
            </w:tr>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jc w:val="both"/>
                    <w:rPr>
                      <w:rFonts w:ascii="Arial" w:hAnsi="Arial" w:cs="Arial"/>
                      <w:b/>
                      <w:bCs/>
                      <w:snapToGrid/>
                      <w:color w:val="000000"/>
                    </w:rPr>
                  </w:pPr>
                  <w:r w:rsidRPr="00424DE6">
                    <w:rPr>
                      <w:rFonts w:ascii="Arial" w:hAnsi="Arial" w:cs="Arial"/>
                      <w:b/>
                      <w:bCs/>
                      <w:snapToGrid/>
                      <w:color w:val="000000"/>
                      <w:lang w:val="es-UY"/>
                    </w:rPr>
                    <w:t>Total Presupuesto Operativo - Energía</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jc w:val="right"/>
                    <w:rPr>
                      <w:rFonts w:ascii="Arial" w:hAnsi="Arial" w:cs="Arial"/>
                      <w:b/>
                      <w:bCs/>
                      <w:snapToGrid/>
                      <w:color w:val="000000"/>
                    </w:rPr>
                  </w:pPr>
                  <w:r w:rsidRPr="00424DE6">
                    <w:rPr>
                      <w:rFonts w:ascii="Arial" w:hAnsi="Arial" w:cs="Arial"/>
                      <w:b/>
                      <w:bCs/>
                      <w:snapToGrid/>
                      <w:color w:val="000000"/>
                      <w:lang w:val="es-UY"/>
                    </w:rPr>
                    <w:t>85.034.474.554</w:t>
                  </w:r>
                </w:p>
              </w:tc>
            </w:tr>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jc w:val="both"/>
                    <w:rPr>
                      <w:rFonts w:ascii="Arial" w:hAnsi="Arial" w:cs="Arial"/>
                      <w:b/>
                      <w:bCs/>
                      <w:snapToGrid/>
                      <w:color w:val="000000"/>
                    </w:rPr>
                  </w:pPr>
                  <w:r w:rsidRPr="00424DE6">
                    <w:rPr>
                      <w:rFonts w:ascii="Arial" w:hAnsi="Arial" w:cs="Arial"/>
                      <w:b/>
                      <w:bCs/>
                      <w:snapToGrid/>
                      <w:color w:val="000000"/>
                      <w:lang w:val="es-UY"/>
                    </w:rPr>
                    <w:t xml:space="preserve">PRESUPUESTO OPERATIVO - PORTLAND </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rPr>
                      <w:rFonts w:ascii="Times New Roman" w:hAnsi="Times New Roman"/>
                      <w:snapToGrid/>
                      <w:color w:val="000000"/>
                    </w:rPr>
                  </w:pPr>
                  <w:r w:rsidRPr="00424DE6">
                    <w:rPr>
                      <w:rFonts w:ascii="Times New Roman" w:hAnsi="Times New Roman"/>
                      <w:snapToGrid/>
                      <w:color w:val="000000"/>
                    </w:rPr>
                    <w:t> </w:t>
                  </w:r>
                </w:p>
              </w:tc>
            </w:tr>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jc w:val="both"/>
                    <w:rPr>
                      <w:rFonts w:ascii="Arial" w:hAnsi="Arial" w:cs="Arial"/>
                      <w:snapToGrid/>
                      <w:color w:val="000000"/>
                    </w:rPr>
                  </w:pPr>
                  <w:r w:rsidRPr="00424DE6">
                    <w:rPr>
                      <w:rFonts w:ascii="Arial" w:hAnsi="Arial" w:cs="Arial"/>
                      <w:snapToGrid/>
                      <w:color w:val="000000"/>
                      <w:lang w:val="es-UY"/>
                    </w:rPr>
                    <w:t>0 Servicios Personales</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jc w:val="right"/>
                    <w:rPr>
                      <w:rFonts w:ascii="Arial" w:hAnsi="Arial" w:cs="Arial"/>
                      <w:snapToGrid/>
                      <w:color w:val="000000"/>
                    </w:rPr>
                  </w:pPr>
                  <w:r w:rsidRPr="00424DE6">
                    <w:rPr>
                      <w:rFonts w:ascii="Arial" w:hAnsi="Arial" w:cs="Arial"/>
                      <w:snapToGrid/>
                      <w:color w:val="000000"/>
                      <w:lang w:val="es-UY"/>
                    </w:rPr>
                    <w:t>529.013.771</w:t>
                  </w:r>
                </w:p>
              </w:tc>
            </w:tr>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jc w:val="both"/>
                    <w:rPr>
                      <w:rFonts w:ascii="Arial" w:hAnsi="Arial" w:cs="Arial"/>
                      <w:snapToGrid/>
                      <w:color w:val="000000"/>
                    </w:rPr>
                  </w:pPr>
                  <w:r w:rsidRPr="00424DE6">
                    <w:rPr>
                      <w:rFonts w:ascii="Arial" w:hAnsi="Arial" w:cs="Arial"/>
                      <w:snapToGrid/>
                      <w:color w:val="000000"/>
                      <w:lang w:val="es-UY"/>
                    </w:rPr>
                    <w:t>1 Materiales y Suministros</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jc w:val="right"/>
                    <w:rPr>
                      <w:rFonts w:ascii="Arial" w:hAnsi="Arial" w:cs="Arial"/>
                      <w:snapToGrid/>
                      <w:color w:val="000000"/>
                    </w:rPr>
                  </w:pPr>
                  <w:r w:rsidRPr="00424DE6">
                    <w:rPr>
                      <w:rFonts w:ascii="Arial" w:hAnsi="Arial" w:cs="Arial"/>
                      <w:snapToGrid/>
                      <w:color w:val="000000"/>
                      <w:lang w:val="es-UY"/>
                    </w:rPr>
                    <w:t>628.769.210</w:t>
                  </w:r>
                </w:p>
              </w:tc>
            </w:tr>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jc w:val="both"/>
                    <w:rPr>
                      <w:rFonts w:ascii="Arial" w:hAnsi="Arial" w:cs="Arial"/>
                      <w:snapToGrid/>
                      <w:color w:val="000000"/>
                    </w:rPr>
                  </w:pPr>
                  <w:r w:rsidRPr="00424DE6">
                    <w:rPr>
                      <w:rFonts w:ascii="Arial" w:hAnsi="Arial" w:cs="Arial"/>
                      <w:snapToGrid/>
                      <w:color w:val="000000"/>
                      <w:lang w:val="es-UY"/>
                    </w:rPr>
                    <w:t>2 Servicios no Personales</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jc w:val="right"/>
                    <w:rPr>
                      <w:rFonts w:ascii="Arial" w:hAnsi="Arial" w:cs="Arial"/>
                      <w:snapToGrid/>
                      <w:color w:val="000000"/>
                    </w:rPr>
                  </w:pPr>
                  <w:r w:rsidRPr="00424DE6">
                    <w:rPr>
                      <w:rFonts w:ascii="Arial" w:hAnsi="Arial" w:cs="Arial"/>
                      <w:snapToGrid/>
                      <w:color w:val="000000"/>
                      <w:lang w:val="es-UY"/>
                    </w:rPr>
                    <w:t>1.072.734.595</w:t>
                  </w:r>
                </w:p>
              </w:tc>
            </w:tr>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jc w:val="both"/>
                    <w:rPr>
                      <w:rFonts w:ascii="Arial" w:hAnsi="Arial" w:cs="Arial"/>
                      <w:snapToGrid/>
                      <w:color w:val="000000"/>
                    </w:rPr>
                  </w:pPr>
                  <w:r w:rsidRPr="00424DE6">
                    <w:rPr>
                      <w:rFonts w:ascii="Arial" w:hAnsi="Arial" w:cs="Arial"/>
                      <w:snapToGrid/>
                      <w:color w:val="000000"/>
                      <w:lang w:val="es-UY"/>
                    </w:rPr>
                    <w:t>3 Bienes de Uso</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jc w:val="right"/>
                    <w:rPr>
                      <w:rFonts w:ascii="Arial" w:hAnsi="Arial" w:cs="Arial"/>
                      <w:snapToGrid/>
                      <w:color w:val="000000"/>
                    </w:rPr>
                  </w:pPr>
                  <w:r w:rsidRPr="00424DE6">
                    <w:rPr>
                      <w:rFonts w:ascii="Arial" w:hAnsi="Arial" w:cs="Arial"/>
                      <w:snapToGrid/>
                      <w:color w:val="000000"/>
                      <w:lang w:val="es-UY"/>
                    </w:rPr>
                    <w:t>92.712.958</w:t>
                  </w:r>
                </w:p>
              </w:tc>
            </w:tr>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jc w:val="both"/>
                    <w:rPr>
                      <w:rFonts w:ascii="Arial" w:hAnsi="Arial" w:cs="Arial"/>
                      <w:snapToGrid/>
                      <w:color w:val="000000"/>
                    </w:rPr>
                  </w:pPr>
                  <w:r w:rsidRPr="00424DE6">
                    <w:rPr>
                      <w:rFonts w:ascii="Arial" w:hAnsi="Arial" w:cs="Arial"/>
                      <w:snapToGrid/>
                      <w:color w:val="000000"/>
                      <w:lang w:val="es-UY"/>
                    </w:rPr>
                    <w:t>7 Asignaciones Globales</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jc w:val="right"/>
                    <w:rPr>
                      <w:rFonts w:ascii="Arial" w:hAnsi="Arial" w:cs="Arial"/>
                      <w:snapToGrid/>
                      <w:color w:val="000000"/>
                    </w:rPr>
                  </w:pPr>
                  <w:r w:rsidRPr="00424DE6">
                    <w:rPr>
                      <w:rFonts w:ascii="Arial" w:hAnsi="Arial" w:cs="Arial"/>
                      <w:snapToGrid/>
                      <w:color w:val="000000"/>
                      <w:lang w:val="es-UY"/>
                    </w:rPr>
                    <w:t>43.955.739</w:t>
                  </w:r>
                </w:p>
              </w:tc>
            </w:tr>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jc w:val="both"/>
                    <w:rPr>
                      <w:rFonts w:ascii="Arial" w:hAnsi="Arial" w:cs="Arial"/>
                      <w:b/>
                      <w:bCs/>
                      <w:snapToGrid/>
                      <w:color w:val="000000"/>
                    </w:rPr>
                  </w:pPr>
                  <w:r w:rsidRPr="00424DE6">
                    <w:rPr>
                      <w:rFonts w:ascii="Arial" w:hAnsi="Arial" w:cs="Arial"/>
                      <w:b/>
                      <w:bCs/>
                      <w:snapToGrid/>
                      <w:color w:val="000000"/>
                      <w:lang w:val="es-UY"/>
                    </w:rPr>
                    <w:t>Total Presupuesto Operativo - Portland</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jc w:val="right"/>
                    <w:rPr>
                      <w:rFonts w:ascii="Arial" w:hAnsi="Arial" w:cs="Arial"/>
                      <w:b/>
                      <w:bCs/>
                      <w:snapToGrid/>
                      <w:color w:val="000000"/>
                    </w:rPr>
                  </w:pPr>
                  <w:r w:rsidRPr="00424DE6">
                    <w:rPr>
                      <w:rFonts w:ascii="Arial" w:hAnsi="Arial" w:cs="Arial"/>
                      <w:b/>
                      <w:bCs/>
                      <w:snapToGrid/>
                      <w:color w:val="000000"/>
                      <w:lang w:val="es-UY"/>
                    </w:rPr>
                    <w:t>2.367.186.273</w:t>
                  </w:r>
                </w:p>
              </w:tc>
            </w:tr>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jc w:val="both"/>
                    <w:rPr>
                      <w:rFonts w:ascii="Arial" w:hAnsi="Arial" w:cs="Arial"/>
                      <w:b/>
                      <w:bCs/>
                      <w:snapToGrid/>
                      <w:color w:val="000000"/>
                    </w:rPr>
                  </w:pPr>
                  <w:r w:rsidRPr="00424DE6">
                    <w:rPr>
                      <w:rFonts w:ascii="Arial" w:hAnsi="Arial" w:cs="Arial"/>
                      <w:b/>
                      <w:bCs/>
                      <w:snapToGrid/>
                      <w:color w:val="000000"/>
                      <w:lang w:val="es-UY"/>
                    </w:rPr>
                    <w:t>TOTAL PRESUPUESTO OPERATIVO</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jc w:val="right"/>
                    <w:rPr>
                      <w:rFonts w:ascii="Arial" w:hAnsi="Arial" w:cs="Arial"/>
                      <w:b/>
                      <w:bCs/>
                      <w:snapToGrid/>
                      <w:color w:val="000000"/>
                    </w:rPr>
                  </w:pPr>
                  <w:r w:rsidRPr="00424DE6">
                    <w:rPr>
                      <w:rFonts w:ascii="Arial" w:hAnsi="Arial" w:cs="Arial"/>
                      <w:b/>
                      <w:bCs/>
                      <w:snapToGrid/>
                      <w:color w:val="000000"/>
                      <w:lang w:val="es-UY"/>
                    </w:rPr>
                    <w:t>87.401.660.827</w:t>
                  </w:r>
                </w:p>
              </w:tc>
            </w:tr>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jc w:val="both"/>
                    <w:rPr>
                      <w:rFonts w:ascii="Arial" w:hAnsi="Arial" w:cs="Arial"/>
                      <w:b/>
                      <w:bCs/>
                      <w:snapToGrid/>
                      <w:color w:val="000000"/>
                    </w:rPr>
                  </w:pPr>
                  <w:r w:rsidRPr="00424DE6">
                    <w:rPr>
                      <w:rFonts w:ascii="Arial" w:hAnsi="Arial" w:cs="Arial"/>
                      <w:b/>
                      <w:bCs/>
                      <w:snapToGrid/>
                      <w:color w:val="000000"/>
                      <w:lang w:val="es-UY"/>
                    </w:rPr>
                    <w:t>PRESUPUESTO INVERSIONES (Energía y Portland)</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rPr>
                      <w:rFonts w:ascii="Times New Roman" w:hAnsi="Times New Roman"/>
                      <w:snapToGrid/>
                      <w:color w:val="000000"/>
                    </w:rPr>
                  </w:pPr>
                  <w:r w:rsidRPr="00424DE6">
                    <w:rPr>
                      <w:rFonts w:ascii="Times New Roman" w:hAnsi="Times New Roman"/>
                      <w:snapToGrid/>
                      <w:color w:val="000000"/>
                    </w:rPr>
                    <w:t> </w:t>
                  </w:r>
                </w:p>
              </w:tc>
            </w:tr>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jc w:val="both"/>
                    <w:rPr>
                      <w:rFonts w:ascii="Arial" w:hAnsi="Arial" w:cs="Arial"/>
                      <w:snapToGrid/>
                      <w:color w:val="000000"/>
                    </w:rPr>
                  </w:pPr>
                  <w:r w:rsidRPr="00424DE6">
                    <w:rPr>
                      <w:rFonts w:ascii="Arial" w:hAnsi="Arial" w:cs="Arial"/>
                      <w:snapToGrid/>
                      <w:color w:val="000000"/>
                      <w:lang w:val="es-UY"/>
                    </w:rPr>
                    <w:t>3 Bienes de Uso</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jc w:val="right"/>
                    <w:rPr>
                      <w:rFonts w:ascii="Arial" w:hAnsi="Arial" w:cs="Arial"/>
                      <w:snapToGrid/>
                      <w:color w:val="000000"/>
                    </w:rPr>
                  </w:pPr>
                  <w:r w:rsidRPr="00424DE6">
                    <w:rPr>
                      <w:rFonts w:ascii="Arial" w:hAnsi="Arial" w:cs="Arial"/>
                      <w:snapToGrid/>
                      <w:color w:val="000000"/>
                      <w:lang w:val="es-UY"/>
                    </w:rPr>
                    <w:t>1.718.207.438</w:t>
                  </w:r>
                </w:p>
              </w:tc>
            </w:tr>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jc w:val="both"/>
                    <w:rPr>
                      <w:rFonts w:ascii="Arial" w:hAnsi="Arial" w:cs="Arial"/>
                      <w:snapToGrid/>
                      <w:color w:val="000000"/>
                    </w:rPr>
                  </w:pPr>
                  <w:r w:rsidRPr="00424DE6">
                    <w:rPr>
                      <w:rFonts w:ascii="Arial" w:hAnsi="Arial" w:cs="Arial"/>
                      <w:snapToGrid/>
                      <w:color w:val="000000"/>
                      <w:lang w:val="es-UY"/>
                    </w:rPr>
                    <w:t>4 Activos Financieros</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jc w:val="right"/>
                    <w:rPr>
                      <w:rFonts w:ascii="Arial" w:hAnsi="Arial" w:cs="Arial"/>
                      <w:snapToGrid/>
                      <w:color w:val="000000"/>
                    </w:rPr>
                  </w:pPr>
                  <w:r w:rsidRPr="00424DE6">
                    <w:rPr>
                      <w:rFonts w:ascii="Arial" w:hAnsi="Arial" w:cs="Arial"/>
                      <w:snapToGrid/>
                      <w:color w:val="000000"/>
                      <w:lang w:val="es-UY"/>
                    </w:rPr>
                    <w:t>410.800.000</w:t>
                  </w:r>
                </w:p>
              </w:tc>
            </w:tr>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jc w:val="both"/>
                    <w:rPr>
                      <w:rFonts w:ascii="Arial" w:hAnsi="Arial" w:cs="Arial"/>
                      <w:b/>
                      <w:bCs/>
                      <w:snapToGrid/>
                      <w:color w:val="000000"/>
                    </w:rPr>
                  </w:pPr>
                  <w:r w:rsidRPr="00424DE6">
                    <w:rPr>
                      <w:rFonts w:ascii="Arial" w:hAnsi="Arial" w:cs="Arial"/>
                      <w:b/>
                      <w:bCs/>
                      <w:snapToGrid/>
                      <w:color w:val="000000"/>
                      <w:lang w:val="es-UY"/>
                    </w:rPr>
                    <w:t>TOTAL PRESUPUESTO INVERSIONES</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jc w:val="right"/>
                    <w:rPr>
                      <w:rFonts w:ascii="Arial" w:hAnsi="Arial" w:cs="Arial"/>
                      <w:b/>
                      <w:bCs/>
                      <w:snapToGrid/>
                      <w:color w:val="000000"/>
                    </w:rPr>
                  </w:pPr>
                  <w:r w:rsidRPr="00424DE6">
                    <w:rPr>
                      <w:rFonts w:ascii="Arial" w:hAnsi="Arial" w:cs="Arial"/>
                      <w:b/>
                      <w:bCs/>
                      <w:snapToGrid/>
                      <w:color w:val="000000"/>
                      <w:lang w:val="es-UY"/>
                    </w:rPr>
                    <w:t>2.129.007.438</w:t>
                  </w:r>
                </w:p>
              </w:tc>
            </w:tr>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jc w:val="both"/>
                    <w:rPr>
                      <w:rFonts w:ascii="Arial" w:hAnsi="Arial" w:cs="Arial"/>
                      <w:b/>
                      <w:bCs/>
                      <w:snapToGrid/>
                      <w:color w:val="000000"/>
                    </w:rPr>
                  </w:pPr>
                  <w:r w:rsidRPr="00424DE6">
                    <w:rPr>
                      <w:rFonts w:ascii="Arial" w:hAnsi="Arial" w:cs="Arial"/>
                      <w:b/>
                      <w:bCs/>
                      <w:snapToGrid/>
                      <w:color w:val="000000"/>
                      <w:lang w:val="es-UY"/>
                    </w:rPr>
                    <w:t>Total Presupuesto de Compras: Energía y Portland</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jc w:val="right"/>
                    <w:rPr>
                      <w:rFonts w:ascii="Arial" w:hAnsi="Arial" w:cs="Arial"/>
                      <w:b/>
                      <w:bCs/>
                      <w:snapToGrid/>
                      <w:color w:val="000000"/>
                    </w:rPr>
                  </w:pPr>
                  <w:r w:rsidRPr="00424DE6">
                    <w:rPr>
                      <w:rFonts w:ascii="Arial" w:hAnsi="Arial" w:cs="Arial"/>
                      <w:b/>
                      <w:bCs/>
                      <w:snapToGrid/>
                      <w:color w:val="000000"/>
                      <w:lang w:val="es-UY"/>
                    </w:rPr>
                    <w:t>89.530.668.265</w:t>
                  </w:r>
                </w:p>
              </w:tc>
            </w:tr>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jc w:val="both"/>
                    <w:rPr>
                      <w:rFonts w:ascii="Arial" w:hAnsi="Arial" w:cs="Arial"/>
                      <w:b/>
                      <w:bCs/>
                      <w:snapToGrid/>
                      <w:color w:val="000000"/>
                    </w:rPr>
                  </w:pPr>
                  <w:r w:rsidRPr="00424DE6">
                    <w:rPr>
                      <w:rFonts w:ascii="Arial" w:hAnsi="Arial" w:cs="Arial"/>
                      <w:b/>
                      <w:bCs/>
                      <w:snapToGrid/>
                      <w:color w:val="000000"/>
                      <w:lang w:val="es-UY"/>
                    </w:rPr>
                    <w:t>DÉFICIT PRIMARIO</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jc w:val="right"/>
                    <w:rPr>
                      <w:rFonts w:ascii="Arial" w:hAnsi="Arial" w:cs="Arial"/>
                      <w:b/>
                      <w:bCs/>
                      <w:snapToGrid/>
                      <w:color w:val="000000"/>
                    </w:rPr>
                  </w:pPr>
                  <w:r w:rsidRPr="00424DE6">
                    <w:rPr>
                      <w:rFonts w:ascii="Arial" w:hAnsi="Arial" w:cs="Arial"/>
                      <w:b/>
                      <w:bCs/>
                      <w:snapToGrid/>
                      <w:color w:val="000000"/>
                      <w:lang w:val="es-UY"/>
                    </w:rPr>
                    <w:t>-537.422.68</w:t>
                  </w:r>
                  <w:r>
                    <w:rPr>
                      <w:rFonts w:ascii="Arial" w:hAnsi="Arial" w:cs="Arial"/>
                      <w:b/>
                      <w:bCs/>
                      <w:snapToGrid/>
                      <w:color w:val="000000"/>
                      <w:lang w:val="es-UY"/>
                    </w:rPr>
                    <w:t>3</w:t>
                  </w:r>
                </w:p>
              </w:tc>
            </w:tr>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jc w:val="both"/>
                    <w:rPr>
                      <w:rFonts w:ascii="Arial" w:hAnsi="Arial" w:cs="Arial"/>
                      <w:b/>
                      <w:bCs/>
                      <w:snapToGrid/>
                      <w:color w:val="000000"/>
                    </w:rPr>
                  </w:pPr>
                  <w:r w:rsidRPr="00424DE6">
                    <w:rPr>
                      <w:rFonts w:ascii="Arial" w:hAnsi="Arial" w:cs="Arial"/>
                      <w:b/>
                      <w:bCs/>
                      <w:snapToGrid/>
                      <w:color w:val="000000"/>
                      <w:lang w:val="es-UY"/>
                    </w:rPr>
                    <w:t>FINANCIAMIENTO</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jc w:val="right"/>
                    <w:rPr>
                      <w:rFonts w:ascii="Arial" w:hAnsi="Arial" w:cs="Arial"/>
                      <w:b/>
                      <w:bCs/>
                      <w:snapToGrid/>
                      <w:color w:val="000000"/>
                    </w:rPr>
                  </w:pPr>
                  <w:r w:rsidRPr="00424DE6">
                    <w:rPr>
                      <w:rFonts w:ascii="Arial" w:hAnsi="Arial" w:cs="Arial"/>
                      <w:b/>
                      <w:bCs/>
                      <w:snapToGrid/>
                      <w:color w:val="000000"/>
                      <w:lang w:val="es-UY"/>
                    </w:rPr>
                    <w:t>537.422.68</w:t>
                  </w:r>
                  <w:r>
                    <w:rPr>
                      <w:rFonts w:ascii="Arial" w:hAnsi="Arial" w:cs="Arial"/>
                      <w:b/>
                      <w:bCs/>
                      <w:snapToGrid/>
                      <w:color w:val="000000"/>
                      <w:lang w:val="es-UY"/>
                    </w:rPr>
                    <w:t>3</w:t>
                  </w:r>
                </w:p>
              </w:tc>
            </w:tr>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jc w:val="both"/>
                    <w:rPr>
                      <w:rFonts w:ascii="Arial" w:hAnsi="Arial" w:cs="Arial"/>
                      <w:snapToGrid/>
                      <w:color w:val="000000"/>
                    </w:rPr>
                  </w:pPr>
                  <w:r w:rsidRPr="00424DE6">
                    <w:rPr>
                      <w:rFonts w:ascii="Arial" w:hAnsi="Arial" w:cs="Arial"/>
                      <w:snapToGrid/>
                      <w:color w:val="000000"/>
                      <w:lang w:val="es-UY"/>
                    </w:rPr>
                    <w:t>Fondos Propios</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jc w:val="right"/>
                    <w:rPr>
                      <w:rFonts w:ascii="Arial" w:hAnsi="Arial" w:cs="Arial"/>
                      <w:snapToGrid/>
                      <w:color w:val="000000"/>
                    </w:rPr>
                  </w:pPr>
                  <w:r w:rsidRPr="00424DE6">
                    <w:rPr>
                      <w:rFonts w:ascii="Arial" w:hAnsi="Arial" w:cs="Arial"/>
                      <w:snapToGrid/>
                      <w:color w:val="000000"/>
                      <w:lang w:val="es-UY"/>
                    </w:rPr>
                    <w:t>537.422.68</w:t>
                  </w:r>
                  <w:r>
                    <w:rPr>
                      <w:rFonts w:ascii="Arial" w:hAnsi="Arial" w:cs="Arial"/>
                      <w:snapToGrid/>
                      <w:color w:val="000000"/>
                      <w:lang w:val="es-UY"/>
                    </w:rPr>
                    <w:t>3</w:t>
                  </w:r>
                </w:p>
              </w:tc>
            </w:tr>
            <w:tr w:rsidR="007D767F" w:rsidRPr="00424DE6" w:rsidTr="006C4A75">
              <w:trPr>
                <w:trHeight w:val="300"/>
              </w:trPr>
              <w:tc>
                <w:tcPr>
                  <w:tcW w:w="5328" w:type="dxa"/>
                  <w:tcBorders>
                    <w:top w:val="nil"/>
                    <w:left w:val="nil"/>
                    <w:bottom w:val="nil"/>
                    <w:right w:val="nil"/>
                  </w:tcBorders>
                  <w:shd w:val="clear" w:color="000000" w:fill="FFFFFF"/>
                  <w:noWrap/>
                  <w:vAlign w:val="center"/>
                  <w:hideMark/>
                </w:tcPr>
                <w:p w:rsidR="007D767F" w:rsidRPr="00424DE6" w:rsidRDefault="007D767F" w:rsidP="00F62D69">
                  <w:pPr>
                    <w:widowControl/>
                    <w:jc w:val="both"/>
                    <w:rPr>
                      <w:rFonts w:ascii="Arial" w:hAnsi="Arial" w:cs="Arial"/>
                      <w:b/>
                      <w:bCs/>
                      <w:snapToGrid/>
                      <w:color w:val="000000"/>
                    </w:rPr>
                  </w:pPr>
                  <w:r w:rsidRPr="00424DE6">
                    <w:rPr>
                      <w:rFonts w:ascii="Arial" w:hAnsi="Arial" w:cs="Arial"/>
                      <w:b/>
                      <w:bCs/>
                      <w:snapToGrid/>
                      <w:color w:val="000000"/>
                      <w:lang w:val="es-UY"/>
                    </w:rPr>
                    <w:t>DEFICIT FINAL</w:t>
                  </w:r>
                </w:p>
              </w:tc>
              <w:tc>
                <w:tcPr>
                  <w:tcW w:w="1715" w:type="dxa"/>
                  <w:tcBorders>
                    <w:top w:val="nil"/>
                    <w:left w:val="nil"/>
                    <w:bottom w:val="nil"/>
                    <w:right w:val="nil"/>
                  </w:tcBorders>
                  <w:shd w:val="clear" w:color="000000" w:fill="FFFFFF"/>
                  <w:noWrap/>
                  <w:vAlign w:val="center"/>
                  <w:hideMark/>
                </w:tcPr>
                <w:p w:rsidR="007D767F" w:rsidRPr="00424DE6" w:rsidRDefault="007D767F" w:rsidP="00F62D69">
                  <w:pPr>
                    <w:widowControl/>
                    <w:jc w:val="right"/>
                    <w:rPr>
                      <w:rFonts w:ascii="Arial" w:hAnsi="Arial" w:cs="Arial"/>
                      <w:b/>
                      <w:bCs/>
                      <w:snapToGrid/>
                      <w:color w:val="000000"/>
                    </w:rPr>
                  </w:pPr>
                  <w:r w:rsidRPr="00424DE6">
                    <w:rPr>
                      <w:rFonts w:ascii="Arial" w:hAnsi="Arial" w:cs="Arial"/>
                      <w:b/>
                      <w:bCs/>
                      <w:snapToGrid/>
                      <w:color w:val="000000"/>
                      <w:lang w:val="es-UY"/>
                    </w:rPr>
                    <w:t>0</w:t>
                  </w:r>
                </w:p>
              </w:tc>
            </w:tr>
          </w:tbl>
          <w:p w:rsidR="007D767F" w:rsidRPr="00FE644A" w:rsidRDefault="007D767F" w:rsidP="00F62D69">
            <w:pPr>
              <w:spacing w:line="360" w:lineRule="auto"/>
              <w:jc w:val="both"/>
              <w:rPr>
                <w:rFonts w:ascii="Arial" w:hAnsi="Arial" w:cs="Arial"/>
                <w:b/>
                <w:bCs/>
              </w:rPr>
            </w:pPr>
            <w:r w:rsidRPr="00FE644A">
              <w:rPr>
                <w:rFonts w:ascii="Arial" w:hAnsi="Arial" w:cs="Arial"/>
                <w:b/>
                <w:bCs/>
              </w:rPr>
              <w:t xml:space="preserve">                                                                </w:t>
            </w:r>
          </w:p>
        </w:tc>
        <w:tc>
          <w:tcPr>
            <w:tcW w:w="1642" w:type="dxa"/>
            <w:vAlign w:val="bottom"/>
          </w:tcPr>
          <w:p w:rsidR="007D767F" w:rsidRPr="00FE644A" w:rsidRDefault="007D767F" w:rsidP="00F62D69">
            <w:pPr>
              <w:spacing w:line="360" w:lineRule="auto"/>
              <w:jc w:val="both"/>
              <w:rPr>
                <w:rFonts w:ascii="Arial" w:hAnsi="Arial" w:cs="Arial"/>
              </w:rPr>
            </w:pPr>
          </w:p>
        </w:tc>
      </w:tr>
      <w:tr w:rsidR="007D767F" w:rsidRPr="00DB61E5" w:rsidTr="00F62D69">
        <w:trPr>
          <w:trHeight w:val="315"/>
        </w:trPr>
        <w:tc>
          <w:tcPr>
            <w:tcW w:w="146" w:type="dxa"/>
            <w:tcBorders>
              <w:top w:val="nil"/>
              <w:left w:val="nil"/>
              <w:bottom w:val="nil"/>
              <w:right w:val="nil"/>
            </w:tcBorders>
            <w:shd w:val="clear" w:color="auto" w:fill="auto"/>
            <w:vAlign w:val="center"/>
          </w:tcPr>
          <w:p w:rsidR="007D767F" w:rsidRPr="00DB61E5" w:rsidRDefault="007D767F" w:rsidP="00F62D69">
            <w:pPr>
              <w:spacing w:line="360" w:lineRule="auto"/>
              <w:jc w:val="both"/>
              <w:rPr>
                <w:rFonts w:ascii="Arial" w:hAnsi="Arial" w:cs="Arial"/>
                <w:bCs/>
              </w:rPr>
            </w:pPr>
          </w:p>
        </w:tc>
        <w:tc>
          <w:tcPr>
            <w:tcW w:w="6986" w:type="dxa"/>
            <w:vAlign w:val="center"/>
          </w:tcPr>
          <w:p w:rsidR="007D767F" w:rsidRPr="00DB61E5" w:rsidRDefault="007D767F" w:rsidP="00F62D69">
            <w:pPr>
              <w:spacing w:line="360" w:lineRule="auto"/>
              <w:jc w:val="both"/>
              <w:rPr>
                <w:rFonts w:ascii="Arial" w:hAnsi="Arial" w:cs="Arial"/>
                <w:bCs/>
              </w:rPr>
            </w:pPr>
          </w:p>
        </w:tc>
        <w:tc>
          <w:tcPr>
            <w:tcW w:w="1642" w:type="dxa"/>
            <w:vAlign w:val="center"/>
          </w:tcPr>
          <w:p w:rsidR="007D767F" w:rsidRPr="00DB61E5" w:rsidRDefault="007D767F" w:rsidP="00F62D69">
            <w:pPr>
              <w:spacing w:line="360" w:lineRule="auto"/>
              <w:jc w:val="both"/>
              <w:rPr>
                <w:rFonts w:ascii="Arial" w:hAnsi="Arial" w:cs="Arial"/>
                <w:bCs/>
              </w:rPr>
            </w:pPr>
          </w:p>
        </w:tc>
        <w:tc>
          <w:tcPr>
            <w:tcW w:w="0" w:type="auto"/>
            <w:vAlign w:val="bottom"/>
          </w:tcPr>
          <w:p w:rsidR="007D767F" w:rsidRPr="00DB61E5" w:rsidRDefault="007D767F" w:rsidP="00F62D69">
            <w:pPr>
              <w:spacing w:line="360" w:lineRule="auto"/>
              <w:jc w:val="both"/>
              <w:rPr>
                <w:rFonts w:ascii="Arial" w:hAnsi="Arial" w:cs="Arial"/>
              </w:rPr>
            </w:pPr>
          </w:p>
        </w:tc>
      </w:tr>
    </w:tbl>
    <w:p w:rsidR="007D767F" w:rsidRDefault="007D767F" w:rsidP="00BA5B22">
      <w:pPr>
        <w:tabs>
          <w:tab w:val="left" w:pos="5830"/>
        </w:tabs>
        <w:spacing w:line="360" w:lineRule="auto"/>
        <w:jc w:val="both"/>
        <w:rPr>
          <w:rFonts w:ascii="Arial" w:hAnsi="Arial" w:cs="Arial"/>
          <w:b/>
          <w:bCs/>
        </w:rPr>
      </w:pPr>
    </w:p>
    <w:p w:rsidR="007D767F" w:rsidRPr="00A81244" w:rsidRDefault="007D767F" w:rsidP="00BA5B22">
      <w:pPr>
        <w:spacing w:line="360" w:lineRule="auto"/>
        <w:jc w:val="both"/>
        <w:rPr>
          <w:rFonts w:ascii="Arial" w:hAnsi="Arial" w:cs="Arial"/>
          <w:sz w:val="24"/>
          <w:szCs w:val="24"/>
        </w:rPr>
      </w:pPr>
      <w:r w:rsidRPr="00A81244">
        <w:rPr>
          <w:rFonts w:ascii="Arial" w:hAnsi="Arial" w:cs="Arial"/>
          <w:b/>
          <w:bCs/>
          <w:sz w:val="24"/>
          <w:szCs w:val="24"/>
        </w:rPr>
        <w:t>1.3)</w:t>
      </w:r>
      <w:r w:rsidRPr="00A81244">
        <w:rPr>
          <w:rFonts w:ascii="Arial" w:hAnsi="Arial" w:cs="Arial"/>
          <w:sz w:val="24"/>
          <w:szCs w:val="24"/>
        </w:rPr>
        <w:t xml:space="preserve"> De acuerdo con lo exp</w:t>
      </w:r>
      <w:r>
        <w:rPr>
          <w:rFonts w:ascii="Arial" w:hAnsi="Arial" w:cs="Arial"/>
          <w:sz w:val="24"/>
          <w:szCs w:val="24"/>
        </w:rPr>
        <w:t>uesto</w:t>
      </w:r>
      <w:r w:rsidRPr="00A81244">
        <w:rPr>
          <w:rFonts w:ascii="Arial" w:hAnsi="Arial" w:cs="Arial"/>
          <w:sz w:val="24"/>
          <w:szCs w:val="24"/>
        </w:rPr>
        <w:t xml:space="preserve"> anteriormente para el Ejercicio 2017 los </w:t>
      </w:r>
      <w:r w:rsidRPr="00A81244">
        <w:rPr>
          <w:rFonts w:ascii="Arial" w:hAnsi="Arial" w:cs="Arial"/>
          <w:spacing w:val="-14"/>
          <w:sz w:val="24"/>
          <w:szCs w:val="24"/>
        </w:rPr>
        <w:t xml:space="preserve">Ingresos proyectados son de $ </w:t>
      </w:r>
      <w:r w:rsidRPr="00A81244">
        <w:rPr>
          <w:rFonts w:ascii="Arial" w:hAnsi="Arial" w:cs="Arial"/>
          <w:bCs/>
          <w:snapToGrid/>
          <w:color w:val="000000"/>
          <w:sz w:val="24"/>
          <w:szCs w:val="24"/>
          <w:lang w:val="es-UY" w:eastAsia="es-UY"/>
        </w:rPr>
        <w:t>88.993.245.581</w:t>
      </w:r>
      <w:r w:rsidRPr="00A81244">
        <w:rPr>
          <w:rFonts w:ascii="Arial" w:hAnsi="Arial" w:cs="Arial"/>
          <w:spacing w:val="-14"/>
          <w:sz w:val="24"/>
          <w:szCs w:val="24"/>
        </w:rPr>
        <w:t>y los Egresos de $</w:t>
      </w:r>
      <w:r w:rsidRPr="00A81244">
        <w:rPr>
          <w:rFonts w:ascii="Arial" w:hAnsi="Arial" w:cs="Arial"/>
          <w:sz w:val="24"/>
          <w:szCs w:val="24"/>
        </w:rPr>
        <w:t xml:space="preserve"> </w:t>
      </w:r>
      <w:r w:rsidRPr="00A81244">
        <w:rPr>
          <w:rFonts w:ascii="Arial" w:hAnsi="Arial" w:cs="Arial"/>
          <w:bCs/>
          <w:snapToGrid/>
          <w:color w:val="000000"/>
          <w:sz w:val="24"/>
          <w:szCs w:val="24"/>
          <w:lang w:val="es-UY" w:eastAsia="es-UY"/>
        </w:rPr>
        <w:t>89.</w:t>
      </w:r>
      <w:r>
        <w:rPr>
          <w:rFonts w:ascii="Arial" w:hAnsi="Arial" w:cs="Arial"/>
          <w:bCs/>
          <w:snapToGrid/>
          <w:color w:val="000000"/>
          <w:sz w:val="24"/>
          <w:szCs w:val="24"/>
          <w:lang w:val="es-UY" w:eastAsia="es-UY"/>
        </w:rPr>
        <w:t>530.668.264</w:t>
      </w:r>
      <w:r w:rsidRPr="00A81244">
        <w:rPr>
          <w:rFonts w:ascii="Arial" w:hAnsi="Arial" w:cs="Arial"/>
          <w:bCs/>
          <w:sz w:val="24"/>
          <w:szCs w:val="24"/>
        </w:rPr>
        <w:t>,</w:t>
      </w:r>
      <w:r w:rsidRPr="00A81244">
        <w:rPr>
          <w:rFonts w:ascii="Arial" w:hAnsi="Arial" w:cs="Arial"/>
          <w:sz w:val="24"/>
          <w:szCs w:val="24"/>
        </w:rPr>
        <w:t xml:space="preserve"> </w:t>
      </w:r>
      <w:r>
        <w:rPr>
          <w:rFonts w:ascii="Arial" w:hAnsi="Arial" w:cs="Arial"/>
          <w:sz w:val="24"/>
          <w:szCs w:val="24"/>
        </w:rPr>
        <w:t xml:space="preserve">  </w:t>
      </w:r>
      <w:r w:rsidRPr="00A81244">
        <w:rPr>
          <w:rFonts w:ascii="Arial" w:hAnsi="Arial" w:cs="Arial"/>
          <w:sz w:val="24"/>
          <w:szCs w:val="24"/>
        </w:rPr>
        <w:t>re</w:t>
      </w:r>
      <w:r w:rsidRPr="00A81244">
        <w:rPr>
          <w:rFonts w:ascii="Arial" w:hAnsi="Arial" w:cs="Arial"/>
          <w:sz w:val="24"/>
          <w:szCs w:val="24"/>
        </w:rPr>
        <w:softHyphen/>
        <w:t xml:space="preserve">sultando en principio, un Déficit Presupuestal de $ </w:t>
      </w:r>
      <w:r w:rsidRPr="00A81244">
        <w:rPr>
          <w:rFonts w:ascii="Arial" w:hAnsi="Arial" w:cs="Arial"/>
          <w:snapToGrid/>
          <w:color w:val="000000"/>
          <w:sz w:val="24"/>
          <w:szCs w:val="24"/>
          <w:lang w:val="es-UY" w:eastAsia="es-UY"/>
        </w:rPr>
        <w:t>537.422.68</w:t>
      </w:r>
      <w:r>
        <w:rPr>
          <w:rFonts w:ascii="Arial" w:hAnsi="Arial" w:cs="Arial"/>
          <w:snapToGrid/>
          <w:color w:val="000000"/>
          <w:sz w:val="24"/>
          <w:szCs w:val="24"/>
          <w:lang w:val="es-UY" w:eastAsia="es-UY"/>
        </w:rPr>
        <w:t>3</w:t>
      </w:r>
      <w:r w:rsidRPr="00A81244">
        <w:rPr>
          <w:rFonts w:ascii="Arial" w:hAnsi="Arial" w:cs="Arial"/>
          <w:sz w:val="24"/>
          <w:szCs w:val="24"/>
        </w:rPr>
        <w:t>. El mismo se proyec</w:t>
      </w:r>
      <w:r>
        <w:rPr>
          <w:rFonts w:ascii="Arial" w:hAnsi="Arial" w:cs="Arial"/>
          <w:sz w:val="24"/>
          <w:szCs w:val="24"/>
        </w:rPr>
        <w:t xml:space="preserve">ta financiar con fondos propios. Según  consta a fojas 228 del Proyecto de Presupuesto que los saldos de caja promedio del ente ascienden a $2:622.000, importe que no </w:t>
      </w:r>
      <w:proofErr w:type="gramStart"/>
      <w:r>
        <w:rPr>
          <w:rFonts w:ascii="Arial" w:hAnsi="Arial" w:cs="Arial"/>
          <w:sz w:val="24"/>
          <w:szCs w:val="24"/>
        </w:rPr>
        <w:t>es</w:t>
      </w:r>
      <w:proofErr w:type="gramEnd"/>
      <w:r>
        <w:rPr>
          <w:rFonts w:ascii="Arial" w:hAnsi="Arial" w:cs="Arial"/>
          <w:sz w:val="24"/>
          <w:szCs w:val="24"/>
        </w:rPr>
        <w:t xml:space="preserve"> suficiente para financiar el déficit proyectado.</w:t>
      </w:r>
    </w:p>
    <w:p w:rsidR="007D767F" w:rsidRPr="00BF7498" w:rsidRDefault="007D767F" w:rsidP="00BA5B22">
      <w:pPr>
        <w:pStyle w:val="Textoindependiente2"/>
        <w:rPr>
          <w:b/>
        </w:rPr>
      </w:pPr>
    </w:p>
    <w:p w:rsidR="007D767F" w:rsidRPr="005A5779" w:rsidRDefault="007D767F" w:rsidP="00BA5B22">
      <w:pPr>
        <w:pStyle w:val="Textoindependiente3"/>
        <w:numPr>
          <w:ilvl w:val="0"/>
          <w:numId w:val="1"/>
        </w:numPr>
        <w:suppressAutoHyphens w:val="0"/>
        <w:rPr>
          <w:rFonts w:cs="Arial"/>
          <w:b/>
          <w:color w:val="000000" w:themeColor="text1"/>
        </w:rPr>
      </w:pPr>
      <w:r w:rsidRPr="005A5779">
        <w:rPr>
          <w:rFonts w:cs="Arial"/>
          <w:b/>
          <w:color w:val="000000" w:themeColor="text1"/>
        </w:rPr>
        <w:t>CUMPLIMIENTO DE NORMAS CONSTITUCIONALES, LEGALES Y REGLAMENTARIAS</w:t>
      </w:r>
    </w:p>
    <w:p w:rsidR="007D767F" w:rsidRPr="00C96FF9" w:rsidRDefault="007D767F" w:rsidP="00BA5B22">
      <w:pPr>
        <w:pStyle w:val="Textoindependiente3"/>
        <w:suppressAutoHyphens w:val="0"/>
        <w:ind w:left="720"/>
        <w:rPr>
          <w:rFonts w:cs="Arial"/>
          <w:b/>
          <w:color w:val="000000" w:themeColor="text1"/>
        </w:rPr>
      </w:pPr>
    </w:p>
    <w:p w:rsidR="007D767F" w:rsidRPr="00C96FF9" w:rsidRDefault="007D767F" w:rsidP="00BA5B22">
      <w:pPr>
        <w:pStyle w:val="Textoindependiente3"/>
        <w:suppressAutoHyphens w:val="0"/>
        <w:spacing w:line="360" w:lineRule="auto"/>
        <w:rPr>
          <w:rFonts w:cs="Arial"/>
          <w:color w:val="000000" w:themeColor="text1"/>
        </w:rPr>
      </w:pPr>
      <w:r w:rsidRPr="00C96FF9">
        <w:rPr>
          <w:rFonts w:cs="Arial"/>
          <w:b/>
          <w:color w:val="000000" w:themeColor="text1"/>
        </w:rPr>
        <w:t>2.1)</w:t>
      </w:r>
      <w:r w:rsidRPr="00BF7498">
        <w:rPr>
          <w:rFonts w:cs="Arial"/>
          <w:color w:val="000000" w:themeColor="text1"/>
        </w:rPr>
        <w:t xml:space="preserve"> </w:t>
      </w:r>
      <w:r w:rsidRPr="00C96FF9">
        <w:rPr>
          <w:rFonts w:cs="Arial"/>
          <w:color w:val="000000" w:themeColor="text1"/>
        </w:rPr>
        <w:t>El Proyecto de Presupuesto remitido fue aprobado por el Directorio de ANCAP por Resolución N° 535/7/2016 de fecha 28 de julio de 2016 remitido por Oficio N° 166-2016-D/250834/1, el mismo ingresó a este Tribunal para su consideración el 29/07/2016, dentro del plazo previsto por el Artículo 221 (Inciso 1 in fine) de la Constitución de la República, dándosele entrada oficial el 01/09/2016, conforme lo establece la Ordenanza N° 51 de fecha 22/11/72.</w:t>
      </w:r>
    </w:p>
    <w:p w:rsidR="007D767F" w:rsidRDefault="007D767F" w:rsidP="00BA5B22">
      <w:pPr>
        <w:tabs>
          <w:tab w:val="left" w:pos="180"/>
          <w:tab w:val="num" w:pos="567"/>
        </w:tabs>
        <w:spacing w:line="360" w:lineRule="auto"/>
        <w:jc w:val="both"/>
        <w:rPr>
          <w:rFonts w:ascii="Arial" w:hAnsi="Arial" w:cs="Arial"/>
          <w:sz w:val="24"/>
          <w:szCs w:val="24"/>
        </w:rPr>
      </w:pPr>
      <w:r w:rsidRPr="00C96FF9">
        <w:rPr>
          <w:rFonts w:ascii="Arial" w:hAnsi="Arial" w:cs="Arial"/>
          <w:b/>
          <w:sz w:val="24"/>
          <w:szCs w:val="24"/>
        </w:rPr>
        <w:t>2.2)</w:t>
      </w:r>
      <w:r w:rsidRPr="00C96FF9">
        <w:rPr>
          <w:rFonts w:ascii="Arial" w:hAnsi="Arial" w:cs="Arial"/>
          <w:sz w:val="24"/>
          <w:szCs w:val="24"/>
        </w:rPr>
        <w:t xml:space="preserve"> </w:t>
      </w:r>
      <w:r w:rsidRPr="00C96FF9">
        <w:rPr>
          <w:rFonts w:ascii="Arial" w:hAnsi="Arial" w:cs="Arial"/>
          <w:bCs/>
          <w:sz w:val="24"/>
          <w:szCs w:val="24"/>
        </w:rPr>
        <w:t>El Proyecto de Presupuesto 201</w:t>
      </w:r>
      <w:r>
        <w:rPr>
          <w:rFonts w:ascii="Arial" w:hAnsi="Arial" w:cs="Arial"/>
          <w:bCs/>
          <w:sz w:val="24"/>
          <w:szCs w:val="24"/>
        </w:rPr>
        <w:t>7</w:t>
      </w:r>
      <w:r w:rsidRPr="00C96FF9">
        <w:rPr>
          <w:rFonts w:ascii="Arial" w:hAnsi="Arial" w:cs="Arial"/>
          <w:bCs/>
          <w:sz w:val="24"/>
          <w:szCs w:val="24"/>
        </w:rPr>
        <w:t xml:space="preserve"> </w:t>
      </w:r>
      <w:r>
        <w:rPr>
          <w:rFonts w:ascii="Arial" w:hAnsi="Arial" w:cs="Arial"/>
          <w:bCs/>
          <w:sz w:val="24"/>
          <w:szCs w:val="24"/>
        </w:rPr>
        <w:t xml:space="preserve">no </w:t>
      </w:r>
      <w:r w:rsidRPr="00C96FF9">
        <w:rPr>
          <w:rFonts w:ascii="Arial" w:hAnsi="Arial" w:cs="Arial"/>
          <w:bCs/>
          <w:sz w:val="24"/>
          <w:szCs w:val="24"/>
        </w:rPr>
        <w:t xml:space="preserve">se presenta en forma comparativa con el Presupuesto 2014 aprobado por </w:t>
      </w:r>
      <w:r>
        <w:rPr>
          <w:rFonts w:ascii="Arial" w:hAnsi="Arial" w:cs="Arial"/>
          <w:bCs/>
          <w:sz w:val="24"/>
          <w:szCs w:val="24"/>
        </w:rPr>
        <w:t>Decreto</w:t>
      </w:r>
      <w:r w:rsidRPr="00C96FF9">
        <w:rPr>
          <w:rFonts w:ascii="Arial" w:hAnsi="Arial" w:cs="Arial"/>
          <w:bCs/>
          <w:sz w:val="24"/>
          <w:szCs w:val="24"/>
        </w:rPr>
        <w:t xml:space="preserve"> Nº 347/13 del 24/10/13, de acuerdo a lo establecido por el Artículo 216 Inciso 3º de la Constitución de la República. Este último es el presupuesto </w:t>
      </w:r>
      <w:r w:rsidRPr="00C96FF9">
        <w:rPr>
          <w:rFonts w:ascii="Arial" w:hAnsi="Arial" w:cs="Arial"/>
          <w:sz w:val="24"/>
          <w:szCs w:val="24"/>
        </w:rPr>
        <w:t>vigente por prórroga automática, conforme a la disposición constitucional contenida en el Artículo 228 de la Constitución de la República</w:t>
      </w:r>
      <w:r>
        <w:rPr>
          <w:rFonts w:ascii="Arial" w:hAnsi="Arial" w:cs="Arial"/>
          <w:sz w:val="24"/>
          <w:szCs w:val="24"/>
        </w:rPr>
        <w:t>.</w:t>
      </w:r>
    </w:p>
    <w:p w:rsidR="004741D0" w:rsidRPr="00C96FF9" w:rsidRDefault="004741D0" w:rsidP="00BA5B22">
      <w:pPr>
        <w:tabs>
          <w:tab w:val="left" w:pos="180"/>
          <w:tab w:val="num" w:pos="567"/>
        </w:tabs>
        <w:spacing w:line="360" w:lineRule="auto"/>
        <w:jc w:val="both"/>
        <w:rPr>
          <w:rFonts w:ascii="Arial" w:hAnsi="Arial" w:cs="Arial"/>
          <w:sz w:val="24"/>
          <w:szCs w:val="24"/>
        </w:rPr>
      </w:pPr>
    </w:p>
    <w:p w:rsidR="007D767F" w:rsidRPr="0032676A" w:rsidRDefault="007D767F" w:rsidP="00BA5B22">
      <w:pPr>
        <w:tabs>
          <w:tab w:val="left" w:pos="180"/>
          <w:tab w:val="num" w:pos="567"/>
        </w:tabs>
        <w:spacing w:line="360" w:lineRule="auto"/>
        <w:jc w:val="both"/>
        <w:rPr>
          <w:rFonts w:ascii="Arial" w:hAnsi="Arial" w:cs="Arial"/>
          <w:sz w:val="24"/>
          <w:szCs w:val="24"/>
        </w:rPr>
      </w:pPr>
      <w:r w:rsidRPr="00C96FF9">
        <w:rPr>
          <w:rFonts w:ascii="Arial" w:hAnsi="Arial" w:cs="Arial"/>
          <w:b/>
          <w:bCs/>
          <w:sz w:val="24"/>
          <w:szCs w:val="24"/>
        </w:rPr>
        <w:t xml:space="preserve">2.3) </w:t>
      </w:r>
      <w:r w:rsidRPr="0032676A">
        <w:rPr>
          <w:rFonts w:ascii="Arial" w:hAnsi="Arial" w:cs="Arial"/>
          <w:bCs/>
          <w:sz w:val="24"/>
          <w:szCs w:val="24"/>
        </w:rPr>
        <w:t>Las planilla</w:t>
      </w:r>
      <w:r>
        <w:rPr>
          <w:rFonts w:ascii="Arial" w:hAnsi="Arial" w:cs="Arial"/>
          <w:bCs/>
          <w:sz w:val="24"/>
          <w:szCs w:val="24"/>
        </w:rPr>
        <w:t>s</w:t>
      </w:r>
      <w:r w:rsidRPr="0032676A">
        <w:rPr>
          <w:rFonts w:ascii="Arial" w:hAnsi="Arial" w:cs="Arial"/>
          <w:bCs/>
          <w:sz w:val="24"/>
          <w:szCs w:val="24"/>
        </w:rPr>
        <w:t xml:space="preserve"> que se adjuntan</w:t>
      </w:r>
      <w:r>
        <w:rPr>
          <w:rFonts w:ascii="Arial" w:hAnsi="Arial" w:cs="Arial"/>
          <w:bCs/>
          <w:sz w:val="24"/>
          <w:szCs w:val="24"/>
        </w:rPr>
        <w:t xml:space="preserve"> en el Anexo de Presupuesto de Inversiones </w:t>
      </w:r>
      <w:r w:rsidRPr="0032676A">
        <w:rPr>
          <w:rFonts w:ascii="Arial" w:hAnsi="Arial" w:cs="Arial"/>
          <w:bCs/>
          <w:sz w:val="24"/>
          <w:szCs w:val="24"/>
        </w:rPr>
        <w:t xml:space="preserve"> no exponen la previsión porcentual de planes y metas para el quinquenio </w:t>
      </w:r>
      <w:r>
        <w:rPr>
          <w:rFonts w:ascii="Arial" w:hAnsi="Arial" w:cs="Arial"/>
          <w:bCs/>
          <w:sz w:val="24"/>
          <w:szCs w:val="24"/>
        </w:rPr>
        <w:t>de acuerdo a lo previsto en</w:t>
      </w:r>
      <w:r w:rsidRPr="0032676A">
        <w:rPr>
          <w:rFonts w:ascii="Arial" w:hAnsi="Arial" w:cs="Arial"/>
          <w:bCs/>
          <w:sz w:val="24"/>
          <w:szCs w:val="24"/>
        </w:rPr>
        <w:t xml:space="preserve"> el </w:t>
      </w:r>
      <w:r>
        <w:rPr>
          <w:rFonts w:ascii="Arial" w:hAnsi="Arial" w:cs="Arial"/>
          <w:bCs/>
          <w:sz w:val="24"/>
          <w:szCs w:val="24"/>
        </w:rPr>
        <w:t>A</w:t>
      </w:r>
      <w:r w:rsidRPr="0032676A">
        <w:rPr>
          <w:rFonts w:ascii="Arial" w:hAnsi="Arial" w:cs="Arial"/>
          <w:bCs/>
          <w:sz w:val="24"/>
          <w:szCs w:val="24"/>
        </w:rPr>
        <w:t>rt</w:t>
      </w:r>
      <w:r>
        <w:rPr>
          <w:rFonts w:ascii="Arial" w:hAnsi="Arial" w:cs="Arial"/>
          <w:bCs/>
          <w:sz w:val="24"/>
          <w:szCs w:val="24"/>
        </w:rPr>
        <w:t>ículo</w:t>
      </w:r>
      <w:r w:rsidRPr="0032676A">
        <w:rPr>
          <w:rFonts w:ascii="Arial" w:hAnsi="Arial" w:cs="Arial"/>
          <w:bCs/>
          <w:sz w:val="24"/>
          <w:szCs w:val="24"/>
        </w:rPr>
        <w:t xml:space="preserve"> 4 de la </w:t>
      </w:r>
      <w:r>
        <w:rPr>
          <w:rFonts w:ascii="Arial" w:hAnsi="Arial" w:cs="Arial"/>
          <w:bCs/>
          <w:sz w:val="24"/>
          <w:szCs w:val="24"/>
        </w:rPr>
        <w:t>L</w:t>
      </w:r>
      <w:r w:rsidRPr="0032676A">
        <w:rPr>
          <w:rFonts w:ascii="Arial" w:hAnsi="Arial" w:cs="Arial"/>
          <w:bCs/>
          <w:sz w:val="24"/>
          <w:szCs w:val="24"/>
        </w:rPr>
        <w:t>ey 16.211, de 10 de octubre de 1991.</w:t>
      </w:r>
    </w:p>
    <w:p w:rsidR="007D767F" w:rsidRPr="00C96FF9" w:rsidRDefault="007D767F" w:rsidP="00BA5B22">
      <w:pPr>
        <w:suppressAutoHyphens/>
        <w:spacing w:line="360" w:lineRule="auto"/>
        <w:jc w:val="both"/>
        <w:rPr>
          <w:bCs/>
          <w:sz w:val="24"/>
          <w:szCs w:val="24"/>
        </w:rPr>
      </w:pPr>
      <w:r w:rsidRPr="00C96FF9">
        <w:rPr>
          <w:rFonts w:ascii="Arial" w:hAnsi="Arial" w:cs="Arial"/>
          <w:b/>
          <w:sz w:val="24"/>
          <w:szCs w:val="24"/>
        </w:rPr>
        <w:t xml:space="preserve">2.4) </w:t>
      </w:r>
      <w:r w:rsidRPr="00C96FF9">
        <w:rPr>
          <w:rFonts w:ascii="Arial" w:hAnsi="Arial" w:cs="Arial"/>
          <w:sz w:val="24"/>
          <w:szCs w:val="24"/>
        </w:rPr>
        <w:t xml:space="preserve">En la Resolución de Directorio Nº </w:t>
      </w:r>
      <w:r>
        <w:rPr>
          <w:rFonts w:ascii="Arial" w:hAnsi="Arial" w:cs="Arial"/>
          <w:sz w:val="24"/>
          <w:szCs w:val="24"/>
        </w:rPr>
        <w:t>535/7/2016</w:t>
      </w:r>
      <w:r w:rsidRPr="00C96FF9">
        <w:rPr>
          <w:rFonts w:ascii="Arial" w:hAnsi="Arial" w:cs="Arial"/>
          <w:sz w:val="24"/>
          <w:szCs w:val="24"/>
        </w:rPr>
        <w:t>, aprobatoria del Proyecto de Presupuesto 201</w:t>
      </w:r>
      <w:r>
        <w:rPr>
          <w:rFonts w:ascii="Arial" w:hAnsi="Arial" w:cs="Arial"/>
          <w:sz w:val="24"/>
          <w:szCs w:val="24"/>
        </w:rPr>
        <w:t>7</w:t>
      </w:r>
      <w:r w:rsidRPr="00C96FF9">
        <w:rPr>
          <w:rFonts w:ascii="Arial" w:hAnsi="Arial" w:cs="Arial"/>
          <w:sz w:val="24"/>
          <w:szCs w:val="24"/>
        </w:rPr>
        <w:t xml:space="preserve">, no se establece el importe de los ingresos, egresos y </w:t>
      </w:r>
      <w:r>
        <w:rPr>
          <w:rFonts w:ascii="Arial" w:hAnsi="Arial" w:cs="Arial"/>
          <w:sz w:val="24"/>
          <w:szCs w:val="24"/>
        </w:rPr>
        <w:t xml:space="preserve">resultado presupuestal </w:t>
      </w:r>
      <w:r w:rsidRPr="00C96FF9">
        <w:rPr>
          <w:rFonts w:ascii="Arial" w:hAnsi="Arial" w:cs="Arial"/>
          <w:sz w:val="24"/>
          <w:szCs w:val="24"/>
        </w:rPr>
        <w:t>que se aprueban</w:t>
      </w:r>
      <w:r>
        <w:rPr>
          <w:rFonts w:ascii="Arial" w:hAnsi="Arial" w:cs="Arial"/>
          <w:sz w:val="24"/>
          <w:szCs w:val="24"/>
        </w:rPr>
        <w:t>. El Proyecto de Presupuesto y los anexos remitidos a este Tribunal no fueron firmados por las autoridades competentes.</w:t>
      </w:r>
    </w:p>
    <w:p w:rsidR="007D767F" w:rsidRDefault="007D767F" w:rsidP="00BA5B22">
      <w:pPr>
        <w:tabs>
          <w:tab w:val="left" w:pos="180"/>
          <w:tab w:val="num" w:pos="567"/>
        </w:tabs>
        <w:spacing w:line="360" w:lineRule="auto"/>
        <w:jc w:val="both"/>
        <w:rPr>
          <w:rFonts w:ascii="Arial" w:hAnsi="Arial" w:cs="Arial"/>
          <w:sz w:val="24"/>
          <w:szCs w:val="24"/>
        </w:rPr>
      </w:pPr>
      <w:r w:rsidRPr="00C96FF9">
        <w:rPr>
          <w:rFonts w:ascii="Arial" w:hAnsi="Arial" w:cs="Arial"/>
          <w:b/>
          <w:sz w:val="24"/>
          <w:szCs w:val="24"/>
        </w:rPr>
        <w:t>2.5)</w:t>
      </w:r>
      <w:r w:rsidRPr="00C96FF9">
        <w:rPr>
          <w:rFonts w:ascii="Arial" w:hAnsi="Arial" w:cs="Arial"/>
          <w:sz w:val="24"/>
          <w:szCs w:val="24"/>
        </w:rPr>
        <w:t xml:space="preserve"> Con relación a</w:t>
      </w:r>
      <w:r>
        <w:rPr>
          <w:rFonts w:ascii="Arial" w:hAnsi="Arial" w:cs="Arial"/>
          <w:sz w:val="24"/>
          <w:szCs w:val="24"/>
        </w:rPr>
        <w:t xml:space="preserve"> </w:t>
      </w:r>
      <w:r w:rsidRPr="00C96FF9">
        <w:rPr>
          <w:rFonts w:ascii="Arial" w:hAnsi="Arial" w:cs="Arial"/>
          <w:sz w:val="24"/>
          <w:szCs w:val="24"/>
        </w:rPr>
        <w:t>l</w:t>
      </w:r>
      <w:r>
        <w:rPr>
          <w:rFonts w:ascii="Arial" w:hAnsi="Arial" w:cs="Arial"/>
          <w:sz w:val="24"/>
          <w:szCs w:val="24"/>
        </w:rPr>
        <w:t>os ingresos del</w:t>
      </w:r>
      <w:r w:rsidRPr="00C96FF9">
        <w:rPr>
          <w:rFonts w:ascii="Arial" w:hAnsi="Arial" w:cs="Arial"/>
          <w:sz w:val="24"/>
          <w:szCs w:val="24"/>
        </w:rPr>
        <w:t xml:space="preserve"> Programa 1.10 “Energía- Combustibles”</w:t>
      </w:r>
      <w:r>
        <w:rPr>
          <w:rFonts w:ascii="Arial" w:hAnsi="Arial" w:cs="Arial"/>
          <w:sz w:val="24"/>
          <w:szCs w:val="24"/>
        </w:rPr>
        <w:t xml:space="preserve"> el Proyecto de Presupuesto  en su Artículo 1º (fojas 63), expone:</w:t>
      </w:r>
    </w:p>
    <w:p w:rsidR="007D767F" w:rsidRDefault="007D767F" w:rsidP="00BA5B22">
      <w:pPr>
        <w:tabs>
          <w:tab w:val="left" w:pos="180"/>
          <w:tab w:val="num" w:pos="567"/>
        </w:tabs>
        <w:spacing w:line="360" w:lineRule="auto"/>
        <w:jc w:val="both"/>
        <w:rPr>
          <w:rFonts w:ascii="Arial" w:hAnsi="Arial" w:cs="Arial"/>
          <w:sz w:val="24"/>
          <w:szCs w:val="24"/>
        </w:rPr>
      </w:pPr>
      <w:r>
        <w:rPr>
          <w:rFonts w:ascii="Arial" w:hAnsi="Arial" w:cs="Arial"/>
          <w:sz w:val="24"/>
          <w:szCs w:val="24"/>
        </w:rPr>
        <w:t>- ingresos por “Ventas netas” de $ 61.659:278.842 importe que no coincide con la suma de ingresos por “Ventas de Bienes y/o Servicios” de la página 28 del anexo de planillas del presupuesto operativo que  asciende a                             $ 61.545:441.451, (fojas 114).</w:t>
      </w:r>
    </w:p>
    <w:p w:rsidR="007D767F" w:rsidRPr="00C96FF9" w:rsidRDefault="007D767F" w:rsidP="00BA5B22">
      <w:pPr>
        <w:tabs>
          <w:tab w:val="left" w:pos="180"/>
          <w:tab w:val="num" w:pos="567"/>
        </w:tabs>
        <w:spacing w:line="360" w:lineRule="auto"/>
        <w:jc w:val="both"/>
        <w:rPr>
          <w:rFonts w:ascii="Arial" w:hAnsi="Arial" w:cs="Arial"/>
          <w:b/>
          <w:bCs/>
          <w:sz w:val="24"/>
          <w:szCs w:val="24"/>
        </w:rPr>
      </w:pPr>
      <w:r>
        <w:rPr>
          <w:rFonts w:ascii="Arial" w:hAnsi="Arial" w:cs="Arial"/>
          <w:sz w:val="24"/>
          <w:szCs w:val="24"/>
        </w:rPr>
        <w:t>- e ingresos “Ajenos al giro” de $ 651:322.515, cuando en el anexo y fojas antes mencionados se incluyen, por concepto de “Ingresos ajenos al giro”,          $ 111:927.591.</w:t>
      </w:r>
    </w:p>
    <w:p w:rsidR="007D767F" w:rsidRDefault="007D767F" w:rsidP="00BA5B22">
      <w:pPr>
        <w:tabs>
          <w:tab w:val="left" w:pos="180"/>
          <w:tab w:val="num" w:pos="567"/>
        </w:tabs>
        <w:spacing w:line="360" w:lineRule="auto"/>
        <w:jc w:val="both"/>
        <w:rPr>
          <w:rFonts w:ascii="Arial" w:hAnsi="Arial" w:cs="Arial"/>
          <w:color w:val="000000"/>
          <w:sz w:val="24"/>
          <w:szCs w:val="24"/>
        </w:rPr>
      </w:pPr>
      <w:r w:rsidRPr="00C96FF9">
        <w:rPr>
          <w:rFonts w:ascii="Arial" w:hAnsi="Arial" w:cs="Arial"/>
          <w:b/>
          <w:sz w:val="24"/>
          <w:szCs w:val="24"/>
        </w:rPr>
        <w:t>2.6)</w:t>
      </w:r>
      <w:r w:rsidRPr="00C96FF9">
        <w:rPr>
          <w:rFonts w:ascii="Arial" w:hAnsi="Arial" w:cs="Arial"/>
          <w:sz w:val="24"/>
          <w:szCs w:val="24"/>
        </w:rPr>
        <w:t xml:space="preserve"> </w:t>
      </w:r>
      <w:r>
        <w:rPr>
          <w:rFonts w:ascii="Arial" w:hAnsi="Arial" w:cs="Arial"/>
          <w:color w:val="000000"/>
          <w:sz w:val="24"/>
          <w:szCs w:val="24"/>
        </w:rPr>
        <w:t xml:space="preserve">El importe expuesto en la partida correspondiente al crédito del sub grupo “2.6 - Tributos Municipales y Nacionales” del Programa </w:t>
      </w:r>
      <w:r w:rsidRPr="00751A90">
        <w:rPr>
          <w:rFonts w:ascii="Arial" w:hAnsi="Arial" w:cs="Arial"/>
          <w:color w:val="000000"/>
          <w:sz w:val="24"/>
          <w:szCs w:val="24"/>
        </w:rPr>
        <w:t xml:space="preserve">Energía </w:t>
      </w:r>
      <w:r>
        <w:rPr>
          <w:rFonts w:ascii="Arial" w:hAnsi="Arial" w:cs="Arial"/>
          <w:color w:val="000000"/>
          <w:sz w:val="24"/>
          <w:szCs w:val="24"/>
        </w:rPr>
        <w:t>–</w:t>
      </w:r>
      <w:r w:rsidRPr="00751A90">
        <w:rPr>
          <w:rFonts w:ascii="Arial" w:hAnsi="Arial" w:cs="Arial"/>
          <w:color w:val="000000"/>
          <w:sz w:val="24"/>
          <w:szCs w:val="24"/>
        </w:rPr>
        <w:t>Servicios Comunes de la Empresa</w:t>
      </w:r>
      <w:r>
        <w:rPr>
          <w:rFonts w:ascii="Arial" w:hAnsi="Arial" w:cs="Arial"/>
          <w:color w:val="000000"/>
          <w:sz w:val="24"/>
          <w:szCs w:val="24"/>
        </w:rPr>
        <w:t xml:space="preserve"> de $ 3.163:386.952 del Artículo 1° del Proyecto de Presupuesto no coincide con el subtotal que asciende a $ 3.124:911.535, (fojas 66).</w:t>
      </w:r>
    </w:p>
    <w:p w:rsidR="007D767F" w:rsidRDefault="007D767F" w:rsidP="00BA5B22">
      <w:pPr>
        <w:suppressAutoHyphens/>
        <w:spacing w:line="360" w:lineRule="auto"/>
        <w:jc w:val="both"/>
        <w:rPr>
          <w:rFonts w:ascii="Arial" w:hAnsi="Arial" w:cs="Arial"/>
          <w:color w:val="000000"/>
          <w:sz w:val="24"/>
          <w:szCs w:val="24"/>
        </w:rPr>
      </w:pPr>
      <w:r w:rsidRPr="00C96FF9">
        <w:rPr>
          <w:rFonts w:ascii="Arial" w:hAnsi="Arial" w:cs="Arial"/>
          <w:b/>
          <w:sz w:val="24"/>
          <w:szCs w:val="24"/>
        </w:rPr>
        <w:t>2.7)</w:t>
      </w:r>
      <w:r>
        <w:rPr>
          <w:rFonts w:ascii="Arial" w:hAnsi="Arial" w:cs="Arial"/>
          <w:sz w:val="24"/>
          <w:szCs w:val="24"/>
        </w:rPr>
        <w:t xml:space="preserve"> </w:t>
      </w:r>
      <w:r>
        <w:rPr>
          <w:rFonts w:ascii="Arial" w:hAnsi="Arial" w:cs="Arial"/>
          <w:color w:val="000000"/>
          <w:sz w:val="24"/>
          <w:szCs w:val="24"/>
        </w:rPr>
        <w:t>El Presupuesto O</w:t>
      </w:r>
      <w:r w:rsidRPr="00751A90">
        <w:rPr>
          <w:rFonts w:ascii="Arial" w:hAnsi="Arial" w:cs="Arial"/>
          <w:color w:val="000000"/>
          <w:sz w:val="24"/>
          <w:szCs w:val="24"/>
        </w:rPr>
        <w:t xml:space="preserve">perativo de </w:t>
      </w:r>
      <w:r>
        <w:rPr>
          <w:rFonts w:ascii="Arial" w:hAnsi="Arial" w:cs="Arial"/>
          <w:color w:val="000000"/>
          <w:sz w:val="24"/>
          <w:szCs w:val="24"/>
        </w:rPr>
        <w:t>C</w:t>
      </w:r>
      <w:r w:rsidRPr="00751A90">
        <w:rPr>
          <w:rFonts w:ascii="Arial" w:hAnsi="Arial" w:cs="Arial"/>
          <w:color w:val="000000"/>
          <w:sz w:val="24"/>
          <w:szCs w:val="24"/>
        </w:rPr>
        <w:t xml:space="preserve">ompras de Portland del </w:t>
      </w:r>
      <w:r>
        <w:rPr>
          <w:rFonts w:ascii="Arial" w:hAnsi="Arial" w:cs="Arial"/>
          <w:color w:val="000000"/>
          <w:sz w:val="24"/>
          <w:szCs w:val="24"/>
        </w:rPr>
        <w:t>Artículo 4° del Proyecto de Presupuesto presenta diferencias en:</w:t>
      </w:r>
    </w:p>
    <w:p w:rsidR="007D767F" w:rsidRDefault="007D767F" w:rsidP="00BA5B22">
      <w:pPr>
        <w:suppressAutoHyphens/>
        <w:spacing w:line="360" w:lineRule="auto"/>
        <w:jc w:val="both"/>
        <w:rPr>
          <w:rFonts w:ascii="Arial" w:hAnsi="Arial" w:cs="Arial"/>
          <w:color w:val="000000"/>
          <w:sz w:val="24"/>
          <w:szCs w:val="24"/>
        </w:rPr>
      </w:pPr>
      <w:r>
        <w:rPr>
          <w:rFonts w:ascii="Arial" w:hAnsi="Arial" w:cs="Arial"/>
          <w:color w:val="000000"/>
          <w:sz w:val="24"/>
          <w:szCs w:val="24"/>
        </w:rPr>
        <w:t>- el</w:t>
      </w:r>
      <w:r w:rsidRPr="00751A90">
        <w:rPr>
          <w:rFonts w:ascii="Arial" w:hAnsi="Arial" w:cs="Arial"/>
          <w:color w:val="000000"/>
          <w:sz w:val="24"/>
          <w:szCs w:val="24"/>
        </w:rPr>
        <w:t xml:space="preserve"> </w:t>
      </w:r>
      <w:r>
        <w:rPr>
          <w:rFonts w:ascii="Arial" w:hAnsi="Arial" w:cs="Arial"/>
          <w:color w:val="000000"/>
          <w:sz w:val="24"/>
          <w:szCs w:val="24"/>
        </w:rPr>
        <w:t>Grupo “3</w:t>
      </w:r>
      <w:r w:rsidRPr="00751A90">
        <w:rPr>
          <w:rFonts w:ascii="Arial" w:hAnsi="Arial" w:cs="Arial"/>
          <w:color w:val="000000"/>
          <w:sz w:val="24"/>
          <w:szCs w:val="24"/>
        </w:rPr>
        <w:t>- Bienes de Uso</w:t>
      </w:r>
      <w:r>
        <w:rPr>
          <w:rFonts w:ascii="Arial" w:hAnsi="Arial" w:cs="Arial"/>
          <w:color w:val="000000"/>
          <w:sz w:val="24"/>
          <w:szCs w:val="24"/>
        </w:rPr>
        <w:t xml:space="preserve">” , que presenta un importe de $ </w:t>
      </w:r>
      <w:r w:rsidRPr="00751A90">
        <w:rPr>
          <w:rFonts w:ascii="Arial" w:hAnsi="Arial" w:cs="Arial"/>
          <w:color w:val="000000"/>
          <w:sz w:val="24"/>
          <w:szCs w:val="24"/>
        </w:rPr>
        <w:t>377.112.958</w:t>
      </w:r>
      <w:r>
        <w:rPr>
          <w:rFonts w:ascii="Arial" w:hAnsi="Arial" w:cs="Arial"/>
          <w:color w:val="000000"/>
          <w:sz w:val="24"/>
          <w:szCs w:val="24"/>
        </w:rPr>
        <w:t>,          ( fojas 72)</w:t>
      </w:r>
      <w:r w:rsidRPr="00751A90">
        <w:rPr>
          <w:rFonts w:ascii="Arial" w:hAnsi="Arial" w:cs="Arial"/>
          <w:color w:val="000000"/>
          <w:sz w:val="24"/>
          <w:szCs w:val="24"/>
        </w:rPr>
        <w:t xml:space="preserve"> </w:t>
      </w:r>
      <w:r>
        <w:rPr>
          <w:rFonts w:ascii="Arial" w:hAnsi="Arial" w:cs="Arial"/>
          <w:color w:val="000000"/>
          <w:sz w:val="24"/>
          <w:szCs w:val="24"/>
        </w:rPr>
        <w:t>que no coincide con la suma del “Grupo  3</w:t>
      </w:r>
      <w:r w:rsidRPr="00751A90">
        <w:rPr>
          <w:rFonts w:ascii="Arial" w:hAnsi="Arial" w:cs="Arial"/>
          <w:color w:val="000000"/>
          <w:sz w:val="24"/>
          <w:szCs w:val="24"/>
        </w:rPr>
        <w:t>- Bienes de Uso</w:t>
      </w:r>
      <w:r>
        <w:rPr>
          <w:rFonts w:ascii="Arial" w:hAnsi="Arial" w:cs="Arial"/>
          <w:color w:val="000000"/>
          <w:sz w:val="24"/>
          <w:szCs w:val="24"/>
        </w:rPr>
        <w:t>” expuesto en el detalle de Gastos de Fu</w:t>
      </w:r>
      <w:r w:rsidRPr="00751A90">
        <w:rPr>
          <w:rFonts w:ascii="Arial" w:hAnsi="Arial" w:cs="Arial"/>
          <w:color w:val="000000"/>
          <w:sz w:val="24"/>
          <w:szCs w:val="24"/>
        </w:rPr>
        <w:t xml:space="preserve">ncionamiento de </w:t>
      </w:r>
      <w:r>
        <w:rPr>
          <w:rFonts w:ascii="Arial" w:hAnsi="Arial" w:cs="Arial"/>
          <w:color w:val="000000"/>
          <w:sz w:val="24"/>
          <w:szCs w:val="24"/>
        </w:rPr>
        <w:t>$ 92:</w:t>
      </w:r>
      <w:r w:rsidRPr="00751A90">
        <w:rPr>
          <w:rFonts w:ascii="Arial" w:hAnsi="Arial" w:cs="Arial"/>
          <w:color w:val="000000"/>
          <w:sz w:val="24"/>
          <w:szCs w:val="24"/>
        </w:rPr>
        <w:t>712.958</w:t>
      </w:r>
      <w:r>
        <w:rPr>
          <w:rFonts w:ascii="Arial" w:hAnsi="Arial" w:cs="Arial"/>
          <w:color w:val="000000"/>
          <w:sz w:val="24"/>
          <w:szCs w:val="24"/>
        </w:rPr>
        <w:t xml:space="preserve">,( fojas 68), </w:t>
      </w:r>
      <w:r w:rsidRPr="00751A90">
        <w:rPr>
          <w:rFonts w:ascii="Arial" w:hAnsi="Arial" w:cs="Arial"/>
          <w:color w:val="000000"/>
          <w:sz w:val="24"/>
          <w:szCs w:val="24"/>
        </w:rPr>
        <w:t xml:space="preserve"> </w:t>
      </w:r>
      <w:r>
        <w:rPr>
          <w:rFonts w:ascii="Arial" w:hAnsi="Arial" w:cs="Arial"/>
          <w:color w:val="000000"/>
          <w:sz w:val="24"/>
          <w:szCs w:val="24"/>
        </w:rPr>
        <w:t xml:space="preserve">del Artículo 1° del mismo proyecto, </w:t>
      </w:r>
      <w:r w:rsidRPr="00751A90">
        <w:rPr>
          <w:rFonts w:ascii="Arial" w:hAnsi="Arial" w:cs="Arial"/>
          <w:color w:val="000000"/>
          <w:sz w:val="24"/>
          <w:szCs w:val="24"/>
        </w:rPr>
        <w:t xml:space="preserve">más los </w:t>
      </w:r>
      <w:r>
        <w:rPr>
          <w:rFonts w:ascii="Arial" w:hAnsi="Arial" w:cs="Arial"/>
          <w:color w:val="000000"/>
          <w:sz w:val="24"/>
          <w:szCs w:val="24"/>
        </w:rPr>
        <w:t xml:space="preserve">$ </w:t>
      </w:r>
      <w:r w:rsidRPr="00751A90">
        <w:rPr>
          <w:rFonts w:ascii="Arial" w:hAnsi="Arial" w:cs="Arial"/>
          <w:color w:val="000000"/>
          <w:sz w:val="24"/>
          <w:szCs w:val="24"/>
        </w:rPr>
        <w:t xml:space="preserve">364.348.000 </w:t>
      </w:r>
      <w:r>
        <w:rPr>
          <w:rFonts w:ascii="Arial" w:hAnsi="Arial" w:cs="Arial"/>
          <w:color w:val="000000"/>
          <w:sz w:val="24"/>
          <w:szCs w:val="24"/>
        </w:rPr>
        <w:t>incluidos en e</w:t>
      </w:r>
      <w:r w:rsidRPr="00751A90">
        <w:rPr>
          <w:rFonts w:ascii="Arial" w:hAnsi="Arial" w:cs="Arial"/>
          <w:color w:val="000000"/>
          <w:sz w:val="24"/>
          <w:szCs w:val="24"/>
        </w:rPr>
        <w:t>l anexo de Inversiones</w:t>
      </w:r>
      <w:r>
        <w:rPr>
          <w:rFonts w:ascii="Arial" w:hAnsi="Arial" w:cs="Arial"/>
          <w:color w:val="000000"/>
          <w:sz w:val="24"/>
          <w:szCs w:val="24"/>
        </w:rPr>
        <w:t>,</w:t>
      </w:r>
      <w:r w:rsidRPr="00751A90">
        <w:rPr>
          <w:rFonts w:ascii="Arial" w:hAnsi="Arial" w:cs="Arial"/>
          <w:color w:val="000000"/>
          <w:sz w:val="24"/>
          <w:szCs w:val="24"/>
        </w:rPr>
        <w:t xml:space="preserve"> </w:t>
      </w:r>
      <w:r>
        <w:rPr>
          <w:rFonts w:ascii="Arial" w:hAnsi="Arial" w:cs="Arial"/>
          <w:color w:val="000000"/>
          <w:sz w:val="24"/>
          <w:szCs w:val="24"/>
        </w:rPr>
        <w:t xml:space="preserve">en el cuadro de “Apertura por rubros de los proyectos de inversión a ejecutar en el año ( en miles de $) que </w:t>
      </w:r>
      <w:r w:rsidRPr="00751A90">
        <w:rPr>
          <w:rFonts w:ascii="Arial" w:hAnsi="Arial" w:cs="Arial"/>
          <w:color w:val="000000"/>
          <w:sz w:val="24"/>
          <w:szCs w:val="24"/>
        </w:rPr>
        <w:t>totaliza</w:t>
      </w:r>
      <w:r>
        <w:rPr>
          <w:rFonts w:ascii="Arial" w:hAnsi="Arial" w:cs="Arial"/>
          <w:color w:val="000000"/>
          <w:sz w:val="24"/>
          <w:szCs w:val="24"/>
        </w:rPr>
        <w:t>n $457.060.958; y</w:t>
      </w:r>
    </w:p>
    <w:p w:rsidR="007D767F" w:rsidRPr="00C96FF9" w:rsidRDefault="007D767F" w:rsidP="00BA5B22">
      <w:pPr>
        <w:suppressAutoHyphens/>
        <w:spacing w:line="360" w:lineRule="auto"/>
        <w:jc w:val="both"/>
        <w:rPr>
          <w:rFonts w:ascii="Arial" w:hAnsi="Arial" w:cs="Arial"/>
          <w:bCs/>
          <w:sz w:val="24"/>
          <w:szCs w:val="24"/>
        </w:rPr>
      </w:pPr>
      <w:r>
        <w:rPr>
          <w:rFonts w:ascii="Arial" w:hAnsi="Arial" w:cs="Arial"/>
          <w:color w:val="000000"/>
          <w:sz w:val="24"/>
          <w:szCs w:val="24"/>
        </w:rPr>
        <w:t xml:space="preserve">- el Grupo “4- Activos Financieros” que expone un crédito previsto de                 $ 31:600.000, (fojas 73), que no se incluye en el anexo de Proyectos de Inversiones del Programa </w:t>
      </w:r>
      <w:proofErr w:type="spellStart"/>
      <w:r>
        <w:rPr>
          <w:rFonts w:ascii="Arial" w:hAnsi="Arial" w:cs="Arial"/>
          <w:color w:val="000000"/>
          <w:sz w:val="24"/>
          <w:szCs w:val="24"/>
        </w:rPr>
        <w:t>Pórtland</w:t>
      </w:r>
      <w:proofErr w:type="spellEnd"/>
      <w:r>
        <w:rPr>
          <w:rFonts w:ascii="Arial" w:hAnsi="Arial" w:cs="Arial"/>
          <w:color w:val="000000"/>
          <w:sz w:val="24"/>
          <w:szCs w:val="24"/>
        </w:rPr>
        <w:t xml:space="preserve"> en el cuadro de “Apertura por rubros de los proyectos de inversión a ejecutar en el año (en miles de $) a fojas 247.</w:t>
      </w:r>
    </w:p>
    <w:p w:rsidR="007D767F" w:rsidRDefault="007D767F" w:rsidP="00BA5B22">
      <w:pPr>
        <w:suppressAutoHyphens/>
        <w:spacing w:line="360" w:lineRule="auto"/>
        <w:jc w:val="both"/>
        <w:rPr>
          <w:rFonts w:ascii="Arial" w:hAnsi="Arial" w:cs="Arial"/>
          <w:b/>
          <w:sz w:val="24"/>
          <w:szCs w:val="24"/>
        </w:rPr>
      </w:pPr>
      <w:r w:rsidRPr="00C96FF9">
        <w:rPr>
          <w:rFonts w:ascii="Arial" w:hAnsi="Arial" w:cs="Arial"/>
          <w:b/>
          <w:sz w:val="24"/>
          <w:szCs w:val="24"/>
        </w:rPr>
        <w:t>2.8</w:t>
      </w:r>
      <w:r>
        <w:rPr>
          <w:rFonts w:ascii="Arial" w:hAnsi="Arial" w:cs="Arial"/>
          <w:b/>
          <w:sz w:val="24"/>
          <w:szCs w:val="24"/>
        </w:rPr>
        <w:t xml:space="preserve">) </w:t>
      </w:r>
      <w:r w:rsidRPr="00C96FF9">
        <w:rPr>
          <w:rFonts w:ascii="Arial" w:hAnsi="Arial" w:cs="Arial"/>
          <w:bCs/>
          <w:sz w:val="24"/>
          <w:szCs w:val="24"/>
        </w:rPr>
        <w:t xml:space="preserve">Al efectuar la provisión de las vacantes previstas en el presupuesto o al disponer la supresión de vacantes, deberá darse cumplimiento a lo establecido por los </w:t>
      </w:r>
      <w:r>
        <w:rPr>
          <w:rFonts w:ascii="Arial" w:hAnsi="Arial" w:cs="Arial"/>
          <w:bCs/>
          <w:sz w:val="24"/>
          <w:szCs w:val="24"/>
        </w:rPr>
        <w:t>A</w:t>
      </w:r>
      <w:r w:rsidRPr="00C96FF9">
        <w:rPr>
          <w:rFonts w:ascii="Arial" w:hAnsi="Arial" w:cs="Arial"/>
          <w:bCs/>
          <w:sz w:val="24"/>
          <w:szCs w:val="24"/>
        </w:rPr>
        <w:t xml:space="preserve">rtículos 49 y 50 de la Ley 18.651, de 9 de marzo de 2010 (Ley de protección integral de las personas con discapacidad). Asimismo, deberá darse cumplimiento a lo previsto en el  </w:t>
      </w:r>
      <w:r>
        <w:rPr>
          <w:rFonts w:ascii="Arial" w:hAnsi="Arial" w:cs="Arial"/>
          <w:bCs/>
          <w:sz w:val="24"/>
          <w:szCs w:val="24"/>
        </w:rPr>
        <w:t>A</w:t>
      </w:r>
      <w:r w:rsidRPr="00C96FF9">
        <w:rPr>
          <w:rFonts w:ascii="Arial" w:hAnsi="Arial" w:cs="Arial"/>
          <w:bCs/>
          <w:sz w:val="24"/>
          <w:szCs w:val="24"/>
        </w:rPr>
        <w:t>rtículo 4 de la Ley 19.122, de 9 de setiembre de 2013 (Normas para favorecer la participación en las áreas educativa y laboral de los Afro descendientes).</w:t>
      </w:r>
    </w:p>
    <w:p w:rsidR="007D767F" w:rsidRPr="00C96FF9" w:rsidRDefault="007D767F" w:rsidP="00BA5B22">
      <w:pPr>
        <w:tabs>
          <w:tab w:val="left" w:pos="180"/>
          <w:tab w:val="num" w:pos="567"/>
        </w:tabs>
        <w:spacing w:line="360" w:lineRule="auto"/>
        <w:jc w:val="both"/>
        <w:rPr>
          <w:rFonts w:ascii="Arial" w:hAnsi="Arial" w:cs="Arial"/>
          <w:bCs/>
          <w:sz w:val="24"/>
          <w:szCs w:val="24"/>
        </w:rPr>
      </w:pPr>
      <w:r w:rsidRPr="00C96FF9">
        <w:rPr>
          <w:rFonts w:ascii="Arial" w:hAnsi="Arial" w:cs="Arial"/>
          <w:b/>
          <w:bCs/>
          <w:sz w:val="24"/>
          <w:szCs w:val="24"/>
        </w:rPr>
        <w:t xml:space="preserve">2.9) </w:t>
      </w:r>
      <w:r w:rsidRPr="00C96FF9">
        <w:rPr>
          <w:rFonts w:ascii="Arial" w:hAnsi="Arial" w:cs="Arial"/>
          <w:bCs/>
          <w:sz w:val="24"/>
          <w:szCs w:val="24"/>
        </w:rPr>
        <w:t>Respecto a la contratación de personal a término (</w:t>
      </w:r>
      <w:r>
        <w:rPr>
          <w:rFonts w:ascii="Arial" w:hAnsi="Arial" w:cs="Arial"/>
          <w:bCs/>
          <w:sz w:val="24"/>
          <w:szCs w:val="24"/>
        </w:rPr>
        <w:t>A</w:t>
      </w:r>
      <w:r w:rsidRPr="00C96FF9">
        <w:rPr>
          <w:rFonts w:ascii="Arial" w:hAnsi="Arial" w:cs="Arial"/>
          <w:bCs/>
          <w:sz w:val="24"/>
          <w:szCs w:val="24"/>
        </w:rPr>
        <w:t xml:space="preserve">rtículo 33 de las normas de ejecución presupuestal), corresponde señalar que se podrán ejecutar dichas contrataciones conforme a lo establecido por el </w:t>
      </w:r>
      <w:r>
        <w:rPr>
          <w:rFonts w:ascii="Arial" w:hAnsi="Arial" w:cs="Arial"/>
          <w:bCs/>
          <w:sz w:val="24"/>
          <w:szCs w:val="24"/>
        </w:rPr>
        <w:t>A</w:t>
      </w:r>
      <w:r w:rsidRPr="00C96FF9">
        <w:rPr>
          <w:rFonts w:ascii="Arial" w:hAnsi="Arial" w:cs="Arial"/>
          <w:bCs/>
          <w:sz w:val="24"/>
          <w:szCs w:val="24"/>
        </w:rPr>
        <w:t>rtículo 30 de la Ley 17.556, que faculta a los Entes a celebrar contratos a término con personas físicas a efectos de atender las necesidades que la Administración no pueda cubrir con sus propios funcionarios. Debe afirmarse, asimismo, que el contratado no adquiere la calidad de funcionario público, ni los beneficios que tal calidad conlleva (</w:t>
      </w:r>
      <w:r>
        <w:rPr>
          <w:rFonts w:ascii="Arial" w:hAnsi="Arial" w:cs="Arial"/>
          <w:bCs/>
          <w:sz w:val="24"/>
          <w:szCs w:val="24"/>
        </w:rPr>
        <w:t>A</w:t>
      </w:r>
      <w:r w:rsidRPr="00C96FF9">
        <w:rPr>
          <w:rFonts w:ascii="Arial" w:hAnsi="Arial" w:cs="Arial"/>
          <w:bCs/>
          <w:sz w:val="24"/>
          <w:szCs w:val="24"/>
        </w:rPr>
        <w:t xml:space="preserve">rtículo 32 </w:t>
      </w:r>
      <w:proofErr w:type="spellStart"/>
      <w:r w:rsidRPr="00C96FF9">
        <w:rPr>
          <w:rFonts w:ascii="Arial" w:hAnsi="Arial" w:cs="Arial"/>
          <w:bCs/>
          <w:sz w:val="24"/>
          <w:szCs w:val="24"/>
        </w:rPr>
        <w:t>ejusdem</w:t>
      </w:r>
      <w:proofErr w:type="spellEnd"/>
      <w:r w:rsidRPr="00C96FF9">
        <w:rPr>
          <w:rFonts w:ascii="Arial" w:hAnsi="Arial" w:cs="Arial"/>
          <w:bCs/>
          <w:sz w:val="24"/>
          <w:szCs w:val="24"/>
        </w:rPr>
        <w:t>).</w:t>
      </w:r>
    </w:p>
    <w:p w:rsidR="007D767F" w:rsidRPr="00931E9E" w:rsidRDefault="007D767F" w:rsidP="00B03CE9">
      <w:pPr>
        <w:tabs>
          <w:tab w:val="left" w:pos="180"/>
          <w:tab w:val="num" w:pos="567"/>
        </w:tabs>
        <w:spacing w:line="360" w:lineRule="auto"/>
        <w:jc w:val="both"/>
      </w:pPr>
      <w:r w:rsidRPr="00C96FF9">
        <w:rPr>
          <w:rFonts w:ascii="Arial" w:hAnsi="Arial" w:cs="Arial"/>
          <w:b/>
          <w:bCs/>
          <w:sz w:val="24"/>
          <w:szCs w:val="24"/>
        </w:rPr>
        <w:t xml:space="preserve">2.10) </w:t>
      </w:r>
      <w:r w:rsidRPr="00C96FF9">
        <w:rPr>
          <w:rFonts w:ascii="Arial" w:hAnsi="Arial" w:cs="Arial"/>
          <w:bCs/>
          <w:sz w:val="24"/>
          <w:szCs w:val="24"/>
        </w:rPr>
        <w:t xml:space="preserve">Se constató que las siguientes Resoluciones de Directorio, vigentes a la fecha de la emisión del proyecto no se incluyen en </w:t>
      </w:r>
      <w:proofErr w:type="spellStart"/>
      <w:r w:rsidRPr="00C96FF9">
        <w:rPr>
          <w:rFonts w:ascii="Arial" w:hAnsi="Arial" w:cs="Arial"/>
          <w:bCs/>
          <w:sz w:val="24"/>
          <w:szCs w:val="24"/>
        </w:rPr>
        <w:t>el</w:t>
      </w:r>
      <w:r>
        <w:rPr>
          <w:rFonts w:ascii="Arial" w:hAnsi="Arial" w:cs="Arial"/>
          <w:bCs/>
          <w:sz w:val="24"/>
          <w:szCs w:val="24"/>
        </w:rPr>
        <w:t>A</w:t>
      </w:r>
      <w:r w:rsidRPr="00C96FF9">
        <w:rPr>
          <w:rFonts w:ascii="Arial" w:hAnsi="Arial" w:cs="Arial"/>
          <w:bCs/>
          <w:sz w:val="24"/>
          <w:szCs w:val="24"/>
        </w:rPr>
        <w:t>rt</w:t>
      </w:r>
      <w:r>
        <w:rPr>
          <w:rFonts w:ascii="Arial" w:hAnsi="Arial" w:cs="Arial"/>
          <w:bCs/>
          <w:sz w:val="24"/>
          <w:szCs w:val="24"/>
        </w:rPr>
        <w:t>ículo</w:t>
      </w:r>
      <w:proofErr w:type="spellEnd"/>
      <w:r w:rsidRPr="00C96FF9">
        <w:rPr>
          <w:rFonts w:ascii="Arial" w:hAnsi="Arial" w:cs="Arial"/>
          <w:bCs/>
          <w:sz w:val="24"/>
          <w:szCs w:val="24"/>
        </w:rPr>
        <w:t xml:space="preserve"> 25 del mismo:</w:t>
      </w:r>
    </w:p>
    <w:tbl>
      <w:tblPr>
        <w:tblW w:w="0" w:type="auto"/>
        <w:tblLook w:val="04A0" w:firstRow="1" w:lastRow="0" w:firstColumn="1" w:lastColumn="0" w:noHBand="0" w:noVBand="1"/>
      </w:tblPr>
      <w:tblGrid>
        <w:gridCol w:w="8644"/>
      </w:tblGrid>
      <w:tr w:rsidR="007D767F" w:rsidTr="00F62D69">
        <w:tc>
          <w:tcPr>
            <w:tcW w:w="8644" w:type="dxa"/>
            <w:shd w:val="clear" w:color="auto" w:fill="auto"/>
          </w:tcPr>
          <w:tbl>
            <w:tblPr>
              <w:tblpPr w:leftFromText="141" w:rightFromText="141" w:horzAnchor="margin" w:tblpXSpec="center" w:tblpY="-4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649"/>
              <w:gridCol w:w="3840"/>
            </w:tblGrid>
            <w:tr w:rsidR="007D767F" w:rsidRPr="00B32C54" w:rsidTr="00F62D69">
              <w:tc>
                <w:tcPr>
                  <w:tcW w:w="1501" w:type="dxa"/>
                </w:tcPr>
                <w:p w:rsidR="007D767F" w:rsidRPr="00B03CE9" w:rsidRDefault="007D767F" w:rsidP="00B03CE9">
                  <w:pPr>
                    <w:spacing w:line="360" w:lineRule="auto"/>
                    <w:jc w:val="center"/>
                    <w:rPr>
                      <w:rFonts w:ascii="Arial" w:hAnsi="Arial" w:cs="Arial"/>
                      <w:b/>
                      <w:bCs/>
                      <w:sz w:val="18"/>
                      <w:szCs w:val="18"/>
                    </w:rPr>
                  </w:pPr>
                  <w:r w:rsidRPr="00B03CE9">
                    <w:rPr>
                      <w:rFonts w:ascii="Arial" w:hAnsi="Arial" w:cs="Arial"/>
                      <w:b/>
                      <w:bCs/>
                      <w:sz w:val="18"/>
                      <w:szCs w:val="18"/>
                    </w:rPr>
                    <w:t>Res.(D) N°</w:t>
                  </w:r>
                </w:p>
              </w:tc>
              <w:tc>
                <w:tcPr>
                  <w:tcW w:w="1649" w:type="dxa"/>
                  <w:shd w:val="clear" w:color="auto" w:fill="auto"/>
                </w:tcPr>
                <w:p w:rsidR="007D767F" w:rsidRPr="00B03CE9" w:rsidRDefault="007D767F" w:rsidP="00B03CE9">
                  <w:pPr>
                    <w:spacing w:line="360" w:lineRule="auto"/>
                    <w:jc w:val="center"/>
                    <w:rPr>
                      <w:rFonts w:ascii="Arial" w:hAnsi="Arial" w:cs="Arial"/>
                      <w:b/>
                      <w:bCs/>
                      <w:sz w:val="18"/>
                      <w:szCs w:val="18"/>
                    </w:rPr>
                  </w:pPr>
                  <w:r w:rsidRPr="00B03CE9">
                    <w:rPr>
                      <w:rFonts w:ascii="Arial" w:hAnsi="Arial" w:cs="Arial"/>
                      <w:b/>
                      <w:bCs/>
                      <w:sz w:val="18"/>
                      <w:szCs w:val="18"/>
                    </w:rPr>
                    <w:t>Fecha</w:t>
                  </w:r>
                </w:p>
              </w:tc>
              <w:tc>
                <w:tcPr>
                  <w:tcW w:w="3840" w:type="dxa"/>
                  <w:shd w:val="clear" w:color="auto" w:fill="auto"/>
                </w:tcPr>
                <w:p w:rsidR="007D767F" w:rsidRPr="00B03CE9" w:rsidRDefault="007D767F" w:rsidP="00B03CE9">
                  <w:pPr>
                    <w:spacing w:line="360" w:lineRule="auto"/>
                    <w:jc w:val="center"/>
                    <w:rPr>
                      <w:rFonts w:ascii="Arial" w:hAnsi="Arial" w:cs="Arial"/>
                      <w:b/>
                      <w:bCs/>
                      <w:sz w:val="18"/>
                      <w:szCs w:val="18"/>
                    </w:rPr>
                  </w:pPr>
                  <w:r w:rsidRPr="00B03CE9">
                    <w:rPr>
                      <w:rFonts w:ascii="Arial" w:hAnsi="Arial" w:cs="Arial"/>
                      <w:b/>
                      <w:bCs/>
                      <w:sz w:val="18"/>
                      <w:szCs w:val="18"/>
                    </w:rPr>
                    <w:t>Concepto</w:t>
                  </w:r>
                </w:p>
              </w:tc>
            </w:tr>
            <w:tr w:rsidR="007D767F" w:rsidRPr="00B32C54" w:rsidTr="00F62D69">
              <w:tc>
                <w:tcPr>
                  <w:tcW w:w="1501" w:type="dxa"/>
                  <w:vAlign w:val="center"/>
                </w:tcPr>
                <w:p w:rsidR="007D767F" w:rsidRDefault="007D767F" w:rsidP="00F62D69">
                  <w:pPr>
                    <w:rPr>
                      <w:rFonts w:ascii="Calibri" w:hAnsi="Calibri"/>
                      <w:color w:val="000000"/>
                      <w:sz w:val="22"/>
                      <w:szCs w:val="22"/>
                    </w:rPr>
                  </w:pPr>
                  <w:r>
                    <w:rPr>
                      <w:rFonts w:ascii="Calibri" w:hAnsi="Calibri"/>
                      <w:color w:val="000000"/>
                      <w:sz w:val="22"/>
                      <w:szCs w:val="22"/>
                    </w:rPr>
                    <w:t>97/1/2014</w:t>
                  </w:r>
                </w:p>
              </w:tc>
              <w:tc>
                <w:tcPr>
                  <w:tcW w:w="1649" w:type="dxa"/>
                  <w:shd w:val="clear" w:color="auto" w:fill="auto"/>
                  <w:vAlign w:val="center"/>
                </w:tcPr>
                <w:p w:rsidR="007D767F" w:rsidRDefault="007D767F" w:rsidP="00F62D69">
                  <w:pPr>
                    <w:jc w:val="right"/>
                    <w:rPr>
                      <w:rFonts w:ascii="Calibri" w:hAnsi="Calibri"/>
                      <w:color w:val="000000"/>
                      <w:sz w:val="22"/>
                      <w:szCs w:val="22"/>
                    </w:rPr>
                  </w:pPr>
                  <w:r>
                    <w:rPr>
                      <w:rFonts w:ascii="Calibri" w:hAnsi="Calibri"/>
                      <w:color w:val="000000"/>
                      <w:sz w:val="22"/>
                      <w:szCs w:val="22"/>
                    </w:rPr>
                    <w:t>30/01/2014</w:t>
                  </w:r>
                </w:p>
              </w:tc>
              <w:tc>
                <w:tcPr>
                  <w:tcW w:w="3840" w:type="dxa"/>
                  <w:shd w:val="clear" w:color="auto" w:fill="auto"/>
                  <w:vAlign w:val="center"/>
                </w:tcPr>
                <w:p w:rsidR="007D767F" w:rsidRDefault="007D767F" w:rsidP="00F62D69">
                  <w:pPr>
                    <w:rPr>
                      <w:rFonts w:ascii="Calibri" w:hAnsi="Calibri"/>
                      <w:color w:val="000000"/>
                      <w:sz w:val="22"/>
                      <w:szCs w:val="22"/>
                    </w:rPr>
                  </w:pPr>
                  <w:r>
                    <w:rPr>
                      <w:rFonts w:ascii="Calibri" w:hAnsi="Calibri"/>
                      <w:color w:val="000000"/>
                      <w:sz w:val="22"/>
                      <w:szCs w:val="22"/>
                    </w:rPr>
                    <w:t>Modifica bases cálculo compensaciones claves 148 y 149</w:t>
                  </w:r>
                </w:p>
              </w:tc>
            </w:tr>
            <w:tr w:rsidR="007D767F" w:rsidRPr="00B32C54" w:rsidTr="00F62D69">
              <w:tc>
                <w:tcPr>
                  <w:tcW w:w="1501" w:type="dxa"/>
                  <w:vAlign w:val="center"/>
                </w:tcPr>
                <w:p w:rsidR="007D767F" w:rsidRDefault="007D767F" w:rsidP="00F62D69">
                  <w:pPr>
                    <w:rPr>
                      <w:rFonts w:ascii="Calibri" w:hAnsi="Calibri"/>
                      <w:color w:val="000000"/>
                      <w:sz w:val="22"/>
                      <w:szCs w:val="22"/>
                    </w:rPr>
                  </w:pPr>
                  <w:r>
                    <w:rPr>
                      <w:rFonts w:ascii="Calibri" w:hAnsi="Calibri"/>
                      <w:color w:val="000000"/>
                      <w:sz w:val="22"/>
                      <w:szCs w:val="22"/>
                    </w:rPr>
                    <w:t>822/6/2014</w:t>
                  </w:r>
                </w:p>
              </w:tc>
              <w:tc>
                <w:tcPr>
                  <w:tcW w:w="1649" w:type="dxa"/>
                  <w:shd w:val="clear" w:color="auto" w:fill="auto"/>
                  <w:vAlign w:val="center"/>
                </w:tcPr>
                <w:p w:rsidR="007D767F" w:rsidRDefault="007D767F" w:rsidP="00F62D69">
                  <w:pPr>
                    <w:jc w:val="right"/>
                    <w:rPr>
                      <w:rFonts w:ascii="Calibri" w:hAnsi="Calibri"/>
                      <w:color w:val="000000"/>
                      <w:sz w:val="22"/>
                      <w:szCs w:val="22"/>
                    </w:rPr>
                  </w:pPr>
                  <w:r>
                    <w:rPr>
                      <w:rFonts w:ascii="Calibri" w:hAnsi="Calibri"/>
                      <w:color w:val="000000"/>
                      <w:sz w:val="22"/>
                      <w:szCs w:val="22"/>
                    </w:rPr>
                    <w:t>26/06/2014</w:t>
                  </w:r>
                </w:p>
              </w:tc>
              <w:tc>
                <w:tcPr>
                  <w:tcW w:w="3840" w:type="dxa"/>
                  <w:shd w:val="clear" w:color="auto" w:fill="auto"/>
                  <w:vAlign w:val="center"/>
                </w:tcPr>
                <w:p w:rsidR="007D767F" w:rsidRDefault="007D767F" w:rsidP="00F62D69">
                  <w:pPr>
                    <w:rPr>
                      <w:rFonts w:ascii="Calibri" w:hAnsi="Calibri"/>
                      <w:color w:val="000000"/>
                      <w:sz w:val="22"/>
                      <w:szCs w:val="22"/>
                    </w:rPr>
                  </w:pPr>
                  <w:r>
                    <w:rPr>
                      <w:rFonts w:ascii="Calibri" w:hAnsi="Calibri"/>
                      <w:color w:val="000000"/>
                      <w:sz w:val="22"/>
                      <w:szCs w:val="22"/>
                    </w:rPr>
                    <w:t xml:space="preserve">Incluye funcionarios </w:t>
                  </w:r>
                  <w:proofErr w:type="spellStart"/>
                  <w:r>
                    <w:rPr>
                      <w:rFonts w:ascii="Calibri" w:hAnsi="Calibri"/>
                      <w:color w:val="000000"/>
                      <w:sz w:val="22"/>
                      <w:szCs w:val="22"/>
                    </w:rPr>
                    <w:t>Serv</w:t>
                  </w:r>
                  <w:proofErr w:type="spellEnd"/>
                  <w:r>
                    <w:rPr>
                      <w:rFonts w:ascii="Calibri" w:hAnsi="Calibri"/>
                      <w:color w:val="000000"/>
                      <w:sz w:val="22"/>
                      <w:szCs w:val="22"/>
                    </w:rPr>
                    <w:t xml:space="preserve">. Médicos en cantera </w:t>
                  </w:r>
                  <w:proofErr w:type="spellStart"/>
                  <w:r>
                    <w:rPr>
                      <w:rFonts w:ascii="Calibri" w:hAnsi="Calibri"/>
                      <w:color w:val="000000"/>
                      <w:sz w:val="22"/>
                      <w:szCs w:val="22"/>
                    </w:rPr>
                    <w:t>Queguay</w:t>
                  </w:r>
                  <w:proofErr w:type="spellEnd"/>
                  <w:r>
                    <w:rPr>
                      <w:rFonts w:ascii="Calibri" w:hAnsi="Calibri"/>
                      <w:color w:val="000000"/>
                      <w:sz w:val="22"/>
                      <w:szCs w:val="22"/>
                    </w:rPr>
                    <w:t xml:space="preserve">  entre los que perciben Comp. 313/3/2011 y 1010/8/2011 </w:t>
                  </w:r>
                </w:p>
              </w:tc>
            </w:tr>
            <w:tr w:rsidR="007D767F" w:rsidRPr="00B32C54" w:rsidTr="00F62D69">
              <w:tc>
                <w:tcPr>
                  <w:tcW w:w="1501" w:type="dxa"/>
                  <w:vAlign w:val="center"/>
                </w:tcPr>
                <w:p w:rsidR="007D767F" w:rsidRDefault="007D767F" w:rsidP="00F62D69">
                  <w:pPr>
                    <w:rPr>
                      <w:rFonts w:ascii="Calibri" w:hAnsi="Calibri"/>
                      <w:color w:val="000000"/>
                      <w:sz w:val="22"/>
                      <w:szCs w:val="22"/>
                    </w:rPr>
                  </w:pPr>
                  <w:r>
                    <w:rPr>
                      <w:rFonts w:ascii="Calibri" w:hAnsi="Calibri"/>
                      <w:color w:val="000000"/>
                      <w:sz w:val="22"/>
                      <w:szCs w:val="22"/>
                    </w:rPr>
                    <w:t>559/4/2014</w:t>
                  </w:r>
                </w:p>
              </w:tc>
              <w:tc>
                <w:tcPr>
                  <w:tcW w:w="1649" w:type="dxa"/>
                  <w:shd w:val="clear" w:color="auto" w:fill="auto"/>
                  <w:vAlign w:val="center"/>
                </w:tcPr>
                <w:p w:rsidR="007D767F" w:rsidRDefault="007D767F" w:rsidP="00F62D69">
                  <w:pPr>
                    <w:jc w:val="right"/>
                    <w:rPr>
                      <w:rFonts w:ascii="Calibri" w:hAnsi="Calibri"/>
                      <w:color w:val="000000"/>
                      <w:sz w:val="22"/>
                      <w:szCs w:val="22"/>
                    </w:rPr>
                  </w:pPr>
                  <w:r>
                    <w:rPr>
                      <w:rFonts w:ascii="Calibri" w:hAnsi="Calibri"/>
                      <w:color w:val="000000"/>
                      <w:sz w:val="22"/>
                      <w:szCs w:val="22"/>
                    </w:rPr>
                    <w:t>24/04/2014</w:t>
                  </w:r>
                </w:p>
              </w:tc>
              <w:tc>
                <w:tcPr>
                  <w:tcW w:w="3840" w:type="dxa"/>
                  <w:shd w:val="clear" w:color="auto" w:fill="auto"/>
                  <w:vAlign w:val="center"/>
                </w:tcPr>
                <w:p w:rsidR="007D767F" w:rsidRDefault="007D767F" w:rsidP="00F62D69">
                  <w:pPr>
                    <w:rPr>
                      <w:rFonts w:ascii="Calibri" w:hAnsi="Calibri"/>
                      <w:color w:val="000000"/>
                      <w:sz w:val="22"/>
                      <w:szCs w:val="22"/>
                    </w:rPr>
                  </w:pPr>
                  <w:r>
                    <w:rPr>
                      <w:rFonts w:ascii="Calibri" w:hAnsi="Calibri"/>
                      <w:color w:val="000000"/>
                      <w:sz w:val="22"/>
                      <w:szCs w:val="22"/>
                    </w:rPr>
                    <w:t>Prorroga vigencia de Reglamento de compensación por atención operaciones exportación vía marítima en períodos de inactividad</w:t>
                  </w:r>
                </w:p>
              </w:tc>
            </w:tr>
            <w:tr w:rsidR="007D767F" w:rsidRPr="00B32C54" w:rsidTr="00F62D69">
              <w:tc>
                <w:tcPr>
                  <w:tcW w:w="1501" w:type="dxa"/>
                  <w:vAlign w:val="center"/>
                </w:tcPr>
                <w:p w:rsidR="007D767F" w:rsidRDefault="007D767F" w:rsidP="00F62D69">
                  <w:pPr>
                    <w:rPr>
                      <w:rFonts w:ascii="Calibri" w:hAnsi="Calibri"/>
                      <w:color w:val="000000"/>
                      <w:sz w:val="22"/>
                      <w:szCs w:val="22"/>
                    </w:rPr>
                  </w:pPr>
                  <w:r>
                    <w:rPr>
                      <w:rFonts w:ascii="Calibri" w:hAnsi="Calibri"/>
                      <w:color w:val="000000"/>
                      <w:sz w:val="22"/>
                      <w:szCs w:val="22"/>
                    </w:rPr>
                    <w:t>1674/12/2014</w:t>
                  </w:r>
                </w:p>
              </w:tc>
              <w:tc>
                <w:tcPr>
                  <w:tcW w:w="1649" w:type="dxa"/>
                  <w:shd w:val="clear" w:color="auto" w:fill="auto"/>
                  <w:vAlign w:val="center"/>
                </w:tcPr>
                <w:p w:rsidR="007D767F" w:rsidRDefault="007D767F" w:rsidP="00F62D69">
                  <w:pPr>
                    <w:jc w:val="right"/>
                    <w:rPr>
                      <w:rFonts w:ascii="Calibri" w:hAnsi="Calibri"/>
                      <w:color w:val="000000"/>
                      <w:sz w:val="22"/>
                      <w:szCs w:val="22"/>
                    </w:rPr>
                  </w:pPr>
                  <w:r>
                    <w:rPr>
                      <w:rFonts w:ascii="Calibri" w:hAnsi="Calibri"/>
                      <w:color w:val="000000"/>
                      <w:sz w:val="22"/>
                      <w:szCs w:val="22"/>
                    </w:rPr>
                    <w:t>18/12/2014</w:t>
                  </w:r>
                </w:p>
              </w:tc>
              <w:tc>
                <w:tcPr>
                  <w:tcW w:w="3840" w:type="dxa"/>
                  <w:shd w:val="clear" w:color="auto" w:fill="auto"/>
                  <w:vAlign w:val="center"/>
                </w:tcPr>
                <w:p w:rsidR="007D767F" w:rsidRDefault="007D767F" w:rsidP="00F62D69">
                  <w:pPr>
                    <w:rPr>
                      <w:rFonts w:ascii="Calibri" w:hAnsi="Calibri"/>
                      <w:color w:val="000000"/>
                      <w:sz w:val="22"/>
                      <w:szCs w:val="22"/>
                    </w:rPr>
                  </w:pPr>
                  <w:r>
                    <w:rPr>
                      <w:rFonts w:ascii="Calibri" w:hAnsi="Calibri"/>
                      <w:color w:val="000000"/>
                      <w:sz w:val="22"/>
                      <w:szCs w:val="22"/>
                    </w:rPr>
                    <w:t>Prorroga vigencia de Reglamento de compensación por atención operaciones exportación vía marítima en períodos de inactividad 31/12/2014</w:t>
                  </w:r>
                </w:p>
              </w:tc>
            </w:tr>
            <w:tr w:rsidR="007D767F" w:rsidRPr="00B32C54" w:rsidTr="00F62D69">
              <w:tc>
                <w:tcPr>
                  <w:tcW w:w="1501" w:type="dxa"/>
                  <w:vAlign w:val="center"/>
                </w:tcPr>
                <w:p w:rsidR="007D767F" w:rsidRDefault="007D767F" w:rsidP="00F62D69">
                  <w:pPr>
                    <w:rPr>
                      <w:rFonts w:ascii="Calibri" w:hAnsi="Calibri"/>
                      <w:color w:val="000000"/>
                      <w:sz w:val="22"/>
                      <w:szCs w:val="22"/>
                    </w:rPr>
                  </w:pPr>
                  <w:r>
                    <w:rPr>
                      <w:rFonts w:ascii="Calibri" w:hAnsi="Calibri"/>
                      <w:color w:val="000000"/>
                      <w:sz w:val="22"/>
                      <w:szCs w:val="22"/>
                    </w:rPr>
                    <w:t>1742/12/2014</w:t>
                  </w:r>
                </w:p>
              </w:tc>
              <w:tc>
                <w:tcPr>
                  <w:tcW w:w="1649" w:type="dxa"/>
                  <w:shd w:val="clear" w:color="auto" w:fill="auto"/>
                  <w:vAlign w:val="center"/>
                </w:tcPr>
                <w:p w:rsidR="007D767F" w:rsidRDefault="007D767F" w:rsidP="00F62D69">
                  <w:pPr>
                    <w:jc w:val="right"/>
                    <w:rPr>
                      <w:rFonts w:ascii="Calibri" w:hAnsi="Calibri"/>
                      <w:color w:val="000000"/>
                      <w:sz w:val="22"/>
                      <w:szCs w:val="22"/>
                    </w:rPr>
                  </w:pPr>
                  <w:r>
                    <w:rPr>
                      <w:rFonts w:ascii="Calibri" w:hAnsi="Calibri"/>
                      <w:color w:val="000000"/>
                      <w:sz w:val="22"/>
                      <w:szCs w:val="22"/>
                    </w:rPr>
                    <w:t>30/12/2014</w:t>
                  </w:r>
                </w:p>
              </w:tc>
              <w:tc>
                <w:tcPr>
                  <w:tcW w:w="3840" w:type="dxa"/>
                  <w:shd w:val="clear" w:color="auto" w:fill="auto"/>
                  <w:vAlign w:val="center"/>
                </w:tcPr>
                <w:p w:rsidR="007D767F" w:rsidRDefault="007D767F" w:rsidP="00F62D69">
                  <w:pPr>
                    <w:rPr>
                      <w:rFonts w:ascii="Calibri" w:hAnsi="Calibri"/>
                      <w:color w:val="000000"/>
                      <w:sz w:val="22"/>
                      <w:szCs w:val="22"/>
                    </w:rPr>
                  </w:pPr>
                  <w:r>
                    <w:rPr>
                      <w:rFonts w:ascii="Calibri" w:hAnsi="Calibri"/>
                      <w:color w:val="000000"/>
                      <w:sz w:val="22"/>
                      <w:szCs w:val="22"/>
                    </w:rPr>
                    <w:t xml:space="preserve">Modifica Reglamento de Guardias Domiciliarias de Choferes </w:t>
                  </w:r>
                  <w:proofErr w:type="spellStart"/>
                  <w:r>
                    <w:rPr>
                      <w:rFonts w:ascii="Calibri" w:hAnsi="Calibri"/>
                      <w:color w:val="000000"/>
                      <w:sz w:val="22"/>
                      <w:szCs w:val="22"/>
                    </w:rPr>
                    <w:t>Tpte</w:t>
                  </w:r>
                  <w:proofErr w:type="spellEnd"/>
                  <w:r>
                    <w:rPr>
                      <w:rFonts w:ascii="Calibri" w:hAnsi="Calibri"/>
                      <w:color w:val="000000"/>
                      <w:sz w:val="22"/>
                      <w:szCs w:val="22"/>
                    </w:rPr>
                    <w:t>. Laguna del Sauce y Planta Carrasco</w:t>
                  </w:r>
                </w:p>
              </w:tc>
            </w:tr>
            <w:tr w:rsidR="007D767F" w:rsidRPr="00B32C54" w:rsidTr="00F62D69">
              <w:tc>
                <w:tcPr>
                  <w:tcW w:w="1501" w:type="dxa"/>
                  <w:vAlign w:val="center"/>
                </w:tcPr>
                <w:p w:rsidR="007D767F" w:rsidRDefault="007D767F" w:rsidP="00D81ACA">
                  <w:pPr>
                    <w:rPr>
                      <w:rFonts w:ascii="Calibri" w:hAnsi="Calibri"/>
                      <w:color w:val="000000"/>
                      <w:sz w:val="22"/>
                      <w:szCs w:val="22"/>
                    </w:rPr>
                  </w:pPr>
                  <w:r>
                    <w:rPr>
                      <w:rFonts w:ascii="Calibri" w:hAnsi="Calibri"/>
                      <w:color w:val="000000"/>
                      <w:sz w:val="22"/>
                      <w:szCs w:val="22"/>
                    </w:rPr>
                    <w:t>156/02/2015</w:t>
                  </w:r>
                </w:p>
              </w:tc>
              <w:tc>
                <w:tcPr>
                  <w:tcW w:w="1649" w:type="dxa"/>
                  <w:shd w:val="clear" w:color="auto" w:fill="auto"/>
                  <w:vAlign w:val="center"/>
                </w:tcPr>
                <w:p w:rsidR="007D767F" w:rsidRDefault="007D767F" w:rsidP="00F62D69">
                  <w:pPr>
                    <w:jc w:val="right"/>
                    <w:rPr>
                      <w:rFonts w:ascii="Calibri" w:hAnsi="Calibri"/>
                      <w:color w:val="000000"/>
                      <w:sz w:val="22"/>
                      <w:szCs w:val="22"/>
                    </w:rPr>
                  </w:pPr>
                  <w:r>
                    <w:rPr>
                      <w:rFonts w:ascii="Calibri" w:hAnsi="Calibri"/>
                      <w:color w:val="000000"/>
                      <w:sz w:val="22"/>
                      <w:szCs w:val="22"/>
                    </w:rPr>
                    <w:t>12/02/2015</w:t>
                  </w:r>
                </w:p>
              </w:tc>
              <w:tc>
                <w:tcPr>
                  <w:tcW w:w="3840" w:type="dxa"/>
                  <w:shd w:val="clear" w:color="auto" w:fill="auto"/>
                  <w:vAlign w:val="center"/>
                </w:tcPr>
                <w:p w:rsidR="007D767F" w:rsidRDefault="007D767F" w:rsidP="00F62D69">
                  <w:pPr>
                    <w:rPr>
                      <w:rFonts w:ascii="Calibri" w:hAnsi="Calibri"/>
                      <w:color w:val="000000"/>
                      <w:sz w:val="22"/>
                      <w:szCs w:val="22"/>
                    </w:rPr>
                  </w:pPr>
                  <w:r>
                    <w:rPr>
                      <w:rFonts w:ascii="Calibri" w:hAnsi="Calibri"/>
                      <w:color w:val="000000"/>
                      <w:sz w:val="22"/>
                      <w:szCs w:val="22"/>
                    </w:rPr>
                    <w:t xml:space="preserve">Compensación mensual para asistentes de Intendencia Servicio 5° piso </w:t>
                  </w:r>
                </w:p>
              </w:tc>
            </w:tr>
            <w:tr w:rsidR="007D767F" w:rsidRPr="00B32C54" w:rsidTr="00F62D69">
              <w:tc>
                <w:tcPr>
                  <w:tcW w:w="1501" w:type="dxa"/>
                  <w:vAlign w:val="center"/>
                </w:tcPr>
                <w:p w:rsidR="007D767F" w:rsidRDefault="007D767F" w:rsidP="00F62D69">
                  <w:pPr>
                    <w:rPr>
                      <w:rFonts w:ascii="Calibri" w:hAnsi="Calibri"/>
                      <w:color w:val="000000"/>
                      <w:sz w:val="22"/>
                      <w:szCs w:val="22"/>
                    </w:rPr>
                  </w:pPr>
                  <w:r>
                    <w:rPr>
                      <w:rFonts w:ascii="Calibri" w:hAnsi="Calibri"/>
                      <w:color w:val="000000"/>
                      <w:sz w:val="22"/>
                      <w:szCs w:val="22"/>
                    </w:rPr>
                    <w:t>171/2/2015</w:t>
                  </w:r>
                </w:p>
              </w:tc>
              <w:tc>
                <w:tcPr>
                  <w:tcW w:w="1649" w:type="dxa"/>
                  <w:shd w:val="clear" w:color="auto" w:fill="auto"/>
                  <w:vAlign w:val="center"/>
                </w:tcPr>
                <w:p w:rsidR="007D767F" w:rsidRDefault="007D767F" w:rsidP="00F62D69">
                  <w:pPr>
                    <w:jc w:val="right"/>
                    <w:rPr>
                      <w:rFonts w:ascii="Calibri" w:hAnsi="Calibri"/>
                      <w:color w:val="000000"/>
                      <w:sz w:val="22"/>
                      <w:szCs w:val="22"/>
                    </w:rPr>
                  </w:pPr>
                  <w:r>
                    <w:rPr>
                      <w:rFonts w:ascii="Calibri" w:hAnsi="Calibri"/>
                      <w:color w:val="000000"/>
                      <w:sz w:val="22"/>
                      <w:szCs w:val="22"/>
                    </w:rPr>
                    <w:t>26/02/2015</w:t>
                  </w:r>
                </w:p>
              </w:tc>
              <w:tc>
                <w:tcPr>
                  <w:tcW w:w="3840" w:type="dxa"/>
                  <w:shd w:val="clear" w:color="auto" w:fill="auto"/>
                  <w:vAlign w:val="center"/>
                </w:tcPr>
                <w:p w:rsidR="007D767F" w:rsidRDefault="007D767F" w:rsidP="00F62D69">
                  <w:pPr>
                    <w:rPr>
                      <w:rFonts w:ascii="Calibri" w:hAnsi="Calibri"/>
                      <w:color w:val="000000"/>
                      <w:sz w:val="22"/>
                      <w:szCs w:val="22"/>
                    </w:rPr>
                  </w:pPr>
                  <w:r>
                    <w:rPr>
                      <w:rFonts w:ascii="Calibri" w:hAnsi="Calibri"/>
                      <w:color w:val="000000"/>
                      <w:sz w:val="22"/>
                      <w:szCs w:val="22"/>
                    </w:rPr>
                    <w:t>Modifica el reglamento de compensaciones para el trabajo de Régimen de turnos  Res (D) 194/2/2013 Res (D) 984/7/2014</w:t>
                  </w:r>
                </w:p>
              </w:tc>
            </w:tr>
            <w:tr w:rsidR="007D767F" w:rsidRPr="00B32C54" w:rsidTr="00F62D69">
              <w:tc>
                <w:tcPr>
                  <w:tcW w:w="1501" w:type="dxa"/>
                  <w:vAlign w:val="center"/>
                </w:tcPr>
                <w:p w:rsidR="007D767F" w:rsidRDefault="007D767F" w:rsidP="00F62D69">
                  <w:pPr>
                    <w:rPr>
                      <w:rFonts w:ascii="Calibri" w:hAnsi="Calibri"/>
                      <w:color w:val="000000"/>
                      <w:sz w:val="22"/>
                      <w:szCs w:val="22"/>
                    </w:rPr>
                  </w:pPr>
                  <w:r>
                    <w:rPr>
                      <w:rFonts w:ascii="Calibri" w:hAnsi="Calibri"/>
                      <w:color w:val="000000"/>
                      <w:sz w:val="22"/>
                      <w:szCs w:val="22"/>
                    </w:rPr>
                    <w:t>814/7/2015</w:t>
                  </w:r>
                </w:p>
              </w:tc>
              <w:tc>
                <w:tcPr>
                  <w:tcW w:w="1649" w:type="dxa"/>
                  <w:shd w:val="clear" w:color="auto" w:fill="auto"/>
                  <w:vAlign w:val="center"/>
                </w:tcPr>
                <w:p w:rsidR="007D767F" w:rsidRDefault="007D767F" w:rsidP="00F62D69">
                  <w:pPr>
                    <w:jc w:val="right"/>
                    <w:rPr>
                      <w:rFonts w:ascii="Calibri" w:hAnsi="Calibri"/>
                      <w:color w:val="000000"/>
                      <w:sz w:val="22"/>
                      <w:szCs w:val="22"/>
                    </w:rPr>
                  </w:pPr>
                  <w:r>
                    <w:rPr>
                      <w:rFonts w:ascii="Calibri" w:hAnsi="Calibri"/>
                      <w:color w:val="000000"/>
                      <w:sz w:val="22"/>
                      <w:szCs w:val="22"/>
                    </w:rPr>
                    <w:t>16/07/2015</w:t>
                  </w:r>
                </w:p>
              </w:tc>
              <w:tc>
                <w:tcPr>
                  <w:tcW w:w="3840" w:type="dxa"/>
                  <w:shd w:val="clear" w:color="auto" w:fill="auto"/>
                  <w:vAlign w:val="center"/>
                </w:tcPr>
                <w:p w:rsidR="007D767F" w:rsidRDefault="007D767F" w:rsidP="00F62D69">
                  <w:pPr>
                    <w:rPr>
                      <w:rFonts w:ascii="Calibri" w:hAnsi="Calibri"/>
                      <w:color w:val="000000"/>
                      <w:sz w:val="22"/>
                      <w:szCs w:val="22"/>
                    </w:rPr>
                  </w:pPr>
                  <w:r>
                    <w:rPr>
                      <w:rFonts w:ascii="Calibri" w:hAnsi="Calibri"/>
                      <w:color w:val="000000"/>
                      <w:sz w:val="22"/>
                      <w:szCs w:val="22"/>
                    </w:rPr>
                    <w:t>Modifica Reglamentación Horas Extras Res (D) 1076/10/2010 y Res(D) 620/5/2012 y 196/2/2013</w:t>
                  </w:r>
                </w:p>
              </w:tc>
            </w:tr>
            <w:tr w:rsidR="007D767F" w:rsidRPr="00B32C54" w:rsidTr="00F62D69">
              <w:tc>
                <w:tcPr>
                  <w:tcW w:w="1501" w:type="dxa"/>
                  <w:vAlign w:val="center"/>
                </w:tcPr>
                <w:p w:rsidR="007D767F" w:rsidRDefault="007D767F" w:rsidP="00F62D69">
                  <w:pPr>
                    <w:rPr>
                      <w:rFonts w:ascii="Calibri" w:hAnsi="Calibri"/>
                      <w:color w:val="000000"/>
                      <w:sz w:val="22"/>
                      <w:szCs w:val="22"/>
                    </w:rPr>
                  </w:pPr>
                  <w:r>
                    <w:rPr>
                      <w:rFonts w:ascii="Calibri" w:hAnsi="Calibri"/>
                      <w:color w:val="000000"/>
                      <w:sz w:val="22"/>
                      <w:szCs w:val="22"/>
                    </w:rPr>
                    <w:t>1048/10/2015</w:t>
                  </w:r>
                </w:p>
              </w:tc>
              <w:tc>
                <w:tcPr>
                  <w:tcW w:w="1649" w:type="dxa"/>
                  <w:shd w:val="clear" w:color="auto" w:fill="auto"/>
                  <w:vAlign w:val="center"/>
                </w:tcPr>
                <w:p w:rsidR="007D767F" w:rsidRDefault="007D767F" w:rsidP="00F62D69">
                  <w:pPr>
                    <w:jc w:val="right"/>
                    <w:rPr>
                      <w:rFonts w:ascii="Calibri" w:hAnsi="Calibri"/>
                      <w:color w:val="000000"/>
                      <w:sz w:val="22"/>
                      <w:szCs w:val="22"/>
                    </w:rPr>
                  </w:pPr>
                  <w:r>
                    <w:rPr>
                      <w:rFonts w:ascii="Calibri" w:hAnsi="Calibri"/>
                      <w:color w:val="000000"/>
                      <w:sz w:val="22"/>
                      <w:szCs w:val="22"/>
                    </w:rPr>
                    <w:t>01/10/2015</w:t>
                  </w:r>
                </w:p>
              </w:tc>
              <w:tc>
                <w:tcPr>
                  <w:tcW w:w="3840" w:type="dxa"/>
                  <w:shd w:val="clear" w:color="auto" w:fill="auto"/>
                  <w:vAlign w:val="center"/>
                </w:tcPr>
                <w:p w:rsidR="007D767F" w:rsidRDefault="007D767F" w:rsidP="00F62D69">
                  <w:pPr>
                    <w:rPr>
                      <w:rFonts w:ascii="Calibri" w:hAnsi="Calibri"/>
                      <w:color w:val="000000"/>
                      <w:sz w:val="22"/>
                      <w:szCs w:val="22"/>
                    </w:rPr>
                  </w:pPr>
                  <w:r>
                    <w:rPr>
                      <w:rFonts w:ascii="Calibri" w:hAnsi="Calibri"/>
                      <w:color w:val="000000"/>
                      <w:sz w:val="22"/>
                      <w:szCs w:val="22"/>
                    </w:rPr>
                    <w:t>Modifica Nómina taxativa "Tareas especiales" Res (D) 728/5/998 y Res (d) 707/4/991</w:t>
                  </w:r>
                </w:p>
              </w:tc>
            </w:tr>
            <w:tr w:rsidR="007D767F" w:rsidRPr="00B32C54" w:rsidTr="00F62D69">
              <w:tc>
                <w:tcPr>
                  <w:tcW w:w="1501" w:type="dxa"/>
                  <w:vAlign w:val="center"/>
                </w:tcPr>
                <w:p w:rsidR="007D767F" w:rsidRDefault="007D767F" w:rsidP="00F62D69">
                  <w:pPr>
                    <w:rPr>
                      <w:rFonts w:ascii="Calibri" w:hAnsi="Calibri"/>
                      <w:color w:val="000000"/>
                      <w:sz w:val="22"/>
                      <w:szCs w:val="22"/>
                    </w:rPr>
                  </w:pPr>
                  <w:r>
                    <w:rPr>
                      <w:rFonts w:ascii="Calibri" w:hAnsi="Calibri"/>
                      <w:color w:val="000000"/>
                      <w:sz w:val="22"/>
                      <w:szCs w:val="22"/>
                    </w:rPr>
                    <w:t>1088/10/2015</w:t>
                  </w:r>
                </w:p>
              </w:tc>
              <w:tc>
                <w:tcPr>
                  <w:tcW w:w="1649" w:type="dxa"/>
                  <w:shd w:val="clear" w:color="auto" w:fill="auto"/>
                  <w:vAlign w:val="center"/>
                </w:tcPr>
                <w:p w:rsidR="007D767F" w:rsidRDefault="007D767F" w:rsidP="00F62D69">
                  <w:pPr>
                    <w:jc w:val="right"/>
                    <w:rPr>
                      <w:rFonts w:ascii="Calibri" w:hAnsi="Calibri"/>
                      <w:color w:val="000000"/>
                      <w:sz w:val="22"/>
                      <w:szCs w:val="22"/>
                    </w:rPr>
                  </w:pPr>
                  <w:r>
                    <w:rPr>
                      <w:rFonts w:ascii="Calibri" w:hAnsi="Calibri"/>
                      <w:color w:val="000000"/>
                      <w:sz w:val="22"/>
                      <w:szCs w:val="22"/>
                    </w:rPr>
                    <w:t>22/10/2015</w:t>
                  </w:r>
                </w:p>
              </w:tc>
              <w:tc>
                <w:tcPr>
                  <w:tcW w:w="3840" w:type="dxa"/>
                  <w:shd w:val="clear" w:color="auto" w:fill="auto"/>
                  <w:vAlign w:val="center"/>
                </w:tcPr>
                <w:p w:rsidR="007D767F" w:rsidRDefault="007D767F" w:rsidP="00F62D69">
                  <w:pPr>
                    <w:rPr>
                      <w:rFonts w:ascii="Calibri" w:hAnsi="Calibri"/>
                      <w:color w:val="000000"/>
                      <w:sz w:val="22"/>
                      <w:szCs w:val="22"/>
                    </w:rPr>
                  </w:pPr>
                  <w:r>
                    <w:rPr>
                      <w:rFonts w:ascii="Calibri" w:hAnsi="Calibri"/>
                      <w:color w:val="000000"/>
                      <w:sz w:val="22"/>
                      <w:szCs w:val="22"/>
                    </w:rPr>
                    <w:t xml:space="preserve">Condiciona viáticos a Asesores y Secretarios de Directores </w:t>
                  </w:r>
                </w:p>
              </w:tc>
            </w:tr>
            <w:tr w:rsidR="007D767F" w:rsidRPr="00B32C54" w:rsidTr="00F62D69">
              <w:tc>
                <w:tcPr>
                  <w:tcW w:w="1501" w:type="dxa"/>
                  <w:vAlign w:val="center"/>
                </w:tcPr>
                <w:p w:rsidR="007D767F" w:rsidRDefault="007D767F" w:rsidP="00F62D69">
                  <w:pPr>
                    <w:rPr>
                      <w:rFonts w:ascii="Calibri" w:hAnsi="Calibri"/>
                      <w:color w:val="000000"/>
                      <w:sz w:val="22"/>
                      <w:szCs w:val="22"/>
                    </w:rPr>
                  </w:pPr>
                  <w:r>
                    <w:rPr>
                      <w:rFonts w:ascii="Calibri" w:hAnsi="Calibri"/>
                      <w:color w:val="000000"/>
                      <w:sz w:val="22"/>
                      <w:szCs w:val="22"/>
                    </w:rPr>
                    <w:t>1145/11/2015</w:t>
                  </w:r>
                </w:p>
              </w:tc>
              <w:tc>
                <w:tcPr>
                  <w:tcW w:w="1649" w:type="dxa"/>
                  <w:shd w:val="clear" w:color="auto" w:fill="auto"/>
                  <w:vAlign w:val="center"/>
                </w:tcPr>
                <w:p w:rsidR="007D767F" w:rsidRDefault="007D767F" w:rsidP="00F62D69">
                  <w:pPr>
                    <w:jc w:val="right"/>
                    <w:rPr>
                      <w:rFonts w:ascii="Calibri" w:hAnsi="Calibri"/>
                      <w:color w:val="000000"/>
                      <w:sz w:val="22"/>
                      <w:szCs w:val="22"/>
                    </w:rPr>
                  </w:pPr>
                  <w:r>
                    <w:rPr>
                      <w:rFonts w:ascii="Calibri" w:hAnsi="Calibri"/>
                      <w:color w:val="000000"/>
                      <w:sz w:val="22"/>
                      <w:szCs w:val="22"/>
                    </w:rPr>
                    <w:t>05/11/2015</w:t>
                  </w:r>
                </w:p>
              </w:tc>
              <w:tc>
                <w:tcPr>
                  <w:tcW w:w="3840" w:type="dxa"/>
                  <w:shd w:val="clear" w:color="auto" w:fill="auto"/>
                  <w:vAlign w:val="center"/>
                </w:tcPr>
                <w:p w:rsidR="007D767F" w:rsidRDefault="007D767F" w:rsidP="00F62D69">
                  <w:pPr>
                    <w:rPr>
                      <w:rFonts w:ascii="Calibri" w:hAnsi="Calibri"/>
                      <w:color w:val="000000"/>
                      <w:sz w:val="22"/>
                      <w:szCs w:val="22"/>
                    </w:rPr>
                  </w:pPr>
                  <w:r>
                    <w:rPr>
                      <w:rFonts w:ascii="Calibri" w:hAnsi="Calibri"/>
                      <w:color w:val="000000"/>
                      <w:sz w:val="22"/>
                      <w:szCs w:val="22"/>
                    </w:rPr>
                    <w:t xml:space="preserve">Convenio Laboral provisorio embarcación </w:t>
                  </w:r>
                  <w:proofErr w:type="spellStart"/>
                  <w:r>
                    <w:rPr>
                      <w:rFonts w:ascii="Calibri" w:hAnsi="Calibri"/>
                      <w:color w:val="000000"/>
                      <w:sz w:val="22"/>
                      <w:szCs w:val="22"/>
                    </w:rPr>
                    <w:t>Ky</w:t>
                  </w:r>
                  <w:proofErr w:type="spellEnd"/>
                  <w:r>
                    <w:rPr>
                      <w:rFonts w:ascii="Calibri" w:hAnsi="Calibri"/>
                      <w:color w:val="000000"/>
                      <w:sz w:val="22"/>
                      <w:szCs w:val="22"/>
                    </w:rPr>
                    <w:t xml:space="preserve"> </w:t>
                  </w:r>
                  <w:proofErr w:type="spellStart"/>
                  <w:r>
                    <w:rPr>
                      <w:rFonts w:ascii="Calibri" w:hAnsi="Calibri"/>
                      <w:color w:val="000000"/>
                      <w:sz w:val="22"/>
                      <w:szCs w:val="22"/>
                    </w:rPr>
                    <w:t>Chororó</w:t>
                  </w:r>
                  <w:proofErr w:type="spellEnd"/>
                </w:p>
              </w:tc>
            </w:tr>
            <w:tr w:rsidR="007D767F" w:rsidRPr="00B32C54" w:rsidTr="00F62D69">
              <w:tc>
                <w:tcPr>
                  <w:tcW w:w="1501" w:type="dxa"/>
                  <w:vAlign w:val="center"/>
                </w:tcPr>
                <w:p w:rsidR="007D767F" w:rsidRDefault="007D767F" w:rsidP="00F62D69">
                  <w:pPr>
                    <w:rPr>
                      <w:rFonts w:ascii="Calibri" w:hAnsi="Calibri"/>
                      <w:color w:val="000000"/>
                      <w:sz w:val="22"/>
                      <w:szCs w:val="22"/>
                    </w:rPr>
                  </w:pPr>
                  <w:r>
                    <w:rPr>
                      <w:rFonts w:ascii="Calibri" w:hAnsi="Calibri"/>
                      <w:color w:val="000000"/>
                      <w:sz w:val="22"/>
                      <w:szCs w:val="22"/>
                    </w:rPr>
                    <w:t>210/4/2016</w:t>
                  </w:r>
                </w:p>
              </w:tc>
              <w:tc>
                <w:tcPr>
                  <w:tcW w:w="1649" w:type="dxa"/>
                  <w:shd w:val="clear" w:color="auto" w:fill="auto"/>
                  <w:vAlign w:val="center"/>
                </w:tcPr>
                <w:p w:rsidR="007D767F" w:rsidRDefault="007D767F" w:rsidP="00F62D69">
                  <w:pPr>
                    <w:jc w:val="right"/>
                    <w:rPr>
                      <w:rFonts w:ascii="Calibri" w:hAnsi="Calibri"/>
                      <w:color w:val="000000"/>
                      <w:sz w:val="22"/>
                      <w:szCs w:val="22"/>
                    </w:rPr>
                  </w:pPr>
                  <w:r>
                    <w:rPr>
                      <w:rFonts w:ascii="Calibri" w:hAnsi="Calibri"/>
                      <w:color w:val="000000"/>
                      <w:sz w:val="22"/>
                      <w:szCs w:val="22"/>
                    </w:rPr>
                    <w:t>07/04/2016</w:t>
                  </w:r>
                </w:p>
              </w:tc>
              <w:tc>
                <w:tcPr>
                  <w:tcW w:w="3840" w:type="dxa"/>
                  <w:shd w:val="clear" w:color="auto" w:fill="auto"/>
                  <w:vAlign w:val="center"/>
                </w:tcPr>
                <w:p w:rsidR="007D767F" w:rsidRDefault="007D767F" w:rsidP="00F62D69">
                  <w:pPr>
                    <w:rPr>
                      <w:rFonts w:ascii="Calibri" w:hAnsi="Calibri"/>
                      <w:color w:val="000000"/>
                      <w:sz w:val="22"/>
                      <w:szCs w:val="22"/>
                    </w:rPr>
                  </w:pPr>
                  <w:r>
                    <w:rPr>
                      <w:rFonts w:ascii="Calibri" w:hAnsi="Calibri"/>
                      <w:color w:val="000000"/>
                      <w:sz w:val="22"/>
                      <w:szCs w:val="22"/>
                    </w:rPr>
                    <w:t>Aprueba suscripción de Convenio Compensación Atención Emergencias para modificar Reglamento Compensación Atención Emergencias Res(D) 712/8/2009</w:t>
                  </w:r>
                </w:p>
              </w:tc>
            </w:tr>
          </w:tbl>
          <w:p w:rsidR="007D767F" w:rsidRDefault="007D767F" w:rsidP="00F62D69">
            <w:pPr>
              <w:pStyle w:val="Textoindependiente2"/>
            </w:pPr>
          </w:p>
        </w:tc>
      </w:tr>
    </w:tbl>
    <w:p w:rsidR="007D767F" w:rsidRPr="00C96FF9" w:rsidRDefault="007D767F" w:rsidP="00BA5B22">
      <w:pPr>
        <w:spacing w:line="360" w:lineRule="auto"/>
        <w:jc w:val="both"/>
        <w:rPr>
          <w:rFonts w:ascii="Arial" w:hAnsi="Arial" w:cs="Arial"/>
          <w:spacing w:val="-3"/>
          <w:sz w:val="24"/>
          <w:szCs w:val="24"/>
          <w:lang w:val="es-ES_tradnl"/>
        </w:rPr>
      </w:pPr>
      <w:r w:rsidRPr="00C96FF9">
        <w:rPr>
          <w:rFonts w:ascii="Arial" w:hAnsi="Arial" w:cs="Arial"/>
          <w:spacing w:val="-3"/>
          <w:sz w:val="24"/>
          <w:szCs w:val="24"/>
          <w:lang w:val="es-ES_tradnl"/>
        </w:rPr>
        <w:t>Asimismo, dicho</w:t>
      </w:r>
      <w:r>
        <w:rPr>
          <w:rFonts w:ascii="Arial" w:hAnsi="Arial" w:cs="Arial"/>
          <w:spacing w:val="-3"/>
          <w:sz w:val="24"/>
          <w:szCs w:val="24"/>
          <w:lang w:val="es-ES_tradnl"/>
        </w:rPr>
        <w:t xml:space="preserve"> A</w:t>
      </w:r>
      <w:r w:rsidRPr="00C96FF9">
        <w:rPr>
          <w:rFonts w:ascii="Arial" w:hAnsi="Arial" w:cs="Arial"/>
          <w:spacing w:val="-3"/>
          <w:sz w:val="24"/>
          <w:szCs w:val="24"/>
          <w:lang w:val="es-ES_tradnl"/>
        </w:rPr>
        <w:t>rtículo debe incluir toda otra resolución vigente relacionada con las partidas presupuestadas en el Grupo “0” de Retribuciones Personales, renglón 5.01-“Otras Retribuciones: Compensaciones”.</w:t>
      </w:r>
    </w:p>
    <w:p w:rsidR="007D767F" w:rsidRPr="00C96FF9" w:rsidRDefault="007D767F" w:rsidP="00BA5B22">
      <w:pPr>
        <w:spacing w:line="360" w:lineRule="auto"/>
        <w:jc w:val="both"/>
        <w:rPr>
          <w:rFonts w:cs="Arial"/>
          <w:szCs w:val="24"/>
          <w:lang w:val="es-ES_tradnl"/>
        </w:rPr>
      </w:pPr>
      <w:r w:rsidRPr="00C96FF9">
        <w:rPr>
          <w:rFonts w:ascii="Arial" w:hAnsi="Arial" w:cs="Arial"/>
          <w:b/>
          <w:bCs/>
          <w:sz w:val="24"/>
          <w:szCs w:val="24"/>
        </w:rPr>
        <w:t>2.1</w:t>
      </w:r>
      <w:r>
        <w:rPr>
          <w:rFonts w:ascii="Arial" w:hAnsi="Arial" w:cs="Arial"/>
          <w:b/>
          <w:bCs/>
          <w:sz w:val="24"/>
          <w:szCs w:val="24"/>
        </w:rPr>
        <w:t>1</w:t>
      </w:r>
      <w:r w:rsidRPr="00C96FF9">
        <w:rPr>
          <w:rFonts w:ascii="Arial" w:hAnsi="Arial" w:cs="Arial"/>
          <w:bCs/>
          <w:sz w:val="24"/>
          <w:szCs w:val="24"/>
        </w:rPr>
        <w:t xml:space="preserve">)  </w:t>
      </w:r>
      <w:r>
        <w:rPr>
          <w:rFonts w:ascii="Arial" w:hAnsi="Arial" w:cs="Arial"/>
          <w:sz w:val="24"/>
          <w:szCs w:val="24"/>
        </w:rPr>
        <w:t xml:space="preserve">El Artículo antes referido contiene un error al mencionar la Res. (D) 682/11/2013 en vez de la Res. (D) 1682/11/16 referida a </w:t>
      </w:r>
      <w:r w:rsidRPr="003D2D97">
        <w:rPr>
          <w:rFonts w:ascii="Arial" w:hAnsi="Arial" w:cs="Arial"/>
          <w:snapToGrid/>
          <w:color w:val="000000"/>
          <w:sz w:val="24"/>
          <w:szCs w:val="24"/>
          <w:lang w:val="es-UY" w:eastAsia="es-UY"/>
        </w:rPr>
        <w:t>Compensaci</w:t>
      </w:r>
      <w:r>
        <w:rPr>
          <w:rFonts w:ascii="Arial" w:hAnsi="Arial" w:cs="Arial"/>
          <w:snapToGrid/>
          <w:color w:val="000000"/>
          <w:sz w:val="24"/>
          <w:szCs w:val="24"/>
          <w:lang w:val="es-UY" w:eastAsia="es-UY"/>
        </w:rPr>
        <w:t xml:space="preserve">ones </w:t>
      </w:r>
      <w:proofErr w:type="gramStart"/>
      <w:r>
        <w:rPr>
          <w:rFonts w:ascii="Arial" w:hAnsi="Arial" w:cs="Arial"/>
          <w:snapToGrid/>
          <w:color w:val="000000"/>
          <w:sz w:val="24"/>
          <w:szCs w:val="24"/>
          <w:lang w:val="es-UY" w:eastAsia="es-UY"/>
        </w:rPr>
        <w:t>por ”</w:t>
      </w:r>
      <w:proofErr w:type="gramEnd"/>
      <w:r>
        <w:rPr>
          <w:rFonts w:ascii="Arial" w:hAnsi="Arial" w:cs="Arial"/>
          <w:snapToGrid/>
          <w:color w:val="000000"/>
          <w:sz w:val="24"/>
          <w:szCs w:val="24"/>
          <w:lang w:val="es-UY" w:eastAsia="es-UY"/>
        </w:rPr>
        <w:t>Operación de</w:t>
      </w:r>
      <w:r w:rsidRPr="003D2D97">
        <w:rPr>
          <w:rFonts w:ascii="Arial" w:hAnsi="Arial" w:cs="Arial"/>
          <w:snapToGrid/>
          <w:color w:val="000000"/>
          <w:sz w:val="24"/>
          <w:szCs w:val="24"/>
          <w:lang w:val="es-UY" w:eastAsia="es-UY"/>
        </w:rPr>
        <w:t xml:space="preserve"> Grúa</w:t>
      </w:r>
      <w:r>
        <w:rPr>
          <w:rFonts w:ascii="Arial" w:hAnsi="Arial" w:cs="Arial"/>
          <w:snapToGrid/>
          <w:color w:val="000000"/>
          <w:sz w:val="24"/>
          <w:szCs w:val="24"/>
          <w:lang w:val="es-UY" w:eastAsia="es-UY"/>
        </w:rPr>
        <w:t>”.</w:t>
      </w:r>
    </w:p>
    <w:p w:rsidR="007D767F" w:rsidRPr="00C96FF9" w:rsidRDefault="007D767F" w:rsidP="00BA5B22">
      <w:pPr>
        <w:spacing w:line="360" w:lineRule="auto"/>
        <w:jc w:val="both"/>
        <w:rPr>
          <w:rFonts w:ascii="Arial" w:hAnsi="Arial" w:cs="Arial"/>
          <w:sz w:val="24"/>
          <w:szCs w:val="24"/>
        </w:rPr>
      </w:pPr>
      <w:r w:rsidRPr="00C96FF9">
        <w:rPr>
          <w:rFonts w:ascii="Arial" w:hAnsi="Arial" w:cs="Arial"/>
          <w:b/>
          <w:sz w:val="24"/>
          <w:szCs w:val="24"/>
        </w:rPr>
        <w:t>2.1</w:t>
      </w:r>
      <w:r>
        <w:rPr>
          <w:rFonts w:ascii="Arial" w:hAnsi="Arial" w:cs="Arial"/>
          <w:b/>
          <w:sz w:val="24"/>
          <w:szCs w:val="24"/>
        </w:rPr>
        <w:t>2</w:t>
      </w:r>
      <w:r w:rsidRPr="00C96FF9">
        <w:rPr>
          <w:rFonts w:ascii="Arial" w:hAnsi="Arial" w:cs="Arial"/>
          <w:b/>
          <w:sz w:val="24"/>
          <w:szCs w:val="24"/>
        </w:rPr>
        <w:t>)</w:t>
      </w:r>
      <w:r w:rsidRPr="00C96FF9">
        <w:rPr>
          <w:rFonts w:ascii="Arial" w:hAnsi="Arial" w:cs="Arial"/>
          <w:sz w:val="24"/>
          <w:szCs w:val="24"/>
        </w:rPr>
        <w:t xml:space="preserve"> </w:t>
      </w:r>
      <w:r w:rsidRPr="00C96FF9">
        <w:rPr>
          <w:rFonts w:ascii="Arial" w:hAnsi="Arial" w:cs="Arial"/>
          <w:spacing w:val="-3"/>
          <w:sz w:val="24"/>
          <w:szCs w:val="24"/>
          <w:lang w:val="es-ES_tradnl"/>
        </w:rPr>
        <w:t>En referenci</w:t>
      </w:r>
      <w:r>
        <w:rPr>
          <w:rFonts w:ascii="Arial" w:hAnsi="Arial" w:cs="Arial"/>
          <w:spacing w:val="-3"/>
          <w:sz w:val="24"/>
          <w:szCs w:val="24"/>
          <w:lang w:val="es-ES_tradnl"/>
        </w:rPr>
        <w:t>a a la previsión del Artículo 22</w:t>
      </w:r>
      <w:r w:rsidRPr="00C96FF9">
        <w:rPr>
          <w:rFonts w:ascii="Arial" w:hAnsi="Arial" w:cs="Arial"/>
          <w:spacing w:val="-3"/>
          <w:sz w:val="24"/>
          <w:szCs w:val="24"/>
          <w:lang w:val="es-ES_tradnl"/>
        </w:rPr>
        <w:t xml:space="preserve"> de las Normas de Ejecución Presupuestal, relativa a nocturnidad</w:t>
      </w:r>
      <w:r w:rsidRPr="00C96FF9">
        <w:rPr>
          <w:rFonts w:ascii="Arial" w:hAnsi="Arial" w:cs="Arial"/>
          <w:sz w:val="24"/>
          <w:szCs w:val="24"/>
        </w:rPr>
        <w:t xml:space="preserve">, deberá tenerse presente lo dispuesto en la Ley 19.313, de 13 de febrero de 2015, </w:t>
      </w:r>
      <w:r>
        <w:rPr>
          <w:rFonts w:ascii="Arial" w:hAnsi="Arial" w:cs="Arial"/>
          <w:sz w:val="24"/>
          <w:szCs w:val="24"/>
        </w:rPr>
        <w:t>en la que se establece una sobretasa mínima por nocturnidad del 20%, c</w:t>
      </w:r>
      <w:r w:rsidRPr="00C96FF9">
        <w:rPr>
          <w:rFonts w:ascii="Arial" w:hAnsi="Arial" w:cs="Arial"/>
          <w:sz w:val="24"/>
          <w:szCs w:val="24"/>
        </w:rPr>
        <w:t>onsiderándose como trabajo nocturno todo aquel que se desempeñe entre las 22 horas y las 6 horas del día siguiente.</w:t>
      </w:r>
    </w:p>
    <w:p w:rsidR="007D767F" w:rsidRPr="00C96FF9" w:rsidRDefault="007D767F" w:rsidP="00BA5B22">
      <w:pPr>
        <w:spacing w:line="360" w:lineRule="auto"/>
        <w:jc w:val="both"/>
        <w:rPr>
          <w:rFonts w:ascii="Arial" w:hAnsi="Arial" w:cs="Arial"/>
          <w:sz w:val="24"/>
          <w:szCs w:val="24"/>
        </w:rPr>
      </w:pPr>
      <w:r w:rsidRPr="00C96FF9">
        <w:rPr>
          <w:rFonts w:ascii="Arial" w:hAnsi="Arial" w:cs="Arial"/>
          <w:b/>
          <w:sz w:val="24"/>
          <w:szCs w:val="24"/>
        </w:rPr>
        <w:t>2.1</w:t>
      </w:r>
      <w:r>
        <w:rPr>
          <w:rFonts w:ascii="Arial" w:hAnsi="Arial" w:cs="Arial"/>
          <w:b/>
          <w:sz w:val="24"/>
          <w:szCs w:val="24"/>
        </w:rPr>
        <w:t>3</w:t>
      </w:r>
      <w:r w:rsidRPr="00C96FF9">
        <w:rPr>
          <w:rFonts w:ascii="Arial" w:hAnsi="Arial" w:cs="Arial"/>
          <w:b/>
          <w:sz w:val="24"/>
          <w:szCs w:val="24"/>
        </w:rPr>
        <w:t>)</w:t>
      </w:r>
      <w:r w:rsidRPr="00C96FF9">
        <w:rPr>
          <w:rFonts w:ascii="Arial" w:hAnsi="Arial" w:cs="Arial"/>
          <w:sz w:val="24"/>
          <w:szCs w:val="24"/>
        </w:rPr>
        <w:t xml:space="preserve">  Con relación a la aplicación del Clasificador del Gasto Público dispuesto en el </w:t>
      </w:r>
      <w:r>
        <w:rPr>
          <w:rFonts w:ascii="Arial" w:hAnsi="Arial" w:cs="Arial"/>
          <w:sz w:val="24"/>
          <w:szCs w:val="24"/>
        </w:rPr>
        <w:t>Decreto</w:t>
      </w:r>
      <w:r w:rsidRPr="00C96FF9">
        <w:rPr>
          <w:rFonts w:ascii="Arial" w:hAnsi="Arial" w:cs="Arial"/>
          <w:sz w:val="24"/>
          <w:szCs w:val="24"/>
        </w:rPr>
        <w:t xml:space="preserve"> N° 395/98 de 30 de diciembre de 1998</w:t>
      </w:r>
      <w:r w:rsidRPr="00C96FF9">
        <w:rPr>
          <w:rFonts w:ascii="Arial" w:hAnsi="Arial" w:cs="Arial"/>
          <w:b/>
          <w:sz w:val="24"/>
          <w:szCs w:val="24"/>
        </w:rPr>
        <w:t xml:space="preserve"> l</w:t>
      </w:r>
      <w:r w:rsidRPr="00C96FF9">
        <w:rPr>
          <w:rFonts w:ascii="Arial" w:hAnsi="Arial" w:cs="Arial"/>
          <w:sz w:val="24"/>
          <w:szCs w:val="24"/>
        </w:rPr>
        <w:t>os “Tributos Municipales”</w:t>
      </w:r>
      <w:r>
        <w:rPr>
          <w:rFonts w:ascii="Arial" w:hAnsi="Arial" w:cs="Arial"/>
          <w:sz w:val="24"/>
          <w:szCs w:val="24"/>
        </w:rPr>
        <w:t xml:space="preserve">      </w:t>
      </w:r>
      <w:r w:rsidRPr="00C96FF9">
        <w:rPr>
          <w:rFonts w:ascii="Arial" w:hAnsi="Arial" w:cs="Arial"/>
          <w:sz w:val="24"/>
          <w:szCs w:val="24"/>
        </w:rPr>
        <w:t xml:space="preserve">- subgrupo “2.6” no se incluyen en el total del Grupo “2” –“Servicios No Personales”, distorsionando la clasificación prevista en </w:t>
      </w:r>
      <w:r>
        <w:rPr>
          <w:rFonts w:ascii="Arial" w:hAnsi="Arial" w:cs="Arial"/>
          <w:sz w:val="24"/>
          <w:szCs w:val="24"/>
        </w:rPr>
        <w:t>dicha norma</w:t>
      </w:r>
      <w:r w:rsidRPr="00C96FF9">
        <w:rPr>
          <w:rFonts w:ascii="Arial" w:hAnsi="Arial" w:cs="Arial"/>
          <w:sz w:val="24"/>
          <w:szCs w:val="24"/>
        </w:rPr>
        <w:t>.</w:t>
      </w:r>
    </w:p>
    <w:p w:rsidR="007D767F" w:rsidRDefault="007D767F" w:rsidP="00BA5B22">
      <w:pPr>
        <w:spacing w:line="360" w:lineRule="auto"/>
        <w:jc w:val="both"/>
        <w:rPr>
          <w:rFonts w:ascii="Arial" w:hAnsi="Arial" w:cs="Arial"/>
          <w:sz w:val="24"/>
          <w:szCs w:val="24"/>
        </w:rPr>
      </w:pPr>
      <w:r w:rsidRPr="00C96FF9">
        <w:rPr>
          <w:rFonts w:ascii="Arial" w:hAnsi="Arial" w:cs="Arial"/>
          <w:b/>
          <w:sz w:val="24"/>
          <w:szCs w:val="24"/>
        </w:rPr>
        <w:t>2.1</w:t>
      </w:r>
      <w:r>
        <w:rPr>
          <w:rFonts w:ascii="Arial" w:hAnsi="Arial" w:cs="Arial"/>
          <w:b/>
          <w:sz w:val="24"/>
          <w:szCs w:val="24"/>
        </w:rPr>
        <w:t>4</w:t>
      </w:r>
      <w:r w:rsidRPr="00C96FF9">
        <w:rPr>
          <w:rFonts w:ascii="Arial" w:hAnsi="Arial" w:cs="Arial"/>
          <w:b/>
          <w:sz w:val="24"/>
          <w:szCs w:val="24"/>
        </w:rPr>
        <w:t>)</w:t>
      </w:r>
      <w:r w:rsidRPr="00C96FF9">
        <w:rPr>
          <w:rFonts w:ascii="Arial" w:hAnsi="Arial" w:cs="Arial"/>
          <w:sz w:val="24"/>
          <w:szCs w:val="24"/>
        </w:rPr>
        <w:t xml:space="preserve"> Este Tribunal emite su Dictamen sobre el Proyecto de Presupuesto Operativo, de Operaciones Financieras y de Inversiones de la Administración Nacional de Combustibles, Alcohol y Portland, en el plazo constitucionalmente previsto y con las mayorías requeridas a tales efectos.</w:t>
      </w:r>
    </w:p>
    <w:p w:rsidR="007D767F" w:rsidRPr="00C96FF9" w:rsidRDefault="007D767F" w:rsidP="00BA5B22">
      <w:pPr>
        <w:spacing w:line="360" w:lineRule="auto"/>
        <w:jc w:val="both"/>
        <w:rPr>
          <w:rFonts w:ascii="Arial" w:hAnsi="Arial" w:cs="Arial"/>
          <w:sz w:val="24"/>
          <w:szCs w:val="24"/>
        </w:rPr>
      </w:pPr>
      <w:r w:rsidRPr="00C96FF9">
        <w:rPr>
          <w:rFonts w:ascii="Arial" w:hAnsi="Arial" w:cs="Arial"/>
          <w:b/>
          <w:sz w:val="24"/>
          <w:szCs w:val="24"/>
        </w:rPr>
        <w:t>2.1</w:t>
      </w:r>
      <w:r>
        <w:rPr>
          <w:rFonts w:ascii="Arial" w:hAnsi="Arial" w:cs="Arial"/>
          <w:b/>
          <w:sz w:val="24"/>
          <w:szCs w:val="24"/>
        </w:rPr>
        <w:t>5</w:t>
      </w:r>
      <w:r w:rsidRPr="00C96FF9">
        <w:rPr>
          <w:rFonts w:ascii="Arial" w:hAnsi="Arial" w:cs="Arial"/>
          <w:b/>
          <w:sz w:val="24"/>
          <w:szCs w:val="24"/>
        </w:rPr>
        <w:t>)</w:t>
      </w:r>
      <w:r w:rsidRPr="00C96FF9">
        <w:rPr>
          <w:rFonts w:ascii="Arial" w:hAnsi="Arial" w:cs="Arial"/>
          <w:sz w:val="24"/>
          <w:szCs w:val="24"/>
        </w:rPr>
        <w:t xml:space="preserve"> De acuerdo con la normativa constitucional vigente, luego de aprobado el referido Presupuesto, el Directorio de ANCAP no podrá modificarlo hasta la nueva instancia presupuestal</w:t>
      </w:r>
      <w:r w:rsidR="00800A0D">
        <w:rPr>
          <w:rFonts w:ascii="Arial" w:hAnsi="Arial" w:cs="Arial"/>
          <w:sz w:val="24"/>
          <w:szCs w:val="24"/>
        </w:rPr>
        <w:t>.</w:t>
      </w:r>
    </w:p>
    <w:p w:rsidR="007D767F" w:rsidRPr="00C96FF9" w:rsidRDefault="007D767F" w:rsidP="00BA5B22">
      <w:pPr>
        <w:pStyle w:val="Textoindependiente2"/>
        <w:rPr>
          <w:rFonts w:cs="Arial"/>
          <w:b/>
          <w:bCs/>
          <w:szCs w:val="24"/>
        </w:rPr>
      </w:pPr>
    </w:p>
    <w:p w:rsidR="007D767F" w:rsidRDefault="007D767F" w:rsidP="00800A0D">
      <w:pPr>
        <w:pStyle w:val="Textoindependiente2"/>
        <w:numPr>
          <w:ilvl w:val="0"/>
          <w:numId w:val="1"/>
        </w:numPr>
        <w:rPr>
          <w:rFonts w:cs="Arial"/>
          <w:b/>
          <w:bCs/>
          <w:color w:val="000000" w:themeColor="text1"/>
          <w:szCs w:val="24"/>
        </w:rPr>
      </w:pPr>
      <w:r w:rsidRPr="00A81244">
        <w:rPr>
          <w:rFonts w:cs="Arial"/>
          <w:b/>
          <w:bCs/>
          <w:color w:val="000000" w:themeColor="text1"/>
          <w:szCs w:val="24"/>
        </w:rPr>
        <w:t>OPINION</w:t>
      </w:r>
    </w:p>
    <w:p w:rsidR="007D767F" w:rsidRPr="00A81244" w:rsidRDefault="007D767F" w:rsidP="00800A0D">
      <w:pPr>
        <w:pStyle w:val="Textoindependiente2"/>
        <w:ind w:left="720"/>
        <w:rPr>
          <w:rFonts w:cs="Arial"/>
          <w:b/>
          <w:bCs/>
          <w:color w:val="000000" w:themeColor="text1"/>
          <w:szCs w:val="24"/>
        </w:rPr>
      </w:pPr>
    </w:p>
    <w:p w:rsidR="007D767F" w:rsidRDefault="007D767F" w:rsidP="00BA5B22">
      <w:pPr>
        <w:spacing w:line="360" w:lineRule="auto"/>
        <w:jc w:val="both"/>
        <w:rPr>
          <w:rFonts w:ascii="Arial" w:hAnsi="Arial" w:cs="Arial"/>
          <w:sz w:val="24"/>
          <w:szCs w:val="24"/>
          <w:lang w:val="es-ES_tradnl"/>
        </w:rPr>
      </w:pPr>
      <w:r w:rsidRPr="00C96FF9">
        <w:rPr>
          <w:rFonts w:ascii="Arial" w:hAnsi="Arial" w:cs="Arial"/>
          <w:spacing w:val="-3"/>
          <w:sz w:val="24"/>
          <w:szCs w:val="24"/>
          <w:lang w:val="es-ES_tradnl"/>
        </w:rPr>
        <w:t xml:space="preserve">En opinión del Tribunal de Cuentas el Proyecto de Presupuesto de la Administración Nacional de Combustibles, Alcohol y Portland (ANCAP) correspondiente al Ejercicio 2017 ha sido preparado en forma razonable de acuerdo con los supuestos efectuados por el Organismo y se presenta de conformidad con las disposiciones constitucionales, legales y reglamentarias vigentes, excepto por lo expresado en los puntos </w:t>
      </w:r>
      <w:r>
        <w:rPr>
          <w:rFonts w:ascii="Arial" w:hAnsi="Arial" w:cs="Arial"/>
          <w:spacing w:val="-3"/>
          <w:sz w:val="24"/>
          <w:szCs w:val="24"/>
          <w:lang w:val="es-ES_tradnl"/>
        </w:rPr>
        <w:t xml:space="preserve">2.2, 2.3, 2.4, 2.5, 2.6, 2.7. 2.10, 2.11 </w:t>
      </w:r>
      <w:r w:rsidRPr="00C96FF9">
        <w:rPr>
          <w:rFonts w:ascii="Arial" w:hAnsi="Arial" w:cs="Arial"/>
          <w:sz w:val="24"/>
          <w:szCs w:val="24"/>
          <w:lang w:val="es-ES_tradnl"/>
        </w:rPr>
        <w:t xml:space="preserve">y </w:t>
      </w:r>
      <w:r>
        <w:rPr>
          <w:rFonts w:ascii="Arial" w:hAnsi="Arial" w:cs="Arial"/>
          <w:sz w:val="24"/>
          <w:szCs w:val="24"/>
          <w:lang w:val="es-ES_tradnl"/>
        </w:rPr>
        <w:t>2.13.</w:t>
      </w:r>
    </w:p>
    <w:p w:rsidR="007D767F" w:rsidRDefault="007D767F" w:rsidP="00BA5B22">
      <w:pPr>
        <w:spacing w:line="360" w:lineRule="auto"/>
        <w:jc w:val="both"/>
        <w:rPr>
          <w:rFonts w:ascii="Arial" w:hAnsi="Arial" w:cs="Arial"/>
          <w:lang w:val="es-ES_tradnl"/>
        </w:rPr>
      </w:pPr>
    </w:p>
    <w:p w:rsidR="007D767F" w:rsidRPr="007D767F" w:rsidRDefault="007D767F" w:rsidP="007D767F">
      <w:pPr>
        <w:spacing w:line="360" w:lineRule="auto"/>
        <w:jc w:val="both"/>
        <w:rPr>
          <w:rFonts w:ascii="Arial" w:hAnsi="Arial" w:cs="Arial"/>
          <w:lang w:val="es-ES_tradnl"/>
        </w:rPr>
      </w:pPr>
      <w:r w:rsidRPr="00544FCF">
        <w:rPr>
          <w:rFonts w:ascii="Arial" w:hAnsi="Arial" w:cs="Arial"/>
          <w:lang w:val="es-ES_tradnl"/>
        </w:rPr>
        <w:t>CLC</w:t>
      </w:r>
    </w:p>
    <w:sectPr w:rsidR="007D767F" w:rsidRPr="007D767F" w:rsidSect="00A32C61">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A0D" w:rsidRDefault="00800A0D" w:rsidP="00D81ACA">
      <w:r>
        <w:separator/>
      </w:r>
    </w:p>
  </w:endnote>
  <w:endnote w:type="continuationSeparator" w:id="0">
    <w:p w:rsidR="00800A0D" w:rsidRDefault="00800A0D" w:rsidP="00D8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A0D" w:rsidRDefault="00800A0D" w:rsidP="00D81ACA">
      <w:r>
        <w:separator/>
      </w:r>
    </w:p>
  </w:footnote>
  <w:footnote w:type="continuationSeparator" w:id="0">
    <w:p w:rsidR="00800A0D" w:rsidRDefault="00800A0D" w:rsidP="00D81A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23F4A"/>
    <w:multiLevelType w:val="hybridMultilevel"/>
    <w:tmpl w:val="F2D2F784"/>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2"/>
    <w:rsid w:val="00046207"/>
    <w:rsid w:val="000E28F6"/>
    <w:rsid w:val="00100D47"/>
    <w:rsid w:val="004741D0"/>
    <w:rsid w:val="005A17CC"/>
    <w:rsid w:val="00606308"/>
    <w:rsid w:val="006C4A75"/>
    <w:rsid w:val="00725589"/>
    <w:rsid w:val="007641FF"/>
    <w:rsid w:val="007D767F"/>
    <w:rsid w:val="00800A0D"/>
    <w:rsid w:val="00962666"/>
    <w:rsid w:val="00A32C61"/>
    <w:rsid w:val="00B03CE9"/>
    <w:rsid w:val="00BA5B22"/>
    <w:rsid w:val="00CD37B6"/>
    <w:rsid w:val="00D34B54"/>
    <w:rsid w:val="00D55234"/>
    <w:rsid w:val="00D81ACA"/>
    <w:rsid w:val="00E21AB4"/>
    <w:rsid w:val="00F251E2"/>
    <w:rsid w:val="00F62D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B22"/>
    <w:pPr>
      <w:widowControl w:val="0"/>
      <w:spacing w:after="0" w:line="240" w:lineRule="auto"/>
    </w:pPr>
    <w:rPr>
      <w:rFonts w:ascii="Courier New" w:eastAsia="Times New Roman" w:hAnsi="Courier New" w:cs="Times New Roman"/>
      <w:snapToGrid w:val="0"/>
      <w:sz w:val="20"/>
      <w:szCs w:val="20"/>
      <w:lang w:eastAsia="es-ES"/>
    </w:rPr>
  </w:style>
  <w:style w:type="paragraph" w:styleId="Ttulo1">
    <w:name w:val="heading 1"/>
    <w:basedOn w:val="Normal"/>
    <w:next w:val="Normal"/>
    <w:link w:val="Ttulo1Car"/>
    <w:qFormat/>
    <w:rsid w:val="00BA5B22"/>
    <w:pPr>
      <w:keepNext/>
      <w:tabs>
        <w:tab w:val="left" w:pos="0"/>
      </w:tabs>
      <w:suppressAutoHyphens/>
      <w:jc w:val="both"/>
      <w:outlineLvl w:val="0"/>
    </w:pPr>
    <w:rPr>
      <w:rFonts w:ascii="Bookman Old Style" w:hAnsi="Bookman Old Style"/>
      <w:b/>
      <w:spacing w:val="-3"/>
      <w:sz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A5B22"/>
    <w:rPr>
      <w:rFonts w:ascii="Bookman Old Style" w:eastAsia="Times New Roman" w:hAnsi="Bookman Old Style" w:cs="Times New Roman"/>
      <w:b/>
      <w:snapToGrid w:val="0"/>
      <w:spacing w:val="-3"/>
      <w:sz w:val="24"/>
      <w:szCs w:val="20"/>
      <w:lang w:val="en-US" w:eastAsia="es-ES"/>
    </w:rPr>
  </w:style>
  <w:style w:type="paragraph" w:styleId="Ttulo">
    <w:name w:val="Title"/>
    <w:basedOn w:val="Normal"/>
    <w:link w:val="TtuloCar"/>
    <w:qFormat/>
    <w:rsid w:val="00BA5B22"/>
    <w:rPr>
      <w:sz w:val="24"/>
    </w:rPr>
  </w:style>
  <w:style w:type="character" w:customStyle="1" w:styleId="TtuloCar">
    <w:name w:val="Título Car"/>
    <w:basedOn w:val="Fuentedeprrafopredeter"/>
    <w:link w:val="Ttulo"/>
    <w:rsid w:val="00BA5B22"/>
    <w:rPr>
      <w:rFonts w:ascii="Courier New" w:eastAsia="Times New Roman" w:hAnsi="Courier New" w:cs="Times New Roman"/>
      <w:snapToGrid w:val="0"/>
      <w:sz w:val="24"/>
      <w:szCs w:val="20"/>
      <w:lang w:eastAsia="es-ES"/>
    </w:rPr>
  </w:style>
  <w:style w:type="paragraph" w:styleId="Textoindependiente2">
    <w:name w:val="Body Text 2"/>
    <w:basedOn w:val="Normal"/>
    <w:link w:val="Textoindependiente2Car"/>
    <w:rsid w:val="00BA5B22"/>
    <w:pPr>
      <w:tabs>
        <w:tab w:val="left" w:pos="0"/>
      </w:tabs>
      <w:suppressAutoHyphens/>
      <w:jc w:val="both"/>
    </w:pPr>
    <w:rPr>
      <w:rFonts w:ascii="Arial" w:hAnsi="Arial"/>
      <w:color w:val="FF0000"/>
      <w:spacing w:val="-3"/>
      <w:sz w:val="24"/>
    </w:rPr>
  </w:style>
  <w:style w:type="character" w:customStyle="1" w:styleId="Textoindependiente2Car">
    <w:name w:val="Texto independiente 2 Car"/>
    <w:basedOn w:val="Fuentedeprrafopredeter"/>
    <w:link w:val="Textoindependiente2"/>
    <w:rsid w:val="00BA5B22"/>
    <w:rPr>
      <w:rFonts w:ascii="Arial" w:eastAsia="Times New Roman" w:hAnsi="Arial" w:cs="Times New Roman"/>
      <w:snapToGrid w:val="0"/>
      <w:color w:val="FF0000"/>
      <w:spacing w:val="-3"/>
      <w:sz w:val="24"/>
      <w:szCs w:val="20"/>
      <w:lang w:eastAsia="es-ES"/>
    </w:rPr>
  </w:style>
  <w:style w:type="paragraph" w:styleId="Textoindependiente3">
    <w:name w:val="Body Text 3"/>
    <w:basedOn w:val="Normal"/>
    <w:link w:val="Textoindependiente3Car"/>
    <w:rsid w:val="00BA5B22"/>
    <w:pPr>
      <w:tabs>
        <w:tab w:val="left" w:pos="0"/>
      </w:tabs>
      <w:suppressAutoHyphens/>
      <w:jc w:val="both"/>
    </w:pPr>
    <w:rPr>
      <w:rFonts w:ascii="Arial" w:hAnsi="Arial"/>
      <w:color w:val="0000FF"/>
      <w:spacing w:val="-3"/>
      <w:sz w:val="24"/>
    </w:rPr>
  </w:style>
  <w:style w:type="character" w:customStyle="1" w:styleId="Textoindependiente3Car">
    <w:name w:val="Texto independiente 3 Car"/>
    <w:basedOn w:val="Fuentedeprrafopredeter"/>
    <w:link w:val="Textoindependiente3"/>
    <w:rsid w:val="00BA5B22"/>
    <w:rPr>
      <w:rFonts w:ascii="Arial" w:eastAsia="Times New Roman" w:hAnsi="Arial" w:cs="Times New Roman"/>
      <w:snapToGrid w:val="0"/>
      <w:color w:val="0000FF"/>
      <w:spacing w:val="-3"/>
      <w:sz w:val="24"/>
      <w:szCs w:val="20"/>
      <w:lang w:eastAsia="es-ES"/>
    </w:rPr>
  </w:style>
  <w:style w:type="paragraph" w:styleId="Encabezado">
    <w:name w:val="header"/>
    <w:basedOn w:val="Normal"/>
    <w:link w:val="EncabezadoCar"/>
    <w:uiPriority w:val="99"/>
    <w:unhideWhenUsed/>
    <w:rsid w:val="00D81ACA"/>
    <w:pPr>
      <w:tabs>
        <w:tab w:val="center" w:pos="4252"/>
        <w:tab w:val="right" w:pos="8504"/>
      </w:tabs>
    </w:pPr>
  </w:style>
  <w:style w:type="character" w:customStyle="1" w:styleId="EncabezadoCar">
    <w:name w:val="Encabezado Car"/>
    <w:basedOn w:val="Fuentedeprrafopredeter"/>
    <w:link w:val="Encabezado"/>
    <w:uiPriority w:val="99"/>
    <w:rsid w:val="00D81ACA"/>
    <w:rPr>
      <w:rFonts w:ascii="Courier New" w:eastAsia="Times New Roman" w:hAnsi="Courier New" w:cs="Times New Roman"/>
      <w:snapToGrid w:val="0"/>
      <w:sz w:val="20"/>
      <w:szCs w:val="20"/>
      <w:lang w:eastAsia="es-ES"/>
    </w:rPr>
  </w:style>
  <w:style w:type="paragraph" w:styleId="Piedepgina">
    <w:name w:val="footer"/>
    <w:basedOn w:val="Normal"/>
    <w:link w:val="PiedepginaCar"/>
    <w:uiPriority w:val="99"/>
    <w:unhideWhenUsed/>
    <w:rsid w:val="00D81ACA"/>
    <w:pPr>
      <w:tabs>
        <w:tab w:val="center" w:pos="4252"/>
        <w:tab w:val="right" w:pos="8504"/>
      </w:tabs>
    </w:pPr>
  </w:style>
  <w:style w:type="character" w:customStyle="1" w:styleId="PiedepginaCar">
    <w:name w:val="Pie de página Car"/>
    <w:basedOn w:val="Fuentedeprrafopredeter"/>
    <w:link w:val="Piedepgina"/>
    <w:uiPriority w:val="99"/>
    <w:rsid w:val="00D81ACA"/>
    <w:rPr>
      <w:rFonts w:ascii="Courier New" w:eastAsia="Times New Roman" w:hAnsi="Courier New" w:cs="Times New Roman"/>
      <w:snapToGrid w:val="0"/>
      <w:sz w:val="20"/>
      <w:szCs w:val="20"/>
      <w:lang w:eastAsia="es-ES"/>
    </w:rPr>
  </w:style>
  <w:style w:type="paragraph" w:styleId="Textodeglobo">
    <w:name w:val="Balloon Text"/>
    <w:basedOn w:val="Normal"/>
    <w:link w:val="TextodegloboCar"/>
    <w:uiPriority w:val="99"/>
    <w:semiHidden/>
    <w:unhideWhenUsed/>
    <w:rsid w:val="00D81ACA"/>
    <w:rPr>
      <w:rFonts w:ascii="Tahoma" w:hAnsi="Tahoma" w:cs="Tahoma"/>
      <w:sz w:val="16"/>
      <w:szCs w:val="16"/>
    </w:rPr>
  </w:style>
  <w:style w:type="character" w:customStyle="1" w:styleId="TextodegloboCar">
    <w:name w:val="Texto de globo Car"/>
    <w:basedOn w:val="Fuentedeprrafopredeter"/>
    <w:link w:val="Textodeglobo"/>
    <w:uiPriority w:val="99"/>
    <w:semiHidden/>
    <w:rsid w:val="00D81ACA"/>
    <w:rPr>
      <w:rFonts w:ascii="Tahoma" w:eastAsia="Times New Roman" w:hAnsi="Tahoma" w:cs="Tahoma"/>
      <w:snapToGrid w:val="0"/>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B22"/>
    <w:pPr>
      <w:widowControl w:val="0"/>
      <w:spacing w:after="0" w:line="240" w:lineRule="auto"/>
    </w:pPr>
    <w:rPr>
      <w:rFonts w:ascii="Courier New" w:eastAsia="Times New Roman" w:hAnsi="Courier New" w:cs="Times New Roman"/>
      <w:snapToGrid w:val="0"/>
      <w:sz w:val="20"/>
      <w:szCs w:val="20"/>
      <w:lang w:eastAsia="es-ES"/>
    </w:rPr>
  </w:style>
  <w:style w:type="paragraph" w:styleId="Ttulo1">
    <w:name w:val="heading 1"/>
    <w:basedOn w:val="Normal"/>
    <w:next w:val="Normal"/>
    <w:link w:val="Ttulo1Car"/>
    <w:qFormat/>
    <w:rsid w:val="00BA5B22"/>
    <w:pPr>
      <w:keepNext/>
      <w:tabs>
        <w:tab w:val="left" w:pos="0"/>
      </w:tabs>
      <w:suppressAutoHyphens/>
      <w:jc w:val="both"/>
      <w:outlineLvl w:val="0"/>
    </w:pPr>
    <w:rPr>
      <w:rFonts w:ascii="Bookman Old Style" w:hAnsi="Bookman Old Style"/>
      <w:b/>
      <w:spacing w:val="-3"/>
      <w:sz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A5B22"/>
    <w:rPr>
      <w:rFonts w:ascii="Bookman Old Style" w:eastAsia="Times New Roman" w:hAnsi="Bookman Old Style" w:cs="Times New Roman"/>
      <w:b/>
      <w:snapToGrid w:val="0"/>
      <w:spacing w:val="-3"/>
      <w:sz w:val="24"/>
      <w:szCs w:val="20"/>
      <w:lang w:val="en-US" w:eastAsia="es-ES"/>
    </w:rPr>
  </w:style>
  <w:style w:type="paragraph" w:styleId="Ttulo">
    <w:name w:val="Title"/>
    <w:basedOn w:val="Normal"/>
    <w:link w:val="TtuloCar"/>
    <w:qFormat/>
    <w:rsid w:val="00BA5B22"/>
    <w:rPr>
      <w:sz w:val="24"/>
    </w:rPr>
  </w:style>
  <w:style w:type="character" w:customStyle="1" w:styleId="TtuloCar">
    <w:name w:val="Título Car"/>
    <w:basedOn w:val="Fuentedeprrafopredeter"/>
    <w:link w:val="Ttulo"/>
    <w:rsid w:val="00BA5B22"/>
    <w:rPr>
      <w:rFonts w:ascii="Courier New" w:eastAsia="Times New Roman" w:hAnsi="Courier New" w:cs="Times New Roman"/>
      <w:snapToGrid w:val="0"/>
      <w:sz w:val="24"/>
      <w:szCs w:val="20"/>
      <w:lang w:eastAsia="es-ES"/>
    </w:rPr>
  </w:style>
  <w:style w:type="paragraph" w:styleId="Textoindependiente2">
    <w:name w:val="Body Text 2"/>
    <w:basedOn w:val="Normal"/>
    <w:link w:val="Textoindependiente2Car"/>
    <w:rsid w:val="00BA5B22"/>
    <w:pPr>
      <w:tabs>
        <w:tab w:val="left" w:pos="0"/>
      </w:tabs>
      <w:suppressAutoHyphens/>
      <w:jc w:val="both"/>
    </w:pPr>
    <w:rPr>
      <w:rFonts w:ascii="Arial" w:hAnsi="Arial"/>
      <w:color w:val="FF0000"/>
      <w:spacing w:val="-3"/>
      <w:sz w:val="24"/>
    </w:rPr>
  </w:style>
  <w:style w:type="character" w:customStyle="1" w:styleId="Textoindependiente2Car">
    <w:name w:val="Texto independiente 2 Car"/>
    <w:basedOn w:val="Fuentedeprrafopredeter"/>
    <w:link w:val="Textoindependiente2"/>
    <w:rsid w:val="00BA5B22"/>
    <w:rPr>
      <w:rFonts w:ascii="Arial" w:eastAsia="Times New Roman" w:hAnsi="Arial" w:cs="Times New Roman"/>
      <w:snapToGrid w:val="0"/>
      <w:color w:val="FF0000"/>
      <w:spacing w:val="-3"/>
      <w:sz w:val="24"/>
      <w:szCs w:val="20"/>
      <w:lang w:eastAsia="es-ES"/>
    </w:rPr>
  </w:style>
  <w:style w:type="paragraph" w:styleId="Textoindependiente3">
    <w:name w:val="Body Text 3"/>
    <w:basedOn w:val="Normal"/>
    <w:link w:val="Textoindependiente3Car"/>
    <w:rsid w:val="00BA5B22"/>
    <w:pPr>
      <w:tabs>
        <w:tab w:val="left" w:pos="0"/>
      </w:tabs>
      <w:suppressAutoHyphens/>
      <w:jc w:val="both"/>
    </w:pPr>
    <w:rPr>
      <w:rFonts w:ascii="Arial" w:hAnsi="Arial"/>
      <w:color w:val="0000FF"/>
      <w:spacing w:val="-3"/>
      <w:sz w:val="24"/>
    </w:rPr>
  </w:style>
  <w:style w:type="character" w:customStyle="1" w:styleId="Textoindependiente3Car">
    <w:name w:val="Texto independiente 3 Car"/>
    <w:basedOn w:val="Fuentedeprrafopredeter"/>
    <w:link w:val="Textoindependiente3"/>
    <w:rsid w:val="00BA5B22"/>
    <w:rPr>
      <w:rFonts w:ascii="Arial" w:eastAsia="Times New Roman" w:hAnsi="Arial" w:cs="Times New Roman"/>
      <w:snapToGrid w:val="0"/>
      <w:color w:val="0000FF"/>
      <w:spacing w:val="-3"/>
      <w:sz w:val="24"/>
      <w:szCs w:val="20"/>
      <w:lang w:eastAsia="es-ES"/>
    </w:rPr>
  </w:style>
  <w:style w:type="paragraph" w:styleId="Encabezado">
    <w:name w:val="header"/>
    <w:basedOn w:val="Normal"/>
    <w:link w:val="EncabezadoCar"/>
    <w:uiPriority w:val="99"/>
    <w:unhideWhenUsed/>
    <w:rsid w:val="00D81ACA"/>
    <w:pPr>
      <w:tabs>
        <w:tab w:val="center" w:pos="4252"/>
        <w:tab w:val="right" w:pos="8504"/>
      </w:tabs>
    </w:pPr>
  </w:style>
  <w:style w:type="character" w:customStyle="1" w:styleId="EncabezadoCar">
    <w:name w:val="Encabezado Car"/>
    <w:basedOn w:val="Fuentedeprrafopredeter"/>
    <w:link w:val="Encabezado"/>
    <w:uiPriority w:val="99"/>
    <w:rsid w:val="00D81ACA"/>
    <w:rPr>
      <w:rFonts w:ascii="Courier New" w:eastAsia="Times New Roman" w:hAnsi="Courier New" w:cs="Times New Roman"/>
      <w:snapToGrid w:val="0"/>
      <w:sz w:val="20"/>
      <w:szCs w:val="20"/>
      <w:lang w:eastAsia="es-ES"/>
    </w:rPr>
  </w:style>
  <w:style w:type="paragraph" w:styleId="Piedepgina">
    <w:name w:val="footer"/>
    <w:basedOn w:val="Normal"/>
    <w:link w:val="PiedepginaCar"/>
    <w:uiPriority w:val="99"/>
    <w:unhideWhenUsed/>
    <w:rsid w:val="00D81ACA"/>
    <w:pPr>
      <w:tabs>
        <w:tab w:val="center" w:pos="4252"/>
        <w:tab w:val="right" w:pos="8504"/>
      </w:tabs>
    </w:pPr>
  </w:style>
  <w:style w:type="character" w:customStyle="1" w:styleId="PiedepginaCar">
    <w:name w:val="Pie de página Car"/>
    <w:basedOn w:val="Fuentedeprrafopredeter"/>
    <w:link w:val="Piedepgina"/>
    <w:uiPriority w:val="99"/>
    <w:rsid w:val="00D81ACA"/>
    <w:rPr>
      <w:rFonts w:ascii="Courier New" w:eastAsia="Times New Roman" w:hAnsi="Courier New" w:cs="Times New Roman"/>
      <w:snapToGrid w:val="0"/>
      <w:sz w:val="20"/>
      <w:szCs w:val="20"/>
      <w:lang w:eastAsia="es-ES"/>
    </w:rPr>
  </w:style>
  <w:style w:type="paragraph" w:styleId="Textodeglobo">
    <w:name w:val="Balloon Text"/>
    <w:basedOn w:val="Normal"/>
    <w:link w:val="TextodegloboCar"/>
    <w:uiPriority w:val="99"/>
    <w:semiHidden/>
    <w:unhideWhenUsed/>
    <w:rsid w:val="00D81ACA"/>
    <w:rPr>
      <w:rFonts w:ascii="Tahoma" w:hAnsi="Tahoma" w:cs="Tahoma"/>
      <w:sz w:val="16"/>
      <w:szCs w:val="16"/>
    </w:rPr>
  </w:style>
  <w:style w:type="character" w:customStyle="1" w:styleId="TextodegloboCar">
    <w:name w:val="Texto de globo Car"/>
    <w:basedOn w:val="Fuentedeprrafopredeter"/>
    <w:link w:val="Textodeglobo"/>
    <w:uiPriority w:val="99"/>
    <w:semiHidden/>
    <w:rsid w:val="00D81ACA"/>
    <w:rPr>
      <w:rFonts w:ascii="Tahoma" w:eastAsia="Times New Roman" w:hAnsi="Tahoma" w:cs="Tahoma"/>
      <w:snapToGrid w:val="0"/>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95BAD-641A-4B87-8E0A-F08244F0A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1964</Words>
  <Characters>10805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Rossanna Buono</dc:creator>
  <cp:lastModifiedBy> </cp:lastModifiedBy>
  <cp:revision>10</cp:revision>
  <cp:lastPrinted>2016-08-23T18:42:00Z</cp:lastPrinted>
  <dcterms:created xsi:type="dcterms:W3CDTF">2016-08-27T14:02:00Z</dcterms:created>
  <dcterms:modified xsi:type="dcterms:W3CDTF">2017-01-04T19:21:00Z</dcterms:modified>
</cp:coreProperties>
</file>