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DF" w:rsidRPr="00161683" w:rsidRDefault="005E4DDF" w:rsidP="005E4DD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 w:rsidR="0097067E"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="0097067E">
        <w:rPr>
          <w:rFonts w:ascii="Arial" w:hAnsi="Arial" w:cs="Arial"/>
          <w:b/>
          <w:sz w:val="24"/>
          <w:szCs w:val="24"/>
          <w:lang w:val="es-ES_tradnl"/>
        </w:rPr>
        <w:t xml:space="preserve"> 3868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5E4DDF" w:rsidRDefault="005E4DDF" w:rsidP="005E4D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4DDF" w:rsidRPr="004746D1" w:rsidRDefault="005E4DDF" w:rsidP="005E4D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E4DDF" w:rsidRPr="004746D1" w:rsidRDefault="005E4DDF" w:rsidP="005E4DD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4DDF" w:rsidRPr="004746D1" w:rsidRDefault="005E4DDF" w:rsidP="005E4D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E4DDF" w:rsidRPr="004746D1" w:rsidRDefault="005E4DDF" w:rsidP="005E4DD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4DDF" w:rsidRPr="004746D1" w:rsidRDefault="005E4DDF" w:rsidP="005E4D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9 DE NOVIEMBRE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5E4DDF" w:rsidRPr="004746D1" w:rsidRDefault="005E4DDF" w:rsidP="005E4D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4DDF" w:rsidRPr="004746D1" w:rsidRDefault="005E4DDF" w:rsidP="005E4D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2015-17-1-0003923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5534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E4DDF" w:rsidRPr="004746D1" w:rsidRDefault="005E4DDF" w:rsidP="005E4DDF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434EA6" w:rsidRDefault="00434EA6" w:rsidP="009706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 nota de fecha 06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remitida por la Administración Nacional de Usinas y Transmisiones Eléctricas, relacionada con la reiteración del gasto derivado de la suscripción de un nuevo contrato de compraventa de energía eléctrica; </w:t>
      </w:r>
    </w:p>
    <w:p w:rsidR="00434EA6" w:rsidRDefault="00434EA6" w:rsidP="009706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en el marco de la Licitación P37637, </w:t>
      </w:r>
      <w:proofErr w:type="spellStart"/>
      <w:r>
        <w:rPr>
          <w:rFonts w:ascii="Arial" w:hAnsi="Arial" w:cs="Arial"/>
          <w:sz w:val="24"/>
          <w:szCs w:val="24"/>
        </w:rPr>
        <w:t>Ponlar</w:t>
      </w:r>
      <w:proofErr w:type="spellEnd"/>
      <w:r>
        <w:rPr>
          <w:rFonts w:ascii="Arial" w:hAnsi="Arial" w:cs="Arial"/>
          <w:sz w:val="24"/>
          <w:szCs w:val="24"/>
        </w:rPr>
        <w:t xml:space="preserve"> SA y UTE celebraron un contrato de compraventa de energía eléctrica (Contrato I) con fecha 06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 y un Convenio de Conexión con fecha 02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09;</w:t>
      </w:r>
    </w:p>
    <w:p w:rsidR="00434EA6" w:rsidRDefault="00434EA6" w:rsidP="0097067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 w:rsidR="0097067E">
        <w:rPr>
          <w:rFonts w:ascii="Arial" w:hAnsi="Arial" w:cs="Arial"/>
          <w:sz w:val="24"/>
          <w:szCs w:val="24"/>
        </w:rPr>
        <w:t xml:space="preserve"> que con fecha 19/</w:t>
      </w:r>
      <w:r>
        <w:rPr>
          <w:rFonts w:ascii="Arial" w:hAnsi="Arial" w:cs="Arial"/>
          <w:sz w:val="24"/>
          <w:szCs w:val="24"/>
        </w:rPr>
        <w:t>07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10 </w:t>
      </w:r>
      <w:proofErr w:type="spellStart"/>
      <w:r>
        <w:rPr>
          <w:rFonts w:ascii="Arial" w:hAnsi="Arial" w:cs="Arial"/>
          <w:sz w:val="24"/>
          <w:szCs w:val="24"/>
        </w:rPr>
        <w:t>Ponlar</w:t>
      </w:r>
      <w:proofErr w:type="spellEnd"/>
      <w:r>
        <w:rPr>
          <w:rFonts w:ascii="Arial" w:hAnsi="Arial" w:cs="Arial"/>
          <w:sz w:val="24"/>
          <w:szCs w:val="24"/>
        </w:rPr>
        <w:t xml:space="preserve"> SA y UTE celebraron un segundo contrato de compraventa de energía eléctrica por una potencia contratada de 2 MW (Contrato II). El 27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 se suscribió un nue</w:t>
      </w:r>
      <w:r w:rsidR="0097067E">
        <w:rPr>
          <w:rFonts w:ascii="Arial" w:hAnsi="Arial" w:cs="Arial"/>
          <w:sz w:val="24"/>
          <w:szCs w:val="24"/>
        </w:rPr>
        <w:t>vo Convenio de Conexión y el 16/</w:t>
      </w:r>
      <w:r>
        <w:rPr>
          <w:rFonts w:ascii="Arial" w:hAnsi="Arial" w:cs="Arial"/>
          <w:sz w:val="24"/>
          <w:szCs w:val="24"/>
        </w:rPr>
        <w:t>03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 se suscribieron adendas a los Contratos de Compraventa de Energía Eléctrica vigentes</w:t>
      </w:r>
      <w:r w:rsidR="009706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los efectos de reflejar entre otros un aumento en la potencia comprometida de la Central a 7.5 MW;</w:t>
      </w:r>
    </w:p>
    <w:p w:rsidR="00434EA6" w:rsidRDefault="00434EA6" w:rsidP="0097067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 w:rsidR="0097067E">
        <w:rPr>
          <w:rFonts w:ascii="Arial" w:hAnsi="Arial" w:cs="Arial"/>
          <w:sz w:val="24"/>
          <w:szCs w:val="24"/>
        </w:rPr>
        <w:t xml:space="preserve"> que por Resolución 15/</w:t>
      </w:r>
      <w:r>
        <w:rPr>
          <w:rFonts w:ascii="Arial" w:hAnsi="Arial" w:cs="Arial"/>
          <w:sz w:val="24"/>
          <w:szCs w:val="24"/>
        </w:rPr>
        <w:t>2876 de 23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9706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15 se adjudicó a </w:t>
      </w:r>
      <w:proofErr w:type="spellStart"/>
      <w:r>
        <w:rPr>
          <w:rFonts w:ascii="Arial" w:hAnsi="Arial" w:cs="Arial"/>
          <w:sz w:val="24"/>
          <w:szCs w:val="24"/>
        </w:rPr>
        <w:t>Ponlar</w:t>
      </w:r>
      <w:proofErr w:type="spellEnd"/>
      <w:r>
        <w:rPr>
          <w:rFonts w:ascii="Arial" w:hAnsi="Arial" w:cs="Arial"/>
          <w:sz w:val="24"/>
          <w:szCs w:val="24"/>
        </w:rPr>
        <w:t xml:space="preserve"> SA un nuevo contrato de compraventa de energía </w:t>
      </w:r>
      <w:r w:rsidR="0097067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eléctrica por 1 MW de potencia contratada (nuevo contrato II) que reemplaza al Contrato II;</w:t>
      </w:r>
    </w:p>
    <w:p w:rsidR="00434EA6" w:rsidRDefault="00434EA6" w:rsidP="0097067E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 w:rsidR="0097067E">
        <w:rPr>
          <w:rFonts w:ascii="Arial" w:hAnsi="Arial" w:cs="Arial"/>
          <w:sz w:val="24"/>
          <w:szCs w:val="24"/>
        </w:rPr>
        <w:t xml:space="preserve"> que por Resolución 16/</w:t>
      </w:r>
      <w:r>
        <w:rPr>
          <w:rFonts w:ascii="Arial" w:hAnsi="Arial" w:cs="Arial"/>
          <w:sz w:val="24"/>
          <w:szCs w:val="24"/>
        </w:rPr>
        <w:t xml:space="preserve">305 de fecha 18/02/16, se autorizó la suscripción de un nuevo contrato de compraventa de energía eléctrica con </w:t>
      </w:r>
      <w:proofErr w:type="spellStart"/>
      <w:r>
        <w:rPr>
          <w:rFonts w:ascii="Arial" w:hAnsi="Arial" w:cs="Arial"/>
          <w:sz w:val="24"/>
          <w:szCs w:val="24"/>
        </w:rPr>
        <w:t>Ponlar</w:t>
      </w:r>
      <w:proofErr w:type="spellEnd"/>
      <w:r>
        <w:rPr>
          <w:rFonts w:ascii="Arial" w:hAnsi="Arial" w:cs="Arial"/>
          <w:sz w:val="24"/>
          <w:szCs w:val="24"/>
        </w:rPr>
        <w:t xml:space="preserve"> SA de 1 MW de potencia contratada adicional al </w:t>
      </w:r>
      <w:r w:rsidR="0097067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ontrato I existente y se ordenó el gasto asociado por un monto de U$S 2.998.022;</w:t>
      </w:r>
    </w:p>
    <w:p w:rsidR="0097067E" w:rsidRDefault="00434EA6" w:rsidP="0097067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que este Tribunal, por Resolución 2372/16 de fecha 06/07/16 acordó observar el gasto,  por haberse comprometido el mismo sin que exista crédito presupuestal suficiente para su  imputación, y por entender que la aplicación retroactiva de las estipulaciones contractuales afecta el principio de seguridad jurídica;</w:t>
      </w:r>
    </w:p>
    <w:p w:rsidR="00A72D47" w:rsidRDefault="00434EA6" w:rsidP="0097067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en esta oportunidad se remite Resolución </w:t>
      </w:r>
      <w:r w:rsidR="00A72D4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16 – 2368  de fecha 06</w:t>
      </w:r>
      <w:r w:rsidR="00A72D4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A72D4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por la que el Directorio</w:t>
      </w:r>
      <w:r w:rsidR="00A72D47">
        <w:rPr>
          <w:rFonts w:ascii="Arial" w:hAnsi="Arial" w:cs="Arial"/>
          <w:sz w:val="24"/>
          <w:szCs w:val="24"/>
        </w:rPr>
        <w:t xml:space="preserve"> reiteró el gasto, diciendo que</w:t>
      </w:r>
      <w:r>
        <w:rPr>
          <w:rFonts w:ascii="Arial" w:hAnsi="Arial" w:cs="Arial"/>
          <w:sz w:val="24"/>
          <w:szCs w:val="24"/>
        </w:rPr>
        <w:t xml:space="preserve">: </w:t>
      </w:r>
      <w:r w:rsidR="00A72D47">
        <w:rPr>
          <w:rFonts w:ascii="Arial" w:hAnsi="Arial" w:cs="Arial"/>
          <w:sz w:val="24"/>
          <w:szCs w:val="24"/>
        </w:rPr>
        <w:t xml:space="preserve"> </w:t>
      </w:r>
    </w:p>
    <w:p w:rsidR="00A72D47" w:rsidRDefault="00434EA6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 xml:space="preserve"> “la variabilidad de precios y costos, la posibilidad de que los excedentes de contratos en algunas situaciones puedan ser comercializados en el mercado spot, la competencia en ese mercado  (y aún en el mercado de contratos a término) para abastecer la demanda de UTE y de otros compradores motivó, entre otras disposiciones, la consagración de una excepción al principio de la licitación pública como mecanismo de contratación por excelencia (</w:t>
      </w:r>
      <w:r w:rsidR="00A72D47">
        <w:rPr>
          <w:rFonts w:ascii="Arial" w:hAnsi="Arial" w:cs="Arial"/>
          <w:sz w:val="24"/>
          <w:szCs w:val="24"/>
        </w:rPr>
        <w:t>Numeral 21 del A</w:t>
      </w:r>
      <w:r>
        <w:rPr>
          <w:rFonts w:ascii="Arial" w:hAnsi="Arial" w:cs="Arial"/>
          <w:sz w:val="24"/>
          <w:szCs w:val="24"/>
        </w:rPr>
        <w:t xml:space="preserve">rtículo 33 del TOCAF), todo ello por entender el legislador que en muchos casos las decisiones debían adoptarse en tiempos perentorios”; </w:t>
      </w:r>
    </w:p>
    <w:p w:rsidR="00A72D47" w:rsidRDefault="00434EA6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 xml:space="preserve"> “los intercambios de energía entre UTE y </w:t>
      </w:r>
      <w:proofErr w:type="spellStart"/>
      <w:r>
        <w:rPr>
          <w:rFonts w:ascii="Arial" w:hAnsi="Arial" w:cs="Arial"/>
          <w:sz w:val="24"/>
          <w:szCs w:val="24"/>
        </w:rPr>
        <w:t>Ponlar</w:t>
      </w:r>
      <w:proofErr w:type="spellEnd"/>
      <w:r>
        <w:rPr>
          <w:rFonts w:ascii="Arial" w:hAnsi="Arial" w:cs="Arial"/>
          <w:sz w:val="24"/>
          <w:szCs w:val="24"/>
        </w:rPr>
        <w:t xml:space="preserve"> SA vinculados a la potencia remanente de la Central Generadora respecto a los 2.5 MW de potencia comprometidos en el Contrato I, seguramente se habrían efectuado entre UTE y el generador en el marco del mercado mayorista de energía, el  acuerdo de aplicar a esos intercambios no el contrato sino las condiciones del mismo (básicamente el precio que ya había sido objeto de acuerdo) dotó a esos intercambios de mayor seguridad jurídica para todas las partes”; </w:t>
      </w:r>
      <w:r w:rsidR="00A72D47">
        <w:rPr>
          <w:rFonts w:ascii="Arial" w:hAnsi="Arial" w:cs="Arial"/>
          <w:sz w:val="24"/>
          <w:szCs w:val="24"/>
        </w:rPr>
        <w:t>y</w:t>
      </w:r>
    </w:p>
    <w:p w:rsidR="00434EA6" w:rsidRPr="0097067E" w:rsidRDefault="00434EA6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 xml:space="preserve"> “el objetivo buscado fue aplicar un régimen económico predefinido a los intercambios de energía ocasionales que ocurrieran antes de la vigencia del contrato documentando tal circunstancia de un modo transparente”;</w:t>
      </w:r>
    </w:p>
    <w:p w:rsidR="00434EA6" w:rsidRDefault="00434EA6" w:rsidP="00A72D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que los motivos esgrimidos por la Administración actuante no soslayan el incumplimiento a lo dispuesto por el Art</w:t>
      </w:r>
      <w:r w:rsidR="00A72D47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15 del </w:t>
      </w:r>
      <w:r>
        <w:rPr>
          <w:rFonts w:ascii="Arial" w:hAnsi="Arial" w:cs="Arial"/>
          <w:sz w:val="24"/>
          <w:szCs w:val="24"/>
          <w:lang w:val="es-MX"/>
        </w:rPr>
        <w:lastRenderedPageBreak/>
        <w:t xml:space="preserve">TOCAF al comprometer un  gasto sin disponibilidad suficiente,  en el rubro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imputacion</w:t>
      </w:r>
      <w:proofErr w:type="spellEnd"/>
      <w:r>
        <w:rPr>
          <w:rFonts w:ascii="Arial" w:hAnsi="Arial" w:cs="Arial"/>
          <w:sz w:val="24"/>
          <w:szCs w:val="24"/>
          <w:lang w:val="es-MX"/>
        </w:rPr>
        <w:t>;</w:t>
      </w:r>
    </w:p>
    <w:p w:rsidR="00434EA6" w:rsidRDefault="00434EA6" w:rsidP="00A72D4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argumento de la Administración  referido a la necesidad de “aplicar a estos intercambios no el contrato sino las condiciones del mismo (básicamente el precio que ya había sido objeto de acuerdo) dotó a estos intercambios de mayor seguridad jurídica para todas las partes” y que el objetivo buscado era “aplicar un régimen predefinido a los intercambios de energía que ocurrieran antes de la vigencia del contrato”  no es de recibo, y  no contribuye a dar certeza jurídica, como entiende el Organismo, ya que  las condiciones del contrato  deben estar recogidas en el propio contrato, no pueden ser diferentes;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434EA6" w:rsidRDefault="00434EA6" w:rsidP="00A72D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</w:t>
      </w:r>
      <w:r w:rsidR="00A72D47">
        <w:rPr>
          <w:rFonts w:ascii="Arial" w:hAnsi="Arial" w:cs="Arial"/>
          <w:sz w:val="24"/>
          <w:szCs w:val="24"/>
        </w:rPr>
        <w:t>resado y a lo dispuesto por el A</w:t>
      </w:r>
      <w:r>
        <w:rPr>
          <w:rFonts w:ascii="Arial" w:hAnsi="Arial" w:cs="Arial"/>
          <w:sz w:val="24"/>
          <w:szCs w:val="24"/>
        </w:rPr>
        <w:t>rt</w:t>
      </w:r>
      <w:r w:rsidR="00A72D47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A72D47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República;                 </w:t>
      </w:r>
    </w:p>
    <w:p w:rsidR="00434EA6" w:rsidRDefault="00434EA6" w:rsidP="00A72D4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434EA6" w:rsidRDefault="00434EA6" w:rsidP="00A72D4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2D47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Mantener la observación formulada por Resolución Nº2372/16 adoptada en Sesión de  fecha 06/07/16;</w:t>
      </w:r>
    </w:p>
    <w:p w:rsidR="00A72D47" w:rsidRDefault="00434EA6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47">
        <w:rPr>
          <w:rFonts w:ascii="Arial" w:hAnsi="Arial" w:cs="Arial"/>
          <w:b/>
          <w:sz w:val="24"/>
          <w:szCs w:val="24"/>
        </w:rPr>
        <w:t>2)</w:t>
      </w:r>
      <w:r w:rsidR="00A72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  a la Administración </w:t>
      </w:r>
      <w:r w:rsidR="00A72D47">
        <w:rPr>
          <w:rFonts w:ascii="Arial" w:hAnsi="Arial" w:cs="Arial"/>
          <w:sz w:val="24"/>
          <w:szCs w:val="24"/>
        </w:rPr>
        <w:t xml:space="preserve">actuante y al Contador Delegado; </w:t>
      </w:r>
    </w:p>
    <w:p w:rsidR="00434EA6" w:rsidRDefault="00A72D47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Dar cuenta a la Asamblea General</w:t>
      </w:r>
      <w:r>
        <w:rPr>
          <w:rFonts w:ascii="Arial" w:hAnsi="Arial" w:cs="Arial"/>
          <w:sz w:val="24"/>
          <w:szCs w:val="24"/>
        </w:rPr>
        <w:t>.</w:t>
      </w:r>
    </w:p>
    <w:p w:rsidR="00A72D47" w:rsidRDefault="00A72D47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4EA6" w:rsidRDefault="00A72D47" w:rsidP="00A72D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r w:rsidR="00434EA6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434EA6" w:rsidRDefault="00434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4EA6" w:rsidRDefault="00434EA6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434EA6" w:rsidSect="005E4DDF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A6" w:rsidRDefault="00434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34EA6" w:rsidRDefault="00434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A6" w:rsidRDefault="00434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34EA6" w:rsidRDefault="00434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A6"/>
    <w:rsid w:val="00434EA6"/>
    <w:rsid w:val="005E4DDF"/>
    <w:rsid w:val="00654D3E"/>
    <w:rsid w:val="007B6C89"/>
    <w:rsid w:val="0097067E"/>
    <w:rsid w:val="00A7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713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2015-17-1-0003923</vt:lpstr>
    </vt:vector>
  </TitlesOfParts>
  <Company>Tribunal de Cuentas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2015-17-1-0003923</dc:title>
  <dc:creator>Alicia Fernandez</dc:creator>
  <cp:lastModifiedBy>Lucia Coppetti</cp:lastModifiedBy>
  <cp:revision>4</cp:revision>
  <cp:lastPrinted>2016-11-01T18:44:00Z</cp:lastPrinted>
  <dcterms:created xsi:type="dcterms:W3CDTF">2016-11-09T20:16:00Z</dcterms:created>
  <dcterms:modified xsi:type="dcterms:W3CDTF">2016-11-09T20:31:00Z</dcterms:modified>
</cp:coreProperties>
</file>