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8C" w:rsidRPr="00786EEB" w:rsidRDefault="00000C8C"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3070</w:t>
      </w:r>
      <w:r w:rsidRPr="00786EEB">
        <w:rPr>
          <w:rFonts w:ascii="Arial" w:hAnsi="Arial" w:cs="Arial"/>
          <w:b/>
          <w:sz w:val="28"/>
          <w:szCs w:val="28"/>
          <w:lang w:val="es-ES_tradnl"/>
        </w:rPr>
        <w:t>/16</w:t>
      </w:r>
    </w:p>
    <w:p w:rsidR="00000C8C" w:rsidRPr="00762B34" w:rsidRDefault="00000C8C" w:rsidP="00000C8C">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000C8C" w:rsidRPr="00762B34" w:rsidRDefault="00000C8C" w:rsidP="00000C8C">
      <w:pPr>
        <w:tabs>
          <w:tab w:val="left" w:pos="-720"/>
        </w:tabs>
        <w:suppressAutoHyphens/>
        <w:spacing w:after="0" w:line="240" w:lineRule="auto"/>
        <w:jc w:val="center"/>
        <w:rPr>
          <w:rFonts w:ascii="Arial" w:hAnsi="Arial" w:cs="Arial"/>
          <w:b/>
          <w:lang w:val="es-ES_tradnl"/>
        </w:rPr>
      </w:pPr>
    </w:p>
    <w:p w:rsidR="00000C8C" w:rsidRPr="00762B34" w:rsidRDefault="00000C8C" w:rsidP="00000C8C">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000C8C" w:rsidRPr="00762B34" w:rsidRDefault="00000C8C" w:rsidP="00000C8C">
      <w:pPr>
        <w:tabs>
          <w:tab w:val="left" w:pos="-720"/>
        </w:tabs>
        <w:suppressAutoHyphens/>
        <w:spacing w:after="0" w:line="240" w:lineRule="auto"/>
        <w:jc w:val="center"/>
        <w:rPr>
          <w:rFonts w:ascii="Arial" w:hAnsi="Arial" w:cs="Arial"/>
          <w:b/>
          <w:lang w:val="es-ES_tradnl"/>
        </w:rPr>
      </w:pPr>
    </w:p>
    <w:p w:rsidR="00000C8C" w:rsidRPr="00762B34" w:rsidRDefault="00000C8C" w:rsidP="00000C8C">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3</w:t>
      </w:r>
      <w:r>
        <w:rPr>
          <w:rFonts w:ascii="Helvetica" w:hAnsi="Helvetica"/>
          <w:b/>
          <w:lang w:val="es-ES_tradnl"/>
        </w:rPr>
        <w:t>1 DE AGOSTO DE 2016</w:t>
      </w:r>
    </w:p>
    <w:p w:rsidR="00000C8C" w:rsidRPr="00762B34" w:rsidRDefault="00000C8C" w:rsidP="00000C8C">
      <w:pPr>
        <w:tabs>
          <w:tab w:val="center" w:pos="4253"/>
        </w:tabs>
        <w:suppressAutoHyphens/>
        <w:spacing w:after="0" w:line="240" w:lineRule="auto"/>
        <w:jc w:val="center"/>
        <w:rPr>
          <w:rFonts w:ascii="Arial" w:hAnsi="Arial" w:cs="Arial"/>
          <w:b/>
          <w:lang w:val="es-ES_tradnl"/>
        </w:rPr>
      </w:pPr>
    </w:p>
    <w:p w:rsidR="00000C8C" w:rsidRPr="00762B34" w:rsidRDefault="00000C8C" w:rsidP="00000C8C">
      <w:pPr>
        <w:tabs>
          <w:tab w:val="center" w:pos="4253"/>
        </w:tabs>
        <w:suppressAutoHyphens/>
        <w:spacing w:after="0" w:line="240" w:lineRule="auto"/>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2016-17-1-0005475</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N°</w:t>
      </w:r>
      <w:r>
        <w:rPr>
          <w:rFonts w:ascii="Arial" w:hAnsi="Arial" w:cs="Arial"/>
          <w:b/>
          <w:lang w:val="en-US"/>
        </w:rPr>
        <w:t xml:space="preserve"> 4210/16</w:t>
      </w:r>
      <w:r w:rsidRPr="00762B34">
        <w:rPr>
          <w:rFonts w:ascii="Arial" w:hAnsi="Arial" w:cs="Arial"/>
          <w:b/>
          <w:lang w:val="en-US"/>
        </w:rPr>
        <w:t>)</w:t>
      </w:r>
    </w:p>
    <w:p w:rsidR="00000C8C" w:rsidRDefault="00000C8C" w:rsidP="00000C8C">
      <w:pPr>
        <w:tabs>
          <w:tab w:val="center" w:pos="4253"/>
        </w:tabs>
        <w:suppressAutoHyphens/>
        <w:spacing w:after="0" w:line="240" w:lineRule="auto"/>
        <w:jc w:val="center"/>
        <w:rPr>
          <w:rFonts w:ascii="Helvetica" w:hAnsi="Helvetica"/>
          <w:b/>
          <w:lang w:val="en-US"/>
        </w:rPr>
      </w:pPr>
    </w:p>
    <w:p w:rsidR="00117A25" w:rsidRDefault="00117A25" w:rsidP="00000C8C">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actuaciones remitidas por la Administración Nacional de Educación Pública – Consejo de Educación Secundaria, relacionadas con la Licitación Pública N° 06/2016, convocada para la adquisición de sets de alumno;</w:t>
      </w:r>
    </w:p>
    <w:p w:rsidR="00117A25" w:rsidRDefault="00117A25" w:rsidP="00000C8C">
      <w:pPr>
        <w:spacing w:after="0" w:line="360" w:lineRule="auto"/>
        <w:ind w:firstLine="708"/>
        <w:jc w:val="both"/>
        <w:rPr>
          <w:rFonts w:ascii="Arial" w:hAnsi="Arial" w:cs="Arial"/>
          <w:sz w:val="24"/>
          <w:szCs w:val="24"/>
        </w:rPr>
      </w:pPr>
      <w:r>
        <w:rPr>
          <w:rFonts w:ascii="Arial" w:hAnsi="Arial" w:cs="Arial"/>
          <w:b/>
          <w:bCs/>
          <w:sz w:val="24"/>
          <w:szCs w:val="24"/>
        </w:rPr>
        <w:t>RESULTANDO:</w:t>
      </w:r>
      <w:r w:rsidR="00000C8C">
        <w:rPr>
          <w:rFonts w:ascii="Arial" w:hAnsi="Arial" w:cs="Arial"/>
          <w:b/>
          <w:bCs/>
          <w:sz w:val="24"/>
          <w:szCs w:val="24"/>
        </w:rPr>
        <w:t xml:space="preserve"> </w:t>
      </w:r>
      <w:r>
        <w:rPr>
          <w:rFonts w:ascii="Arial" w:hAnsi="Arial" w:cs="Arial"/>
          <w:b/>
          <w:bCs/>
          <w:sz w:val="24"/>
          <w:szCs w:val="24"/>
        </w:rPr>
        <w:t>1)</w:t>
      </w:r>
      <w:r>
        <w:rPr>
          <w:rFonts w:ascii="Arial" w:hAnsi="Arial" w:cs="Arial"/>
          <w:sz w:val="24"/>
          <w:szCs w:val="24"/>
        </w:rPr>
        <w:t xml:space="preserve"> que el Consejo de Educación Secundaria aprobó el Pliego de Condiciones Particulares y dispuso el llamado para la licitación de referencia, mediante Resolución N° 42 de fecha 25.05.16, previo informe de División Hacienda de fecha 26.04.16, sobre la existencia de disponibilidad de crédito presupuestal para atender el gasto, correspondiente al Programa 608, Proyecto 701, Financiación 1.1 Rentas Generales, Unidad Ejecutora 03, para el Ejercicio 2016; </w:t>
      </w:r>
    </w:p>
    <w:p w:rsidR="00117A25" w:rsidRDefault="00117A25" w:rsidP="00000C8C">
      <w:pPr>
        <w:spacing w:after="0" w:line="360" w:lineRule="auto"/>
        <w:ind w:firstLine="2552"/>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 xml:space="preserve">que cumplido el requisito legal de publicidad, con fecha 24.06.16 se procedió al acto de apertura de ofertas al que se presentaron cinco firmas: </w:t>
      </w:r>
      <w:proofErr w:type="spellStart"/>
      <w:r>
        <w:rPr>
          <w:rFonts w:ascii="Arial" w:hAnsi="Arial" w:cs="Arial"/>
          <w:sz w:val="24"/>
          <w:szCs w:val="24"/>
        </w:rPr>
        <w:t>Dremico</w:t>
      </w:r>
      <w:proofErr w:type="spellEnd"/>
      <w:r>
        <w:rPr>
          <w:rFonts w:ascii="Arial" w:hAnsi="Arial" w:cs="Arial"/>
          <w:sz w:val="24"/>
          <w:szCs w:val="24"/>
        </w:rPr>
        <w:t xml:space="preserve"> S.A; Sandra Salgado y José </w:t>
      </w:r>
      <w:proofErr w:type="spellStart"/>
      <w:r>
        <w:rPr>
          <w:rFonts w:ascii="Arial" w:hAnsi="Arial" w:cs="Arial"/>
          <w:sz w:val="24"/>
          <w:szCs w:val="24"/>
        </w:rPr>
        <w:t>Carbajales</w:t>
      </w:r>
      <w:proofErr w:type="spellEnd"/>
      <w:r>
        <w:rPr>
          <w:rFonts w:ascii="Arial" w:hAnsi="Arial" w:cs="Arial"/>
          <w:sz w:val="24"/>
          <w:szCs w:val="24"/>
        </w:rPr>
        <w:t xml:space="preserve">; Nicolás De Marco y </w:t>
      </w:r>
      <w:proofErr w:type="spellStart"/>
      <w:r>
        <w:rPr>
          <w:rFonts w:ascii="Arial" w:hAnsi="Arial" w:cs="Arial"/>
          <w:sz w:val="24"/>
          <w:szCs w:val="24"/>
        </w:rPr>
        <w:t>Cía</w:t>
      </w:r>
      <w:proofErr w:type="spellEnd"/>
      <w:r>
        <w:rPr>
          <w:rFonts w:ascii="Arial" w:hAnsi="Arial" w:cs="Arial"/>
          <w:sz w:val="24"/>
          <w:szCs w:val="24"/>
        </w:rPr>
        <w:t xml:space="preserve"> S.A; Metalúrgica del Este S.A; y </w:t>
      </w:r>
      <w:proofErr w:type="spellStart"/>
      <w:r>
        <w:rPr>
          <w:rFonts w:ascii="Arial" w:hAnsi="Arial" w:cs="Arial"/>
          <w:sz w:val="24"/>
          <w:szCs w:val="24"/>
        </w:rPr>
        <w:t>Fumaya</w:t>
      </w:r>
      <w:proofErr w:type="spellEnd"/>
      <w:r>
        <w:rPr>
          <w:rFonts w:ascii="Arial" w:hAnsi="Arial" w:cs="Arial"/>
          <w:sz w:val="24"/>
          <w:szCs w:val="24"/>
        </w:rPr>
        <w:t xml:space="preserve"> S.A;</w:t>
      </w:r>
    </w:p>
    <w:p w:rsidR="00117A25" w:rsidRDefault="00117A25" w:rsidP="00000C8C">
      <w:pPr>
        <w:spacing w:after="0" w:line="360" w:lineRule="auto"/>
        <w:ind w:firstLine="2552"/>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que habiéndose realizado el estudio de las muestras recibidas a efectos de verificar el cumplimiento de los requerimientos exigidos en las bases del llamado, con fecha 13.07.16 se elaboró un informe técnico incluyendo cuadros comparativos de las propuestas presentadas por los oferentes: respecto del ítem 1, las ofertas presentadas por </w:t>
      </w:r>
      <w:proofErr w:type="spellStart"/>
      <w:r>
        <w:rPr>
          <w:rFonts w:ascii="Arial" w:hAnsi="Arial" w:cs="Arial"/>
          <w:sz w:val="24"/>
          <w:szCs w:val="24"/>
        </w:rPr>
        <w:t>Dremico</w:t>
      </w:r>
      <w:proofErr w:type="spellEnd"/>
      <w:r>
        <w:rPr>
          <w:rFonts w:ascii="Arial" w:hAnsi="Arial" w:cs="Arial"/>
          <w:sz w:val="24"/>
          <w:szCs w:val="24"/>
        </w:rPr>
        <w:t xml:space="preserve"> S.A, Metalúrgica del Este S.A (opción 1), Sandra Salgado y José </w:t>
      </w:r>
      <w:proofErr w:type="spellStart"/>
      <w:r>
        <w:rPr>
          <w:rFonts w:ascii="Arial" w:hAnsi="Arial" w:cs="Arial"/>
          <w:sz w:val="24"/>
          <w:szCs w:val="24"/>
        </w:rPr>
        <w:t>Carbajales</w:t>
      </w:r>
      <w:proofErr w:type="spellEnd"/>
      <w:r>
        <w:rPr>
          <w:rFonts w:ascii="Arial" w:hAnsi="Arial" w:cs="Arial"/>
          <w:sz w:val="24"/>
          <w:szCs w:val="24"/>
        </w:rPr>
        <w:t xml:space="preserve"> (opciones 1 y 2) y Nicolás De Marco y </w:t>
      </w:r>
      <w:proofErr w:type="spellStart"/>
      <w:r>
        <w:rPr>
          <w:rFonts w:ascii="Arial" w:hAnsi="Arial" w:cs="Arial"/>
          <w:sz w:val="24"/>
          <w:szCs w:val="24"/>
        </w:rPr>
        <w:t>Cía</w:t>
      </w:r>
      <w:proofErr w:type="spellEnd"/>
      <w:r>
        <w:rPr>
          <w:rFonts w:ascii="Arial" w:hAnsi="Arial" w:cs="Arial"/>
          <w:sz w:val="24"/>
          <w:szCs w:val="24"/>
        </w:rPr>
        <w:t xml:space="preserve"> cumplen con los requerimientos del Pliego de Condiciones Particulares y, respecto del ítem 2, las ofertas que </w:t>
      </w:r>
      <w:r>
        <w:rPr>
          <w:rFonts w:ascii="Arial" w:hAnsi="Arial" w:cs="Arial"/>
          <w:sz w:val="24"/>
          <w:szCs w:val="24"/>
        </w:rPr>
        <w:lastRenderedPageBreak/>
        <w:t xml:space="preserve">cumplen con los requisitos establecidos en las bases del llamado son Metalúrgica del Este (opción 1), Sandra Salgado y José </w:t>
      </w:r>
      <w:proofErr w:type="spellStart"/>
      <w:r>
        <w:rPr>
          <w:rFonts w:ascii="Arial" w:hAnsi="Arial" w:cs="Arial"/>
          <w:sz w:val="24"/>
          <w:szCs w:val="24"/>
        </w:rPr>
        <w:t>Carbajales</w:t>
      </w:r>
      <w:proofErr w:type="spellEnd"/>
      <w:r>
        <w:rPr>
          <w:rFonts w:ascii="Arial" w:hAnsi="Arial" w:cs="Arial"/>
          <w:sz w:val="24"/>
          <w:szCs w:val="24"/>
        </w:rPr>
        <w:t xml:space="preserve"> (opción 1) y Nicolás De Marco y Cía. Posteriormente, las ofertas admisibles fueron calificadas según el sistema de puntuación previsto en el Pliego de Condiciones Particulares, lo que se ilustra en el siguiente detalle:</w:t>
      </w:r>
    </w:p>
    <w:p w:rsidR="00117A25" w:rsidRDefault="00117A25">
      <w:pPr>
        <w:spacing w:line="360" w:lineRule="auto"/>
        <w:jc w:val="both"/>
        <w:rPr>
          <w:rFonts w:ascii="Arial" w:hAnsi="Arial" w:cs="Arial"/>
          <w:b/>
          <w:bCs/>
          <w:sz w:val="24"/>
          <w:szCs w:val="24"/>
        </w:rPr>
      </w:pPr>
      <w:r>
        <w:rPr>
          <w:rFonts w:ascii="Arial" w:hAnsi="Arial" w:cs="Arial"/>
          <w:b/>
          <w:bCs/>
          <w:sz w:val="24"/>
          <w:szCs w:val="24"/>
        </w:rPr>
        <w:t>PUNTUACIÓN:</w:t>
      </w:r>
    </w:p>
    <w:p w:rsidR="00117A25" w:rsidRDefault="00117A25">
      <w:pPr>
        <w:spacing w:line="360" w:lineRule="auto"/>
        <w:jc w:val="both"/>
        <w:rPr>
          <w:rFonts w:ascii="Arial" w:hAnsi="Arial" w:cs="Arial"/>
          <w:sz w:val="24"/>
          <w:szCs w:val="24"/>
          <w:u w:val="single"/>
        </w:rPr>
      </w:pPr>
      <w:r>
        <w:rPr>
          <w:rFonts w:ascii="Arial" w:hAnsi="Arial" w:cs="Arial"/>
          <w:sz w:val="24"/>
          <w:szCs w:val="24"/>
          <w:u w:val="single"/>
        </w:rPr>
        <w:t>Ítem 1:</w:t>
      </w:r>
    </w:p>
    <w:tbl>
      <w:tblPr>
        <w:tblW w:w="90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134"/>
        <w:gridCol w:w="1190"/>
        <w:gridCol w:w="1460"/>
        <w:gridCol w:w="1850"/>
        <w:gridCol w:w="1437"/>
      </w:tblGrid>
      <w:tr w:rsidR="00117A25">
        <w:trPr>
          <w:trHeight w:val="1223"/>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FIRMA</w:t>
            </w:r>
          </w:p>
        </w:tc>
        <w:tc>
          <w:tcPr>
            <w:tcW w:w="1134"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 xml:space="preserve">CALIDAD </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(40 puntos)</w:t>
            </w:r>
          </w:p>
        </w:tc>
        <w:tc>
          <w:tcPr>
            <w:tcW w:w="1190"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PRECIO</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(40 puntos)</w:t>
            </w:r>
          </w:p>
        </w:tc>
        <w:tc>
          <w:tcPr>
            <w:tcW w:w="1460"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PLAZO DE ENTREGA Y GARANTÍA</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(10 puntos)</w:t>
            </w:r>
          </w:p>
        </w:tc>
        <w:tc>
          <w:tcPr>
            <w:tcW w:w="1850"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ANTECEDENTES</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(10 puntos)</w:t>
            </w:r>
          </w:p>
        </w:tc>
        <w:tc>
          <w:tcPr>
            <w:tcW w:w="1437"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PUNTAJE TOTAL</w:t>
            </w:r>
          </w:p>
        </w:tc>
      </w:tr>
      <w:tr w:rsidR="00117A25">
        <w:trPr>
          <w:trHeight w:val="679"/>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DREMICO S.A</w:t>
            </w:r>
          </w:p>
        </w:tc>
        <w:tc>
          <w:tcPr>
            <w:tcW w:w="1134"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19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38</w:t>
            </w:r>
          </w:p>
        </w:tc>
        <w:tc>
          <w:tcPr>
            <w:tcW w:w="146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85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437"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98</w:t>
            </w:r>
          </w:p>
        </w:tc>
      </w:tr>
      <w:tr w:rsidR="00117A25">
        <w:trPr>
          <w:trHeight w:val="679"/>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 xml:space="preserve">NICOLÁS DE MARCO Y CÍA </w:t>
            </w:r>
          </w:p>
        </w:tc>
        <w:tc>
          <w:tcPr>
            <w:tcW w:w="1134"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19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36</w:t>
            </w:r>
          </w:p>
        </w:tc>
        <w:tc>
          <w:tcPr>
            <w:tcW w:w="146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85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437"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96</w:t>
            </w:r>
          </w:p>
        </w:tc>
      </w:tr>
      <w:tr w:rsidR="00117A25">
        <w:trPr>
          <w:trHeight w:val="704"/>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METALÚRGICA DEL ESTE LTDA</w:t>
            </w:r>
          </w:p>
        </w:tc>
        <w:tc>
          <w:tcPr>
            <w:tcW w:w="1134"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19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46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85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437" w:type="dxa"/>
            <w:vAlign w:val="center"/>
          </w:tcPr>
          <w:p w:rsidR="00117A25" w:rsidRDefault="00117A25">
            <w:pPr>
              <w:spacing w:after="0" w:line="360" w:lineRule="auto"/>
              <w:jc w:val="center"/>
              <w:rPr>
                <w:rFonts w:ascii="Arial" w:hAnsi="Arial" w:cs="Arial"/>
                <w:color w:val="FF0000"/>
                <w:sz w:val="20"/>
                <w:szCs w:val="20"/>
              </w:rPr>
            </w:pPr>
            <w:r>
              <w:rPr>
                <w:rFonts w:ascii="Arial" w:hAnsi="Arial" w:cs="Arial"/>
                <w:sz w:val="20"/>
                <w:szCs w:val="20"/>
              </w:rPr>
              <w:t>100</w:t>
            </w:r>
          </w:p>
        </w:tc>
      </w:tr>
    </w:tbl>
    <w:p w:rsidR="00117A25" w:rsidRDefault="00117A25">
      <w:pPr>
        <w:spacing w:line="360" w:lineRule="auto"/>
        <w:jc w:val="both"/>
        <w:rPr>
          <w:rFonts w:ascii="Arial" w:hAnsi="Arial" w:cs="Arial"/>
          <w:b/>
          <w:bCs/>
          <w:sz w:val="24"/>
          <w:szCs w:val="24"/>
        </w:rPr>
      </w:pPr>
    </w:p>
    <w:p w:rsidR="00117A25" w:rsidRDefault="00117A25">
      <w:pPr>
        <w:spacing w:line="360" w:lineRule="auto"/>
        <w:jc w:val="both"/>
        <w:rPr>
          <w:rFonts w:ascii="Arial" w:hAnsi="Arial" w:cs="Arial"/>
          <w:sz w:val="24"/>
          <w:szCs w:val="24"/>
          <w:u w:val="single"/>
        </w:rPr>
      </w:pPr>
      <w:r>
        <w:rPr>
          <w:rFonts w:ascii="Arial" w:hAnsi="Arial" w:cs="Arial"/>
          <w:sz w:val="24"/>
          <w:szCs w:val="24"/>
          <w:u w:val="single"/>
        </w:rPr>
        <w:t>Ítem 2:</w:t>
      </w:r>
    </w:p>
    <w:tbl>
      <w:tblPr>
        <w:tblW w:w="90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134"/>
        <w:gridCol w:w="1190"/>
        <w:gridCol w:w="1460"/>
        <w:gridCol w:w="1850"/>
        <w:gridCol w:w="1437"/>
      </w:tblGrid>
      <w:tr w:rsidR="00117A25">
        <w:trPr>
          <w:trHeight w:val="1223"/>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FIRMA</w:t>
            </w:r>
          </w:p>
        </w:tc>
        <w:tc>
          <w:tcPr>
            <w:tcW w:w="1134"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 xml:space="preserve">CALIDAD </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(40 puntos)</w:t>
            </w:r>
          </w:p>
        </w:tc>
        <w:tc>
          <w:tcPr>
            <w:tcW w:w="1190"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PRECIO</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(40 puntos)</w:t>
            </w:r>
          </w:p>
        </w:tc>
        <w:tc>
          <w:tcPr>
            <w:tcW w:w="1460"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PLAZO DE ENTREGA Y GARANTÍA</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(10 puntos)</w:t>
            </w:r>
          </w:p>
        </w:tc>
        <w:tc>
          <w:tcPr>
            <w:tcW w:w="1850"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ANTECEDENTES</w:t>
            </w:r>
          </w:p>
          <w:p w:rsidR="00117A25" w:rsidRDefault="00117A25">
            <w:pPr>
              <w:spacing w:after="0" w:line="360" w:lineRule="auto"/>
              <w:jc w:val="center"/>
              <w:rPr>
                <w:rFonts w:ascii="Arial" w:hAnsi="Arial" w:cs="Arial"/>
                <w:b/>
                <w:bCs/>
                <w:sz w:val="20"/>
                <w:szCs w:val="20"/>
              </w:rPr>
            </w:pPr>
            <w:r>
              <w:rPr>
                <w:rFonts w:ascii="Arial" w:hAnsi="Arial" w:cs="Arial"/>
                <w:b/>
                <w:bCs/>
                <w:sz w:val="20"/>
                <w:szCs w:val="20"/>
              </w:rPr>
              <w:t>(10 puntos)</w:t>
            </w:r>
          </w:p>
        </w:tc>
        <w:tc>
          <w:tcPr>
            <w:tcW w:w="1437"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PUNTAJE TOTAL</w:t>
            </w:r>
          </w:p>
        </w:tc>
      </w:tr>
      <w:tr w:rsidR="00117A25">
        <w:trPr>
          <w:trHeight w:val="679"/>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NICOLÁS DE MARCO Y CÍA</w:t>
            </w:r>
          </w:p>
        </w:tc>
        <w:tc>
          <w:tcPr>
            <w:tcW w:w="1134" w:type="dxa"/>
            <w:vAlign w:val="center"/>
          </w:tcPr>
          <w:p w:rsidR="00117A25" w:rsidRDefault="00117A25">
            <w:pPr>
              <w:spacing w:after="0" w:line="360" w:lineRule="auto"/>
              <w:jc w:val="center"/>
              <w:rPr>
                <w:rFonts w:ascii="Arial" w:hAnsi="Arial" w:cs="Arial"/>
                <w:sz w:val="20"/>
                <w:szCs w:val="20"/>
              </w:rPr>
            </w:pPr>
          </w:p>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19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38</w:t>
            </w:r>
          </w:p>
        </w:tc>
        <w:tc>
          <w:tcPr>
            <w:tcW w:w="146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85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437"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98</w:t>
            </w:r>
          </w:p>
        </w:tc>
      </w:tr>
      <w:tr w:rsidR="00117A25">
        <w:trPr>
          <w:trHeight w:val="679"/>
        </w:trPr>
        <w:tc>
          <w:tcPr>
            <w:tcW w:w="1951" w:type="dxa"/>
            <w:vAlign w:val="center"/>
          </w:tcPr>
          <w:p w:rsidR="00117A25" w:rsidRDefault="00117A25">
            <w:pPr>
              <w:spacing w:after="0" w:line="360" w:lineRule="auto"/>
              <w:jc w:val="center"/>
              <w:rPr>
                <w:rFonts w:ascii="Arial" w:hAnsi="Arial" w:cs="Arial"/>
                <w:b/>
                <w:bCs/>
                <w:sz w:val="20"/>
                <w:szCs w:val="20"/>
              </w:rPr>
            </w:pPr>
            <w:r>
              <w:rPr>
                <w:rFonts w:ascii="Arial" w:hAnsi="Arial" w:cs="Arial"/>
                <w:b/>
                <w:bCs/>
                <w:sz w:val="20"/>
                <w:szCs w:val="20"/>
              </w:rPr>
              <w:t>METALÚRGICA DEL ESTE LTDA</w:t>
            </w:r>
          </w:p>
        </w:tc>
        <w:tc>
          <w:tcPr>
            <w:tcW w:w="1134"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19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40</w:t>
            </w:r>
          </w:p>
        </w:tc>
        <w:tc>
          <w:tcPr>
            <w:tcW w:w="146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850"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w:t>
            </w:r>
          </w:p>
        </w:tc>
        <w:tc>
          <w:tcPr>
            <w:tcW w:w="1437" w:type="dxa"/>
            <w:vAlign w:val="center"/>
          </w:tcPr>
          <w:p w:rsidR="00117A25" w:rsidRDefault="00117A25">
            <w:pPr>
              <w:spacing w:after="0" w:line="360" w:lineRule="auto"/>
              <w:jc w:val="center"/>
              <w:rPr>
                <w:rFonts w:ascii="Arial" w:hAnsi="Arial" w:cs="Arial"/>
                <w:sz w:val="20"/>
                <w:szCs w:val="20"/>
              </w:rPr>
            </w:pPr>
            <w:r>
              <w:rPr>
                <w:rFonts w:ascii="Arial" w:hAnsi="Arial" w:cs="Arial"/>
                <w:sz w:val="20"/>
                <w:szCs w:val="20"/>
              </w:rPr>
              <w:t>100</w:t>
            </w:r>
          </w:p>
        </w:tc>
      </w:tr>
    </w:tbl>
    <w:p w:rsidR="00117A25" w:rsidRDefault="00117A25">
      <w:pPr>
        <w:spacing w:line="360" w:lineRule="auto"/>
        <w:jc w:val="both"/>
        <w:rPr>
          <w:rFonts w:ascii="Arial" w:hAnsi="Arial" w:cs="Arial"/>
          <w:b/>
          <w:bCs/>
          <w:sz w:val="24"/>
          <w:szCs w:val="24"/>
        </w:rPr>
      </w:pPr>
    </w:p>
    <w:p w:rsidR="00000C8C" w:rsidRDefault="00117A25" w:rsidP="00000C8C">
      <w:pPr>
        <w:spacing w:after="0" w:line="360" w:lineRule="auto"/>
        <w:ind w:firstLine="2552"/>
        <w:jc w:val="both"/>
        <w:rPr>
          <w:rFonts w:ascii="Arial" w:hAnsi="Arial" w:cs="Arial"/>
          <w:sz w:val="24"/>
          <w:szCs w:val="24"/>
        </w:rPr>
      </w:pPr>
      <w:r>
        <w:rPr>
          <w:rFonts w:ascii="Arial" w:hAnsi="Arial" w:cs="Arial"/>
          <w:b/>
          <w:bCs/>
          <w:sz w:val="24"/>
          <w:szCs w:val="24"/>
        </w:rPr>
        <w:lastRenderedPageBreak/>
        <w:t xml:space="preserve">4) </w:t>
      </w:r>
      <w:r>
        <w:rPr>
          <w:rFonts w:ascii="Arial" w:hAnsi="Arial" w:cs="Arial"/>
          <w:sz w:val="24"/>
          <w:szCs w:val="24"/>
        </w:rPr>
        <w:t>que, de conformidad con el in</w:t>
      </w:r>
      <w:bookmarkStart w:id="0" w:name="_GoBack"/>
      <w:bookmarkEnd w:id="0"/>
      <w:r>
        <w:rPr>
          <w:rFonts w:ascii="Arial" w:hAnsi="Arial" w:cs="Arial"/>
          <w:sz w:val="24"/>
          <w:szCs w:val="24"/>
        </w:rPr>
        <w:t xml:space="preserve">forme técnico referido, mediante su dictamen de fecha 15.07.16, la Comisión Asesora de Adjudicaciones estableció que, de las cinco ofertas presentadas, la correspondiente a Sandra Salgado y José </w:t>
      </w:r>
      <w:proofErr w:type="spellStart"/>
      <w:r>
        <w:rPr>
          <w:rFonts w:ascii="Arial" w:hAnsi="Arial" w:cs="Arial"/>
          <w:sz w:val="24"/>
          <w:szCs w:val="24"/>
        </w:rPr>
        <w:t>Carbajales</w:t>
      </w:r>
      <w:proofErr w:type="spellEnd"/>
      <w:r>
        <w:rPr>
          <w:rFonts w:ascii="Arial" w:hAnsi="Arial" w:cs="Arial"/>
          <w:sz w:val="24"/>
          <w:szCs w:val="24"/>
        </w:rPr>
        <w:t xml:space="preserve"> fue rechazada por presentar un plazo de entrega posterior al requerido en el Pliego de Condiciones Particulares, y asimismo informó que tampoco resultaron admisibles las propuestas de: Metalúrgica del Este Ltda. para el ítem 1, opción 2 y para el ítem 2 opción 2; </w:t>
      </w:r>
      <w:proofErr w:type="spellStart"/>
      <w:r>
        <w:rPr>
          <w:rFonts w:ascii="Arial" w:hAnsi="Arial" w:cs="Arial"/>
          <w:sz w:val="24"/>
          <w:szCs w:val="24"/>
        </w:rPr>
        <w:t>Dremico</w:t>
      </w:r>
      <w:proofErr w:type="spellEnd"/>
      <w:r>
        <w:rPr>
          <w:rFonts w:ascii="Arial" w:hAnsi="Arial" w:cs="Arial"/>
          <w:sz w:val="24"/>
          <w:szCs w:val="24"/>
        </w:rPr>
        <w:t xml:space="preserve"> S.A ítems 1 y 2; </w:t>
      </w:r>
      <w:proofErr w:type="spellStart"/>
      <w:r>
        <w:rPr>
          <w:rFonts w:ascii="Arial" w:hAnsi="Arial" w:cs="Arial"/>
          <w:sz w:val="24"/>
          <w:szCs w:val="24"/>
        </w:rPr>
        <w:t>Fumaya</w:t>
      </w:r>
      <w:proofErr w:type="spellEnd"/>
      <w:r>
        <w:rPr>
          <w:rFonts w:ascii="Arial" w:hAnsi="Arial" w:cs="Arial"/>
          <w:sz w:val="24"/>
          <w:szCs w:val="24"/>
        </w:rPr>
        <w:t xml:space="preserve"> en todos los ítems, agregando que las demás ofertas son admisibles por cumplir con los requerimientos de las bases del llamado, y recomendó adjudicar la licitación de referencia a Metalúrgica del Este S.A de la siguiente manera: ítem 1 – 4.000 set de alumno para Ciclo Básico (opción 1) por un monto de $ 9:052.400, e ítem 2 </w:t>
      </w:r>
      <w:r w:rsidR="00000C8C">
        <w:rPr>
          <w:rFonts w:ascii="Arial" w:hAnsi="Arial" w:cs="Arial"/>
          <w:sz w:val="24"/>
          <w:szCs w:val="24"/>
        </w:rPr>
        <w:t xml:space="preserve"> </w:t>
      </w:r>
      <w:r>
        <w:rPr>
          <w:rFonts w:ascii="Arial" w:hAnsi="Arial" w:cs="Arial"/>
          <w:sz w:val="24"/>
          <w:szCs w:val="24"/>
        </w:rPr>
        <w:t xml:space="preserve">– </w:t>
      </w:r>
      <w:r w:rsidR="00000C8C">
        <w:rPr>
          <w:rFonts w:ascii="Arial" w:hAnsi="Arial" w:cs="Arial"/>
          <w:sz w:val="24"/>
          <w:szCs w:val="24"/>
        </w:rPr>
        <w:t xml:space="preserve"> </w:t>
      </w:r>
      <w:r>
        <w:rPr>
          <w:rFonts w:ascii="Arial" w:hAnsi="Arial" w:cs="Arial"/>
          <w:sz w:val="24"/>
          <w:szCs w:val="24"/>
        </w:rPr>
        <w:t xml:space="preserve">2.000 </w:t>
      </w:r>
      <w:r w:rsidR="00000C8C">
        <w:rPr>
          <w:rFonts w:ascii="Arial" w:hAnsi="Arial" w:cs="Arial"/>
          <w:sz w:val="24"/>
          <w:szCs w:val="24"/>
        </w:rPr>
        <w:t xml:space="preserve"> </w:t>
      </w:r>
      <w:r>
        <w:rPr>
          <w:rFonts w:ascii="Arial" w:hAnsi="Arial" w:cs="Arial"/>
          <w:sz w:val="24"/>
          <w:szCs w:val="24"/>
        </w:rPr>
        <w:t xml:space="preserve">set </w:t>
      </w:r>
      <w:r w:rsidR="00000C8C">
        <w:rPr>
          <w:rFonts w:ascii="Arial" w:hAnsi="Arial" w:cs="Arial"/>
          <w:sz w:val="24"/>
          <w:szCs w:val="24"/>
        </w:rPr>
        <w:t xml:space="preserve"> </w:t>
      </w:r>
      <w:r>
        <w:rPr>
          <w:rFonts w:ascii="Arial" w:hAnsi="Arial" w:cs="Arial"/>
          <w:sz w:val="24"/>
          <w:szCs w:val="24"/>
        </w:rPr>
        <w:t>de</w:t>
      </w:r>
      <w:r w:rsidR="00000C8C">
        <w:rPr>
          <w:rFonts w:ascii="Arial" w:hAnsi="Arial" w:cs="Arial"/>
          <w:sz w:val="24"/>
          <w:szCs w:val="24"/>
        </w:rPr>
        <w:t xml:space="preserve"> </w:t>
      </w:r>
      <w:r>
        <w:rPr>
          <w:rFonts w:ascii="Arial" w:hAnsi="Arial" w:cs="Arial"/>
          <w:sz w:val="24"/>
          <w:szCs w:val="24"/>
        </w:rPr>
        <w:t xml:space="preserve"> alumno </w:t>
      </w:r>
      <w:r w:rsidR="00000C8C">
        <w:rPr>
          <w:rFonts w:ascii="Arial" w:hAnsi="Arial" w:cs="Arial"/>
          <w:sz w:val="24"/>
          <w:szCs w:val="24"/>
        </w:rPr>
        <w:t xml:space="preserve"> </w:t>
      </w:r>
      <w:r>
        <w:rPr>
          <w:rFonts w:ascii="Arial" w:hAnsi="Arial" w:cs="Arial"/>
          <w:sz w:val="24"/>
          <w:szCs w:val="24"/>
        </w:rPr>
        <w:t xml:space="preserve">para </w:t>
      </w:r>
      <w:r w:rsidR="00000C8C">
        <w:rPr>
          <w:rFonts w:ascii="Arial" w:hAnsi="Arial" w:cs="Arial"/>
          <w:sz w:val="24"/>
          <w:szCs w:val="24"/>
        </w:rPr>
        <w:t xml:space="preserve"> </w:t>
      </w:r>
      <w:r>
        <w:rPr>
          <w:rFonts w:ascii="Arial" w:hAnsi="Arial" w:cs="Arial"/>
          <w:sz w:val="24"/>
          <w:szCs w:val="24"/>
        </w:rPr>
        <w:t xml:space="preserve">Bachillerato </w:t>
      </w:r>
      <w:r w:rsidR="00000C8C">
        <w:rPr>
          <w:rFonts w:ascii="Arial" w:hAnsi="Arial" w:cs="Arial"/>
          <w:sz w:val="24"/>
          <w:szCs w:val="24"/>
        </w:rPr>
        <w:t xml:space="preserve"> </w:t>
      </w:r>
      <w:r>
        <w:rPr>
          <w:rFonts w:ascii="Arial" w:hAnsi="Arial" w:cs="Arial"/>
          <w:sz w:val="24"/>
          <w:szCs w:val="24"/>
        </w:rPr>
        <w:t xml:space="preserve">(opción 1) por un monto de </w:t>
      </w:r>
    </w:p>
    <w:p w:rsidR="00117A25" w:rsidRDefault="00117A25" w:rsidP="00000C8C">
      <w:pPr>
        <w:spacing w:after="0" w:line="360" w:lineRule="auto"/>
        <w:jc w:val="both"/>
        <w:rPr>
          <w:rFonts w:ascii="Arial" w:hAnsi="Arial" w:cs="Arial"/>
          <w:sz w:val="24"/>
          <w:szCs w:val="24"/>
        </w:rPr>
      </w:pPr>
      <w:r>
        <w:rPr>
          <w:rFonts w:ascii="Arial" w:hAnsi="Arial" w:cs="Arial"/>
          <w:sz w:val="24"/>
          <w:szCs w:val="24"/>
        </w:rPr>
        <w:t>$ 4:831.200, lo que suma un total de $ 13:883.600 IVA incluido;</w:t>
      </w:r>
    </w:p>
    <w:p w:rsidR="00117A25" w:rsidRDefault="00117A25" w:rsidP="00000C8C">
      <w:pPr>
        <w:spacing w:after="0" w:line="360" w:lineRule="auto"/>
        <w:ind w:firstLine="2552"/>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el Consejo de Educación Secundaria dispuso adjudicar de conformidad con la recomendación de la Comisión Asesora de Adjudicaciones, mediante Resolución N° 3, Acta N° 24, de fecha 27.07.16;</w:t>
      </w:r>
    </w:p>
    <w:p w:rsidR="00117A25" w:rsidRDefault="00117A25" w:rsidP="00000C8C">
      <w:pPr>
        <w:spacing w:after="0" w:line="360" w:lineRule="auto"/>
        <w:ind w:firstLine="709"/>
        <w:jc w:val="both"/>
        <w:rPr>
          <w:rFonts w:ascii="Arial" w:hAnsi="Arial" w:cs="Arial"/>
          <w:sz w:val="24"/>
          <w:szCs w:val="24"/>
        </w:rPr>
      </w:pPr>
      <w:r>
        <w:rPr>
          <w:rFonts w:ascii="Arial" w:hAnsi="Arial" w:cs="Arial"/>
          <w:b/>
          <w:bCs/>
          <w:sz w:val="24"/>
          <w:szCs w:val="24"/>
        </w:rPr>
        <w:t>CONSIDERANDO:</w:t>
      </w:r>
      <w:r>
        <w:rPr>
          <w:rFonts w:ascii="Arial" w:hAnsi="Arial" w:cs="Arial"/>
          <w:b/>
          <w:bCs/>
          <w:sz w:val="24"/>
          <w:szCs w:val="24"/>
        </w:rPr>
        <w:tab/>
        <w:t>1)</w:t>
      </w:r>
      <w:r>
        <w:rPr>
          <w:rFonts w:ascii="Arial" w:hAnsi="Arial" w:cs="Arial"/>
          <w:sz w:val="24"/>
          <w:szCs w:val="24"/>
        </w:rPr>
        <w:t xml:space="preserve"> que, basándose en el informe técnico de fecha 13.07.16, que </w:t>
      </w:r>
      <w:proofErr w:type="spellStart"/>
      <w:r>
        <w:rPr>
          <w:rFonts w:ascii="Arial" w:hAnsi="Arial" w:cs="Arial"/>
          <w:sz w:val="24"/>
          <w:szCs w:val="24"/>
        </w:rPr>
        <w:t>resulto</w:t>
      </w:r>
      <w:proofErr w:type="spellEnd"/>
      <w:r>
        <w:rPr>
          <w:rFonts w:ascii="Arial" w:hAnsi="Arial" w:cs="Arial"/>
          <w:sz w:val="24"/>
          <w:szCs w:val="24"/>
        </w:rPr>
        <w:t xml:space="preserve"> favorable al único </w:t>
      </w:r>
      <w:proofErr w:type="spellStart"/>
      <w:r>
        <w:rPr>
          <w:rFonts w:ascii="Arial" w:hAnsi="Arial" w:cs="Arial"/>
          <w:sz w:val="24"/>
          <w:szCs w:val="24"/>
        </w:rPr>
        <w:t>item</w:t>
      </w:r>
      <w:proofErr w:type="spellEnd"/>
      <w:r>
        <w:rPr>
          <w:rFonts w:ascii="Arial" w:hAnsi="Arial" w:cs="Arial"/>
          <w:sz w:val="24"/>
          <w:szCs w:val="24"/>
        </w:rPr>
        <w:t xml:space="preserve"> cotizado por la firma </w:t>
      </w:r>
      <w:proofErr w:type="spellStart"/>
      <w:r>
        <w:rPr>
          <w:rFonts w:ascii="Arial" w:hAnsi="Arial" w:cs="Arial"/>
          <w:sz w:val="24"/>
          <w:szCs w:val="24"/>
        </w:rPr>
        <w:t>Dremico</w:t>
      </w:r>
      <w:proofErr w:type="spellEnd"/>
      <w:r>
        <w:rPr>
          <w:rFonts w:ascii="Arial" w:hAnsi="Arial" w:cs="Arial"/>
          <w:sz w:val="24"/>
          <w:szCs w:val="24"/>
        </w:rPr>
        <w:t xml:space="preserve"> SA, el 15.07.16 ,la Comisión Asesora de Adjudicaciones consideró inadmisible la oferta presentada por dicha firma, sin expresar los fundamentos que motivaron tal descalificación, en contravención del artículo 66 del TOCAF que establece que el informe de la Comisión Asesora de Adjudicaciones debe contener los fundamentos que respalden su juicio de admisibilidad y, en el caso concreto, los que respalden el motivo del rechazo de la propuesta;</w:t>
      </w:r>
    </w:p>
    <w:p w:rsidR="00117A25" w:rsidRDefault="00117A25" w:rsidP="00000C8C">
      <w:pPr>
        <w:spacing w:after="0" w:line="360" w:lineRule="auto"/>
        <w:ind w:firstLine="2835"/>
        <w:jc w:val="both"/>
        <w:rPr>
          <w:rFonts w:ascii="Arial" w:hAnsi="Arial" w:cs="Arial"/>
          <w:sz w:val="24"/>
          <w:szCs w:val="24"/>
          <w:lang w:eastAsia="es-ES"/>
        </w:rPr>
      </w:pPr>
      <w:r>
        <w:rPr>
          <w:rFonts w:ascii="Arial" w:hAnsi="Arial" w:cs="Arial"/>
          <w:b/>
          <w:bCs/>
          <w:sz w:val="24"/>
          <w:szCs w:val="24"/>
        </w:rPr>
        <w:t xml:space="preserve">2) </w:t>
      </w:r>
      <w:r>
        <w:rPr>
          <w:rFonts w:ascii="Arial" w:hAnsi="Arial" w:cs="Arial"/>
          <w:sz w:val="24"/>
          <w:szCs w:val="24"/>
          <w:lang w:eastAsia="es-ES"/>
        </w:rPr>
        <w:t xml:space="preserve">que de conformidad con lo dispuesto en el </w:t>
      </w:r>
      <w:r w:rsidR="00000C8C">
        <w:rPr>
          <w:rFonts w:ascii="Arial" w:hAnsi="Arial" w:cs="Arial"/>
          <w:sz w:val="24"/>
          <w:szCs w:val="24"/>
          <w:lang w:eastAsia="es-ES"/>
        </w:rPr>
        <w:t>A</w:t>
      </w:r>
      <w:r>
        <w:rPr>
          <w:rFonts w:ascii="Arial" w:hAnsi="Arial" w:cs="Arial"/>
          <w:sz w:val="24"/>
          <w:szCs w:val="24"/>
          <w:lang w:eastAsia="es-ES"/>
        </w:rPr>
        <w:t xml:space="preserve">rtículo 65 inciso final del TOCAF, el Pliego de Condiciones Particulares debe incluir los criterios objetivos cuantitativos y cualitativos para la evaluación de las ofertas, a efectos de determinar cuál es la más conveniente a los intereses de </w:t>
      </w:r>
      <w:r>
        <w:rPr>
          <w:rFonts w:ascii="Arial" w:hAnsi="Arial" w:cs="Arial"/>
          <w:sz w:val="24"/>
          <w:szCs w:val="24"/>
          <w:lang w:eastAsia="es-ES"/>
        </w:rPr>
        <w:lastRenderedPageBreak/>
        <w:t>la Administración, siguiendo una de las modalidades que a continuación se expresan: a) determinación de los factores de evaluación y la ponderació</w:t>
      </w:r>
      <w:r w:rsidR="00000C8C">
        <w:rPr>
          <w:rFonts w:ascii="Arial" w:hAnsi="Arial" w:cs="Arial"/>
          <w:sz w:val="24"/>
          <w:szCs w:val="24"/>
          <w:lang w:eastAsia="es-ES"/>
        </w:rPr>
        <w:t>n de los mismos, al amparo del A</w:t>
      </w:r>
      <w:r>
        <w:rPr>
          <w:rFonts w:ascii="Arial" w:hAnsi="Arial" w:cs="Arial"/>
          <w:sz w:val="24"/>
          <w:szCs w:val="24"/>
          <w:lang w:eastAsia="es-ES"/>
        </w:rPr>
        <w:t xml:space="preserve">rtículo 48 del TOCAF; o b) exigencia de requisitos mínimos y empleo de un factor cuantitativo en forma exclusiva, de conformidad con lo preceptuado por el </w:t>
      </w:r>
      <w:r w:rsidR="00000C8C">
        <w:rPr>
          <w:rFonts w:ascii="Arial" w:hAnsi="Arial" w:cs="Arial"/>
          <w:sz w:val="24"/>
          <w:szCs w:val="24"/>
          <w:lang w:eastAsia="es-ES"/>
        </w:rPr>
        <w:t>A</w:t>
      </w:r>
      <w:r>
        <w:rPr>
          <w:rFonts w:ascii="Arial" w:hAnsi="Arial" w:cs="Arial"/>
          <w:sz w:val="24"/>
          <w:szCs w:val="24"/>
          <w:lang w:eastAsia="es-ES"/>
        </w:rPr>
        <w:t>rtículo 68 inciso 3º del TOCAF;</w:t>
      </w:r>
    </w:p>
    <w:p w:rsidR="00000C8C" w:rsidRPr="00000C8C" w:rsidRDefault="00117A25" w:rsidP="00C95FBA">
      <w:pPr>
        <w:spacing w:after="0" w:line="360" w:lineRule="auto"/>
        <w:ind w:firstLine="2835"/>
        <w:jc w:val="both"/>
        <w:rPr>
          <w:rFonts w:ascii="Arial" w:hAnsi="Arial" w:cs="Arial"/>
          <w:sz w:val="24"/>
          <w:szCs w:val="24"/>
        </w:rPr>
      </w:pPr>
      <w:r>
        <w:rPr>
          <w:rFonts w:ascii="Arial" w:hAnsi="Arial" w:cs="Arial"/>
          <w:b/>
          <w:bCs/>
          <w:sz w:val="24"/>
          <w:szCs w:val="24"/>
          <w:lang w:eastAsia="es-ES"/>
        </w:rPr>
        <w:t>3)</w:t>
      </w:r>
      <w:r>
        <w:rPr>
          <w:rFonts w:ascii="Arial" w:hAnsi="Arial" w:cs="Arial"/>
          <w:sz w:val="24"/>
          <w:szCs w:val="24"/>
          <w:lang w:eastAsia="es-ES"/>
        </w:rPr>
        <w:t xml:space="preserve"> que </w:t>
      </w:r>
      <w:r>
        <w:rPr>
          <w:rFonts w:ascii="Arial" w:hAnsi="Arial" w:cs="Arial"/>
          <w:sz w:val="24"/>
          <w:szCs w:val="24"/>
        </w:rPr>
        <w:t xml:space="preserve">el </w:t>
      </w:r>
      <w:r w:rsidR="00000C8C">
        <w:rPr>
          <w:rFonts w:ascii="Arial" w:hAnsi="Arial" w:cs="Arial"/>
          <w:sz w:val="24"/>
          <w:szCs w:val="24"/>
        </w:rPr>
        <w:t>A</w:t>
      </w:r>
      <w:r>
        <w:rPr>
          <w:rFonts w:ascii="Arial" w:hAnsi="Arial" w:cs="Arial"/>
          <w:sz w:val="24"/>
          <w:szCs w:val="24"/>
        </w:rPr>
        <w:t xml:space="preserve">rtículo 17 del Pliego de Condiciones </w:t>
      </w:r>
      <w:r w:rsidRPr="00000C8C">
        <w:rPr>
          <w:rFonts w:ascii="Arial" w:hAnsi="Arial" w:cs="Arial"/>
          <w:sz w:val="24"/>
          <w:szCs w:val="24"/>
        </w:rPr>
        <w:t>Particulares establece que los criterios para el análisis de las ofertas serán:</w:t>
      </w:r>
    </w:p>
    <w:p w:rsidR="00000C8C" w:rsidRDefault="00117A25" w:rsidP="00C95FBA">
      <w:pPr>
        <w:spacing w:after="0" w:line="360" w:lineRule="auto"/>
        <w:ind w:left="284" w:hanging="284"/>
        <w:jc w:val="both"/>
        <w:rPr>
          <w:rFonts w:ascii="Arial" w:hAnsi="Arial" w:cs="Arial"/>
          <w:sz w:val="24"/>
          <w:szCs w:val="24"/>
        </w:rPr>
      </w:pPr>
      <w:r w:rsidRPr="00000C8C">
        <w:rPr>
          <w:rFonts w:ascii="Arial" w:hAnsi="Arial" w:cs="Arial"/>
          <w:b/>
          <w:sz w:val="24"/>
          <w:szCs w:val="24"/>
        </w:rPr>
        <w:t>a)</w:t>
      </w:r>
      <w:r w:rsidRPr="00000C8C">
        <w:rPr>
          <w:rFonts w:ascii="Arial" w:hAnsi="Arial" w:cs="Arial"/>
          <w:sz w:val="24"/>
          <w:szCs w:val="24"/>
        </w:rPr>
        <w:t xml:space="preserve"> calidad, actualidad y presentación del producto</w:t>
      </w:r>
      <w:r>
        <w:rPr>
          <w:rFonts w:ascii="Arial" w:hAnsi="Arial" w:cs="Arial"/>
          <w:sz w:val="24"/>
          <w:szCs w:val="24"/>
        </w:rPr>
        <w:t xml:space="preserve"> según requerimientos</w:t>
      </w:r>
      <w:r w:rsidR="00000C8C">
        <w:rPr>
          <w:rFonts w:ascii="Arial" w:hAnsi="Arial" w:cs="Arial"/>
          <w:sz w:val="24"/>
          <w:szCs w:val="24"/>
        </w:rPr>
        <w:t xml:space="preserve"> de uso proyectado (40 puntos);</w:t>
      </w:r>
    </w:p>
    <w:p w:rsidR="00C95FBA" w:rsidRDefault="00117A25" w:rsidP="00C95FBA">
      <w:pPr>
        <w:spacing w:after="0" w:line="360" w:lineRule="auto"/>
        <w:jc w:val="both"/>
        <w:rPr>
          <w:rFonts w:ascii="Arial" w:hAnsi="Arial" w:cs="Arial"/>
          <w:sz w:val="24"/>
          <w:szCs w:val="24"/>
        </w:rPr>
      </w:pPr>
      <w:r w:rsidRPr="00C95FBA">
        <w:rPr>
          <w:rFonts w:ascii="Arial" w:hAnsi="Arial" w:cs="Arial"/>
          <w:b/>
          <w:sz w:val="24"/>
          <w:szCs w:val="24"/>
        </w:rPr>
        <w:t>b)</w:t>
      </w:r>
      <w:r>
        <w:rPr>
          <w:rFonts w:ascii="Arial" w:hAnsi="Arial" w:cs="Arial"/>
          <w:sz w:val="24"/>
          <w:szCs w:val="24"/>
        </w:rPr>
        <w:t xml:space="preserve"> precio (40 puntos);</w:t>
      </w:r>
    </w:p>
    <w:p w:rsidR="00C95FBA" w:rsidRDefault="00117A25" w:rsidP="00C95FBA">
      <w:pPr>
        <w:spacing w:after="0" w:line="360" w:lineRule="auto"/>
        <w:jc w:val="both"/>
        <w:rPr>
          <w:rFonts w:ascii="Arial" w:hAnsi="Arial" w:cs="Arial"/>
          <w:sz w:val="24"/>
          <w:szCs w:val="24"/>
        </w:rPr>
      </w:pPr>
      <w:r w:rsidRPr="00C95FBA">
        <w:rPr>
          <w:rFonts w:ascii="Arial" w:hAnsi="Arial" w:cs="Arial"/>
          <w:b/>
          <w:sz w:val="24"/>
          <w:szCs w:val="24"/>
        </w:rPr>
        <w:t>c)</w:t>
      </w:r>
      <w:r>
        <w:rPr>
          <w:rFonts w:ascii="Arial" w:hAnsi="Arial" w:cs="Arial"/>
          <w:sz w:val="24"/>
          <w:szCs w:val="24"/>
        </w:rPr>
        <w:t xml:space="preserve"> plazo de entrega y</w:t>
      </w:r>
      <w:r w:rsidR="00C95FBA">
        <w:rPr>
          <w:rFonts w:ascii="Arial" w:hAnsi="Arial" w:cs="Arial"/>
          <w:sz w:val="24"/>
          <w:szCs w:val="24"/>
        </w:rPr>
        <w:t xml:space="preserve"> plazo de garantía (10 puntos);</w:t>
      </w:r>
    </w:p>
    <w:p w:rsidR="00117A25" w:rsidRDefault="00117A25" w:rsidP="00C95FBA">
      <w:pPr>
        <w:spacing w:after="0" w:line="360" w:lineRule="auto"/>
        <w:jc w:val="both"/>
        <w:rPr>
          <w:rFonts w:ascii="Arial" w:hAnsi="Arial" w:cs="Arial"/>
          <w:sz w:val="24"/>
          <w:szCs w:val="24"/>
        </w:rPr>
      </w:pPr>
      <w:r w:rsidRPr="00C95FBA">
        <w:rPr>
          <w:rFonts w:ascii="Arial" w:hAnsi="Arial" w:cs="Arial"/>
          <w:b/>
          <w:sz w:val="24"/>
          <w:szCs w:val="24"/>
        </w:rPr>
        <w:t>d)</w:t>
      </w:r>
      <w:r>
        <w:rPr>
          <w:rFonts w:ascii="Arial" w:hAnsi="Arial" w:cs="Arial"/>
          <w:sz w:val="24"/>
          <w:szCs w:val="24"/>
        </w:rPr>
        <w:t xml:space="preserve"> antecedentes de la empresa con el Organismo, con la Administración y en plaza (10 puntos). Sin embargo, salvo en el caso del precio, estos criterios contravienen los </w:t>
      </w:r>
      <w:r w:rsidR="00C95FBA">
        <w:rPr>
          <w:rFonts w:ascii="Arial" w:hAnsi="Arial" w:cs="Arial"/>
          <w:sz w:val="24"/>
          <w:szCs w:val="24"/>
        </w:rPr>
        <w:t>A</w:t>
      </w:r>
      <w:r>
        <w:rPr>
          <w:rFonts w:ascii="Arial" w:hAnsi="Arial" w:cs="Arial"/>
          <w:sz w:val="24"/>
          <w:szCs w:val="24"/>
        </w:rPr>
        <w:t>rtículos 48 y 65 del TOCAF que requieren que los mismos tengan carácter objetivo: el criterio de “calidad, actualidad y presentación del producto según requerimientos de uso proyectado”, incluye conceptos indeterminados, los que no son pasibles de una objetiva evaluación, puntuación y ponderación, puesto que los criterios para evaluar cada sub factor “calidad”, “actualidad” y “presentación del producto”, no están previstos. Del mismo modo, el pliego prevé una calificación de 10 puntos por concepto de plazo de entrega y plazo de garantía, sin especificar qué puntuación, dentro del total de 10, corresponde a cada sub factor y, asimismo, se prevé una calificación total de 10 para puntuar los antecedentes, sin establecer objetiva y concretamente, qué puntaje corresponde a la calificación de los antecedentes con la Administración, qué puntaje es para los antecedentes con el Organismo y cuál para considerar la experiencia desarrollada en plaza. En consecuencia, no es posible realizar una objetiva calificación y ponderación de las ofertas admisibles, debido a la utilización de criterios de evaluación con conceptos de carácter  indeterminado en las bases del llamado;</w:t>
      </w:r>
    </w:p>
    <w:p w:rsidR="00117A25" w:rsidRDefault="00117A25" w:rsidP="00C95FBA">
      <w:pPr>
        <w:spacing w:after="0" w:line="360" w:lineRule="auto"/>
        <w:ind w:firstLine="2835"/>
        <w:jc w:val="both"/>
        <w:rPr>
          <w:rFonts w:ascii="Arial" w:hAnsi="Arial" w:cs="Arial"/>
          <w:sz w:val="24"/>
          <w:szCs w:val="24"/>
          <w:lang w:eastAsia="es-ES"/>
        </w:rPr>
      </w:pPr>
      <w:r>
        <w:rPr>
          <w:rFonts w:ascii="Arial" w:hAnsi="Arial" w:cs="Arial"/>
          <w:b/>
          <w:bCs/>
          <w:sz w:val="24"/>
          <w:szCs w:val="24"/>
        </w:rPr>
        <w:lastRenderedPageBreak/>
        <w:t xml:space="preserve">4) </w:t>
      </w:r>
      <w:r>
        <w:rPr>
          <w:rFonts w:ascii="Arial" w:hAnsi="Arial" w:cs="Arial"/>
          <w:sz w:val="24"/>
          <w:szCs w:val="24"/>
        </w:rPr>
        <w:t xml:space="preserve">que, en consonancia con lo desarrollado en el Considerando N° 2, el numeral 14.4 del Pliego de Condiciones Particulares establece que la Administración se reserva el derecho de rechazar una propuesta “por falta de información suficiente”, siendo que, </w:t>
      </w:r>
      <w:r>
        <w:rPr>
          <w:rFonts w:ascii="Arial" w:hAnsi="Arial" w:cs="Arial"/>
          <w:sz w:val="24"/>
          <w:szCs w:val="24"/>
          <w:lang w:eastAsia="es-ES"/>
        </w:rPr>
        <w:t xml:space="preserve">de conformidad </w:t>
      </w:r>
      <w:r>
        <w:rPr>
          <w:rFonts w:ascii="Arial" w:hAnsi="Arial" w:cs="Arial"/>
          <w:sz w:val="24"/>
          <w:szCs w:val="24"/>
          <w:lang w:val="es-MX" w:eastAsia="es-ES"/>
        </w:rPr>
        <w:t xml:space="preserve">con el </w:t>
      </w:r>
      <w:r w:rsidR="00C95FBA">
        <w:rPr>
          <w:rFonts w:ascii="Arial" w:hAnsi="Arial" w:cs="Arial"/>
          <w:sz w:val="24"/>
          <w:szCs w:val="24"/>
          <w:lang w:val="es-MX" w:eastAsia="es-ES"/>
        </w:rPr>
        <w:t>A</w:t>
      </w:r>
      <w:r>
        <w:rPr>
          <w:rFonts w:ascii="Arial" w:hAnsi="Arial" w:cs="Arial"/>
          <w:sz w:val="24"/>
          <w:szCs w:val="24"/>
          <w:lang w:val="es-MX" w:eastAsia="es-ES"/>
        </w:rPr>
        <w:t>rtículo 48 del TOCAF,</w:t>
      </w:r>
      <w:r>
        <w:rPr>
          <w:rFonts w:ascii="Arial" w:hAnsi="Arial" w:cs="Arial"/>
          <w:sz w:val="24"/>
          <w:szCs w:val="24"/>
        </w:rPr>
        <w:t xml:space="preserve"> las bases del llamado </w:t>
      </w:r>
      <w:r>
        <w:rPr>
          <w:rFonts w:ascii="Arial" w:hAnsi="Arial" w:cs="Arial"/>
          <w:sz w:val="24"/>
          <w:szCs w:val="24"/>
          <w:lang w:eastAsia="es-ES"/>
        </w:rPr>
        <w:t>deben requerir, concretamente, toda la información que la Administración considere necesaria a fin de proceder al debido estudio de las propuestas,</w:t>
      </w:r>
      <w:r>
        <w:rPr>
          <w:rFonts w:ascii="Arial" w:hAnsi="Arial" w:cs="Arial"/>
          <w:sz w:val="24"/>
          <w:szCs w:val="24"/>
          <w:lang w:val="es-MX" w:eastAsia="es-ES"/>
        </w:rPr>
        <w:t xml:space="preserve"> y el concepto </w:t>
      </w:r>
      <w:r>
        <w:rPr>
          <w:rFonts w:ascii="Arial" w:hAnsi="Arial" w:cs="Arial"/>
          <w:sz w:val="24"/>
          <w:szCs w:val="24"/>
          <w:lang w:eastAsia="es-ES"/>
        </w:rPr>
        <w:t>utilizado</w:t>
      </w:r>
      <w:r>
        <w:rPr>
          <w:rFonts w:ascii="Arial" w:hAnsi="Arial" w:cs="Arial"/>
          <w:sz w:val="24"/>
          <w:szCs w:val="24"/>
          <w:lang w:val="es-MX" w:eastAsia="es-ES"/>
        </w:rPr>
        <w:t xml:space="preserve"> de </w:t>
      </w:r>
      <w:r>
        <w:rPr>
          <w:rFonts w:ascii="Arial" w:hAnsi="Arial" w:cs="Arial"/>
          <w:sz w:val="24"/>
          <w:szCs w:val="24"/>
          <w:lang w:eastAsia="es-ES"/>
        </w:rPr>
        <w:t>“falta de información suficiente”, para poder rechazar una oferta, no es claro ni objetivo;</w:t>
      </w:r>
    </w:p>
    <w:p w:rsidR="00117A25" w:rsidRDefault="00117A25" w:rsidP="00C95FBA">
      <w:pPr>
        <w:spacing w:after="0" w:line="360" w:lineRule="auto"/>
        <w:ind w:firstLine="2835"/>
        <w:jc w:val="both"/>
        <w:rPr>
          <w:rFonts w:ascii="Arial" w:hAnsi="Arial" w:cs="Arial"/>
          <w:sz w:val="24"/>
          <w:szCs w:val="24"/>
        </w:rPr>
      </w:pPr>
      <w:r>
        <w:rPr>
          <w:rFonts w:ascii="Arial" w:hAnsi="Arial" w:cs="Arial"/>
          <w:b/>
          <w:bCs/>
          <w:sz w:val="24"/>
          <w:szCs w:val="24"/>
          <w:lang w:eastAsia="es-ES"/>
        </w:rPr>
        <w:t>5)</w:t>
      </w:r>
      <w:r>
        <w:rPr>
          <w:rFonts w:ascii="Arial" w:hAnsi="Arial" w:cs="Arial"/>
          <w:sz w:val="24"/>
          <w:szCs w:val="24"/>
          <w:lang w:eastAsia="es-ES"/>
        </w:rPr>
        <w:t xml:space="preserve"> que, asimismo, el numeral 14.4 del Pliego de Condiciones Particulares establece que la Administración se reserva el derecho de rechazar una propuesta “</w:t>
      </w:r>
      <w:r>
        <w:rPr>
          <w:rFonts w:ascii="Arial" w:hAnsi="Arial" w:cs="Arial"/>
          <w:sz w:val="24"/>
          <w:szCs w:val="24"/>
        </w:rPr>
        <w:t xml:space="preserve">en las situaciones de concusión, soborno, fraude, abuso de funciones, tráfico de influencias, tratar de influir en los funcionarios intervinientes en el proceso de licitación para obtener una decisión favorable, sin perjuicio de las denuncias penales correspondientes”, siendo todas las mencionadas, situaciones susceptibles de configurar falta grave o delito y, por </w:t>
      </w:r>
      <w:proofErr w:type="gramStart"/>
      <w:r>
        <w:rPr>
          <w:rFonts w:ascii="Arial" w:hAnsi="Arial" w:cs="Arial"/>
          <w:sz w:val="24"/>
          <w:szCs w:val="24"/>
        </w:rPr>
        <w:t>lo</w:t>
      </w:r>
      <w:proofErr w:type="gramEnd"/>
      <w:r>
        <w:rPr>
          <w:rFonts w:ascii="Arial" w:hAnsi="Arial" w:cs="Arial"/>
          <w:sz w:val="24"/>
          <w:szCs w:val="24"/>
        </w:rPr>
        <w:t xml:space="preserve"> tanto, frente a alguno de los mencionados casos, no tiene la Administración la facultad de rechazar una propuesta, sino que se trata de una obligación, so pena de las denuncias penales correspondientes;</w:t>
      </w:r>
    </w:p>
    <w:p w:rsidR="00117A25" w:rsidRDefault="00117A25" w:rsidP="00C95FBA">
      <w:pPr>
        <w:spacing w:after="0" w:line="360" w:lineRule="auto"/>
        <w:ind w:firstLine="709"/>
        <w:jc w:val="both"/>
        <w:rPr>
          <w:rFonts w:ascii="Arial" w:hAnsi="Arial" w:cs="Arial"/>
          <w:sz w:val="24"/>
          <w:szCs w:val="24"/>
          <w:lang w:val="es-ES" w:eastAsia="es-ES"/>
        </w:rPr>
      </w:pPr>
      <w:r>
        <w:rPr>
          <w:rFonts w:ascii="Arial" w:hAnsi="Arial" w:cs="Arial"/>
          <w:b/>
          <w:bCs/>
          <w:sz w:val="24"/>
          <w:szCs w:val="24"/>
        </w:rPr>
        <w:t xml:space="preserve">ATENTO: </w:t>
      </w:r>
      <w:r>
        <w:rPr>
          <w:rFonts w:ascii="Arial" w:hAnsi="Arial" w:cs="Arial"/>
          <w:sz w:val="24"/>
          <w:szCs w:val="24"/>
          <w:lang w:val="es-ES" w:eastAsia="es-ES"/>
        </w:rPr>
        <w:t xml:space="preserve">a lo expuesto y a lo dispuesto por el </w:t>
      </w:r>
      <w:r w:rsidR="00C95FBA">
        <w:rPr>
          <w:rFonts w:ascii="Arial" w:hAnsi="Arial" w:cs="Arial"/>
          <w:sz w:val="24"/>
          <w:szCs w:val="24"/>
          <w:lang w:val="es-ES" w:eastAsia="es-ES"/>
        </w:rPr>
        <w:t>A</w:t>
      </w:r>
      <w:r>
        <w:rPr>
          <w:rFonts w:ascii="Arial" w:hAnsi="Arial" w:cs="Arial"/>
          <w:sz w:val="24"/>
          <w:szCs w:val="24"/>
          <w:lang w:val="es-ES" w:eastAsia="es-ES"/>
        </w:rPr>
        <w:t xml:space="preserve">rtículo 211 </w:t>
      </w:r>
      <w:r w:rsidR="00C95FBA">
        <w:rPr>
          <w:rFonts w:ascii="Arial" w:hAnsi="Arial" w:cs="Arial"/>
          <w:sz w:val="24"/>
          <w:szCs w:val="24"/>
          <w:lang w:val="es-ES" w:eastAsia="es-ES"/>
        </w:rPr>
        <w:t>L</w:t>
      </w:r>
      <w:r>
        <w:rPr>
          <w:rFonts w:ascii="Arial" w:hAnsi="Arial" w:cs="Arial"/>
          <w:sz w:val="24"/>
          <w:szCs w:val="24"/>
          <w:lang w:val="es-ES" w:eastAsia="es-ES"/>
        </w:rPr>
        <w:t>iteral B) de la Constitución de la República;</w:t>
      </w:r>
    </w:p>
    <w:p w:rsidR="00117A25" w:rsidRDefault="00117A25">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117A25" w:rsidRDefault="00117A25" w:rsidP="00C95FBA">
      <w:pPr>
        <w:numPr>
          <w:ilvl w:val="0"/>
          <w:numId w:val="1"/>
        </w:numPr>
        <w:tabs>
          <w:tab w:val="clear" w:pos="720"/>
          <w:tab w:val="num" w:pos="426"/>
        </w:tabs>
        <w:spacing w:after="0" w:line="360" w:lineRule="auto"/>
        <w:ind w:left="284" w:hanging="284"/>
        <w:jc w:val="both"/>
        <w:rPr>
          <w:rFonts w:ascii="Arial" w:hAnsi="Arial" w:cs="Arial"/>
          <w:sz w:val="24"/>
          <w:szCs w:val="24"/>
          <w:lang w:val="es-MX" w:eastAsia="es-ES"/>
        </w:rPr>
      </w:pPr>
      <w:r>
        <w:rPr>
          <w:rFonts w:ascii="Arial" w:hAnsi="Arial" w:cs="Arial"/>
          <w:sz w:val="24"/>
          <w:szCs w:val="24"/>
          <w:lang w:val="es-MX" w:eastAsia="es-ES"/>
        </w:rPr>
        <w:t>Observar el gasto; y</w:t>
      </w:r>
    </w:p>
    <w:p w:rsidR="00117A25" w:rsidRDefault="00C95FBA" w:rsidP="00C95FBA">
      <w:pPr>
        <w:numPr>
          <w:ilvl w:val="0"/>
          <w:numId w:val="1"/>
        </w:numPr>
        <w:tabs>
          <w:tab w:val="clear" w:pos="720"/>
          <w:tab w:val="num" w:pos="426"/>
        </w:tabs>
        <w:spacing w:after="0" w:line="360" w:lineRule="auto"/>
        <w:ind w:left="284" w:hanging="284"/>
        <w:jc w:val="both"/>
        <w:rPr>
          <w:rFonts w:ascii="Arial" w:hAnsi="Arial" w:cs="Arial"/>
          <w:sz w:val="24"/>
          <w:szCs w:val="24"/>
          <w:lang w:val="es-MX" w:eastAsia="es-ES"/>
        </w:rPr>
      </w:pPr>
      <w:r>
        <w:rPr>
          <w:rFonts w:ascii="Arial" w:hAnsi="Arial" w:cs="Arial"/>
          <w:sz w:val="24"/>
          <w:szCs w:val="24"/>
          <w:lang w:val="es-MX" w:eastAsia="es-ES"/>
        </w:rPr>
        <w:t>Devolver las actuaciones.</w:t>
      </w:r>
    </w:p>
    <w:p w:rsidR="00C95FBA" w:rsidRDefault="00C95FBA" w:rsidP="00C95FBA">
      <w:pPr>
        <w:spacing w:after="0" w:line="360" w:lineRule="auto"/>
        <w:jc w:val="both"/>
        <w:rPr>
          <w:rFonts w:ascii="Arial" w:hAnsi="Arial" w:cs="Arial"/>
          <w:sz w:val="24"/>
          <w:szCs w:val="24"/>
          <w:lang w:val="es-MX" w:eastAsia="es-ES"/>
        </w:rPr>
      </w:pPr>
    </w:p>
    <w:p w:rsidR="00C95FBA" w:rsidRDefault="00C95FBA" w:rsidP="00C95FBA">
      <w:pPr>
        <w:spacing w:after="0" w:line="360" w:lineRule="auto"/>
        <w:jc w:val="both"/>
        <w:rPr>
          <w:rFonts w:ascii="Arial" w:hAnsi="Arial" w:cs="Arial"/>
          <w:sz w:val="24"/>
          <w:szCs w:val="24"/>
          <w:lang w:val="es-MX" w:eastAsia="es-ES"/>
        </w:rPr>
      </w:pPr>
    </w:p>
    <w:p w:rsidR="00C95FBA" w:rsidRDefault="00C95FBA" w:rsidP="00C95FBA">
      <w:pPr>
        <w:spacing w:after="0" w:line="360" w:lineRule="auto"/>
        <w:jc w:val="both"/>
        <w:rPr>
          <w:rFonts w:ascii="Arial" w:hAnsi="Arial" w:cs="Arial"/>
          <w:sz w:val="24"/>
          <w:szCs w:val="24"/>
          <w:lang w:val="es-MX" w:eastAsia="es-ES"/>
        </w:rPr>
      </w:pPr>
    </w:p>
    <w:p w:rsidR="00C95FBA" w:rsidRDefault="00C95FBA" w:rsidP="00C95FBA">
      <w:pPr>
        <w:spacing w:after="0" w:line="360" w:lineRule="auto"/>
        <w:jc w:val="both"/>
        <w:rPr>
          <w:rFonts w:ascii="Arial" w:hAnsi="Arial" w:cs="Arial"/>
          <w:sz w:val="24"/>
          <w:szCs w:val="24"/>
          <w:lang w:val="es-MX" w:eastAsia="es-ES"/>
        </w:rPr>
      </w:pPr>
    </w:p>
    <w:p w:rsidR="00117A25" w:rsidRDefault="00C95FBA" w:rsidP="00C95FBA">
      <w:pPr>
        <w:spacing w:after="0" w:line="360" w:lineRule="auto"/>
        <w:jc w:val="both"/>
        <w:rPr>
          <w:rFonts w:ascii="Arial" w:hAnsi="Arial" w:cs="Arial"/>
          <w:b/>
          <w:bCs/>
          <w:sz w:val="24"/>
          <w:szCs w:val="24"/>
          <w:u w:val="single"/>
        </w:rPr>
      </w:pPr>
      <w:proofErr w:type="spellStart"/>
      <w:proofErr w:type="gramStart"/>
      <w:r>
        <w:rPr>
          <w:rFonts w:ascii="Arial" w:hAnsi="Arial" w:cs="Arial"/>
          <w:sz w:val="24"/>
          <w:szCs w:val="24"/>
          <w:lang w:val="es-MX" w:eastAsia="es-ES"/>
        </w:rPr>
        <w:t>cr</w:t>
      </w:r>
      <w:proofErr w:type="spellEnd"/>
      <w:proofErr w:type="gramEnd"/>
    </w:p>
    <w:sectPr w:rsidR="00117A25" w:rsidSect="00C95FBA">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29D"/>
    <w:multiLevelType w:val="hybridMultilevel"/>
    <w:tmpl w:val="86CE1DAC"/>
    <w:lvl w:ilvl="0" w:tplc="D4960AFA">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25"/>
    <w:rsid w:val="00000C8C"/>
    <w:rsid w:val="00117A25"/>
    <w:rsid w:val="00C9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6845</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CARPETA N°: 2016-17-1-0005475</vt:lpstr>
    </vt:vector>
  </TitlesOfParts>
  <Company>Tribunal de Cuentas</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2016-17-1-0005475</dc:title>
  <dc:creator>MARIA ALEJANDRA ALVAREZ LOPEZ</dc:creator>
  <cp:lastModifiedBy>Miriam Cristina Rivero</cp:lastModifiedBy>
  <cp:revision>2</cp:revision>
  <cp:lastPrinted>2016-09-07T15:44:00Z</cp:lastPrinted>
  <dcterms:created xsi:type="dcterms:W3CDTF">2016-09-07T15:45:00Z</dcterms:created>
  <dcterms:modified xsi:type="dcterms:W3CDTF">2016-09-07T15:45:00Z</dcterms:modified>
</cp:coreProperties>
</file>